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Style w:val="Table1"/>
        <w:tblW w:w="10268.0" w:type="dxa"/>
        <w:jc w:val="center"/>
        <w:tblLayout w:type="fixed"/>
        <w:tblLook w:val="0000"/>
      </w:tblPr>
      <w:tblGrid>
        <w:gridCol w:w="3527"/>
        <w:gridCol w:w="477"/>
        <w:gridCol w:w="3430"/>
        <w:gridCol w:w="814"/>
        <w:gridCol w:w="2020"/>
        <w:tblGridChange w:id="0">
          <w:tblGrid>
            <w:gridCol w:w="3527"/>
            <w:gridCol w:w="477"/>
            <w:gridCol w:w="3430"/>
            <w:gridCol w:w="814"/>
            <w:gridCol w:w="2020"/>
          </w:tblGrid>
        </w:tblGridChange>
      </w:tblGrid>
      <w:tr>
        <w:trPr>
          <w:cantSplit w:val="0"/>
          <w:trHeight w:val="914" w:hRule="atLeast"/>
          <w:tblHeader w:val="0"/>
        </w:trPr>
        <w:tc>
          <w:tcPr>
            <w:shd w:fill="auto" w:val="clear"/>
            <w:vAlign w:val="top"/>
          </w:tcPr>
          <w:p w:rsidR="00000000" w:rsidDel="00000000" w:rsidP="00000000" w:rsidRDefault="00000000" w:rsidRPr="00000000" w14:paraId="00000002">
            <w:pPr>
              <w:rPr>
                <w:rFonts w:ascii="Calibri" w:cs="Calibri" w:eastAsia="Calibri" w:hAnsi="Calibri"/>
                <w:b w:val="0"/>
                <w:bCs w:val="0"/>
                <w:color w:val="c45911"/>
                <w:sz w:val="36"/>
                <w:szCs w:val="36"/>
                <w:vertAlign w:val="baseline"/>
              </w:rPr>
            </w:pPr>
            <w:r w:rsidDel="00000000" w:rsidR="00000000" w:rsidRPr="00000000">
              <w:rPr>
                <w:rFonts w:ascii="Calibri" w:cs="Calibri" w:eastAsia="Calibri" w:hAnsi="Calibri"/>
                <w:b w:val="1"/>
                <w:bCs w:val="1"/>
                <w:color w:val="c45911"/>
                <w:sz w:val="36"/>
                <w:szCs w:val="36"/>
                <w:vertAlign w:val="baseline"/>
                <w:rtl w:val="0"/>
              </w:rPr>
              <w:t xml:space="preserve">ASEAN Engineering</w:t>
            </w:r>
            <w:r w:rsidDel="00000000" w:rsidR="00000000" w:rsidRPr="00000000">
              <w:rPr>
                <w:rtl w:val="0"/>
              </w:rPr>
            </w:r>
          </w:p>
          <w:p w:rsidR="00000000" w:rsidDel="00000000" w:rsidP="00000000" w:rsidRDefault="00000000" w:rsidRPr="00000000" w14:paraId="00000003">
            <w:pPr>
              <w:rPr>
                <w:rFonts w:ascii="Calibri" w:cs="Calibri" w:eastAsia="Calibri" w:hAnsi="Calibri"/>
                <w:b w:val="0"/>
                <w:bCs w:val="0"/>
                <w:color w:val="c45911"/>
                <w:sz w:val="36"/>
                <w:szCs w:val="36"/>
                <w:vertAlign w:val="baseline"/>
              </w:rPr>
            </w:pPr>
            <w:r w:rsidDel="00000000" w:rsidR="00000000" w:rsidRPr="00000000">
              <w:rPr>
                <w:rFonts w:ascii="Calibri" w:cs="Calibri" w:eastAsia="Calibri" w:hAnsi="Calibri"/>
                <w:b w:val="1"/>
                <w:bCs w:val="1"/>
                <w:color w:val="c45911"/>
                <w:sz w:val="36"/>
                <w:szCs w:val="36"/>
                <w:vertAlign w:val="baseline"/>
                <w:rtl w:val="0"/>
              </w:rPr>
              <w:t xml:space="preserve">Journal</w:t>
            </w:r>
            <w:r w:rsidDel="00000000" w:rsidR="00000000" w:rsidRPr="00000000">
              <w:rPr>
                <w:rtl w:val="0"/>
              </w:rPr>
            </w:r>
          </w:p>
        </w:tc>
        <w:tc>
          <w:tcPr>
            <w:gridSpan w:val="3"/>
            <w:shd w:fill="auto" w:val="clear"/>
            <w:vAlign w:val="top"/>
          </w:tcPr>
          <w:p w:rsidR="00000000" w:rsidDel="00000000" w:rsidP="00000000" w:rsidRDefault="00000000" w:rsidRPr="00000000" w14:paraId="00000004">
            <w:pPr>
              <w:jc w:val="left"/>
              <w:rPr>
                <w:rFonts w:ascii="Calibri" w:cs="Calibri" w:eastAsia="Calibri" w:hAnsi="Calibri"/>
                <w:b w:val="0"/>
                <w:bCs w:val="0"/>
                <w:color w:val="c45911"/>
                <w:sz w:val="36"/>
                <w:szCs w:val="36"/>
                <w:vertAlign w:val="baseline"/>
              </w:rPr>
            </w:pPr>
            <w:r w:rsidDel="00000000" w:rsidR="00000000" w:rsidRPr="00000000">
              <w:rPr>
                <w:rtl w:val="0"/>
              </w:rPr>
            </w:r>
          </w:p>
          <w:p w:rsidR="00000000" w:rsidDel="00000000" w:rsidP="00000000" w:rsidRDefault="00000000" w:rsidRPr="00000000" w14:paraId="00000005">
            <w:pPr>
              <w:jc w:val="right"/>
              <w:rPr>
                <w:rFonts w:ascii="Calibri" w:cs="Calibri" w:eastAsia="Calibri" w:hAnsi="Calibri"/>
                <w:b w:val="0"/>
                <w:bCs w:val="0"/>
                <w:color w:val="c45911"/>
                <w:sz w:val="20"/>
                <w:szCs w:val="20"/>
                <w:vertAlign w:val="baseline"/>
              </w:rPr>
            </w:pPr>
            <w:r w:rsidDel="00000000" w:rsidR="00000000" w:rsidRPr="00000000">
              <w:rPr>
                <w:rtl w:val="0"/>
              </w:rPr>
            </w:r>
          </w:p>
        </w:tc>
        <w:tc>
          <w:tcPr>
            <w:shd w:fill="c45911" w:val="clear"/>
            <w:vAlign w:val="center"/>
          </w:tcPr>
          <w:p w:rsidR="00000000" w:rsidDel="00000000" w:rsidP="00000000" w:rsidRDefault="00000000" w:rsidRPr="00000000" w14:paraId="00000008">
            <w:pPr>
              <w:jc w:val="center"/>
              <w:rPr>
                <w:rFonts w:ascii="Calibri" w:cs="Calibri" w:eastAsia="Calibri" w:hAnsi="Calibri"/>
                <w:b w:val="0"/>
                <w:bCs w:val="0"/>
                <w:color w:val="000000"/>
                <w:vertAlign w:val="baseline"/>
              </w:rPr>
            </w:pPr>
            <w:r w:rsidDel="00000000" w:rsidR="00000000" w:rsidRPr="00000000">
              <w:rPr>
                <w:rFonts w:ascii="Calibri" w:cs="Calibri" w:eastAsia="Calibri" w:hAnsi="Calibri"/>
                <w:b w:val="1"/>
                <w:bCs w:val="1"/>
                <w:color w:val="000000"/>
                <w:vertAlign w:val="baseline"/>
                <w:rtl w:val="0"/>
              </w:rPr>
              <w:t xml:space="preserve">Full Paper</w:t>
            </w:r>
            <w:r w:rsidDel="00000000" w:rsidR="00000000" w:rsidRPr="00000000">
              <w:rPr>
                <w:rtl w:val="0"/>
              </w:rPr>
            </w:r>
          </w:p>
        </w:tc>
      </w:tr>
      <w:tr>
        <w:trPr>
          <w:cantSplit w:val="0"/>
          <w:trHeight w:val="131" w:hRule="atLeast"/>
          <w:tblHeader w:val="0"/>
        </w:trPr>
        <w:tc>
          <w:tcPr>
            <w:shd w:fill="c45911" w:val="clear"/>
            <w:vAlign w:val="top"/>
          </w:tcPr>
          <w:p w:rsidR="00000000" w:rsidDel="00000000" w:rsidP="00000000" w:rsidRDefault="00000000" w:rsidRPr="00000000" w14:paraId="00000009">
            <w:pPr>
              <w:jc w:val="left"/>
              <w:rPr>
                <w:rFonts w:ascii="Calibri" w:cs="Calibri" w:eastAsia="Calibri" w:hAnsi="Calibri"/>
                <w:b w:val="0"/>
                <w:bCs w:val="0"/>
                <w:color w:val="943634"/>
                <w:sz w:val="2"/>
                <w:szCs w:val="2"/>
                <w:vertAlign w:val="baseline"/>
              </w:rPr>
            </w:pPr>
            <w:r w:rsidDel="00000000" w:rsidR="00000000" w:rsidRPr="00000000">
              <w:rPr>
                <w:rtl w:val="0"/>
              </w:rPr>
            </w:r>
          </w:p>
        </w:tc>
        <w:tc>
          <w:tcPr>
            <w:gridSpan w:val="3"/>
            <w:shd w:fill="c45911" w:val="clear"/>
            <w:vAlign w:val="top"/>
          </w:tcPr>
          <w:p w:rsidR="00000000" w:rsidDel="00000000" w:rsidP="00000000" w:rsidRDefault="00000000" w:rsidRPr="00000000" w14:paraId="0000000A">
            <w:pPr>
              <w:jc w:val="left"/>
              <w:rPr>
                <w:rFonts w:ascii="Calibri" w:cs="Calibri" w:eastAsia="Calibri" w:hAnsi="Calibri"/>
                <w:b w:val="0"/>
                <w:bCs w:val="0"/>
                <w:color w:val="943634"/>
                <w:sz w:val="2"/>
                <w:szCs w:val="2"/>
                <w:vertAlign w:val="baseline"/>
              </w:rPr>
            </w:pPr>
            <w:r w:rsidDel="00000000" w:rsidR="00000000" w:rsidRPr="00000000">
              <w:rPr>
                <w:rtl w:val="0"/>
              </w:rPr>
            </w:r>
          </w:p>
        </w:tc>
        <w:tc>
          <w:tcPr>
            <w:shd w:fill="c45911" w:val="clear"/>
            <w:vAlign w:val="center"/>
          </w:tcPr>
          <w:p w:rsidR="00000000" w:rsidDel="00000000" w:rsidP="00000000" w:rsidRDefault="00000000" w:rsidRPr="00000000" w14:paraId="0000000D">
            <w:pPr>
              <w:jc w:val="center"/>
              <w:rPr>
                <w:rFonts w:ascii="Calibri" w:cs="Calibri" w:eastAsia="Calibri" w:hAnsi="Calibri"/>
                <w:b w:val="0"/>
                <w:bCs w:val="0"/>
                <w:color w:val="ffffff"/>
                <w:sz w:val="2"/>
                <w:szCs w:val="2"/>
                <w:vertAlign w:val="baseline"/>
              </w:rPr>
            </w:pPr>
            <w:r w:rsidDel="00000000" w:rsidR="00000000" w:rsidRPr="00000000">
              <w:rPr>
                <w:rtl w:val="0"/>
              </w:rPr>
            </w:r>
          </w:p>
        </w:tc>
      </w:tr>
      <w:tr>
        <w:trPr>
          <w:cantSplit w:val="0"/>
          <w:trHeight w:val="131" w:hRule="atLeast"/>
          <w:tblHeader w:val="0"/>
        </w:trPr>
        <w:tc>
          <w:tcPr>
            <w:vAlign w:val="top"/>
          </w:tcPr>
          <w:p w:rsidR="00000000" w:rsidDel="00000000" w:rsidP="00000000" w:rsidRDefault="00000000" w:rsidRPr="00000000" w14:paraId="0000000E">
            <w:pPr>
              <w:jc w:val="left"/>
              <w:rPr>
                <w:rFonts w:ascii="Calibri" w:cs="Calibri" w:eastAsia="Calibri" w:hAnsi="Calibri"/>
                <w:b w:val="0"/>
                <w:bCs w:val="0"/>
                <w:color w:val="943634"/>
                <w:sz w:val="2"/>
                <w:szCs w:val="2"/>
                <w:vertAlign w:val="baseline"/>
              </w:rPr>
            </w:pPr>
            <w:r w:rsidDel="00000000" w:rsidR="00000000" w:rsidRPr="00000000">
              <w:rPr>
                <w:rtl w:val="0"/>
              </w:rPr>
            </w:r>
          </w:p>
        </w:tc>
        <w:tc>
          <w:tcPr>
            <w:gridSpan w:val="3"/>
            <w:vAlign w:val="top"/>
          </w:tcPr>
          <w:p w:rsidR="00000000" w:rsidDel="00000000" w:rsidP="00000000" w:rsidRDefault="00000000" w:rsidRPr="00000000" w14:paraId="0000000F">
            <w:pPr>
              <w:jc w:val="left"/>
              <w:rPr>
                <w:rFonts w:ascii="Calibri" w:cs="Calibri" w:eastAsia="Calibri" w:hAnsi="Calibri"/>
                <w:b w:val="0"/>
                <w:bCs w:val="0"/>
                <w:color w:val="943634"/>
                <w:sz w:val="2"/>
                <w:szCs w:val="2"/>
                <w:vertAlign w:val="baseline"/>
              </w:rPr>
            </w:pPr>
            <w:r w:rsidDel="00000000" w:rsidR="00000000" w:rsidRPr="00000000">
              <w:rPr>
                <w:rtl w:val="0"/>
              </w:rPr>
            </w:r>
          </w:p>
        </w:tc>
        <w:tc>
          <w:tcPr>
            <w:vAlign w:val="center"/>
          </w:tcPr>
          <w:p w:rsidR="00000000" w:rsidDel="00000000" w:rsidP="00000000" w:rsidRDefault="00000000" w:rsidRPr="00000000" w14:paraId="00000012">
            <w:pPr>
              <w:jc w:val="center"/>
              <w:rPr>
                <w:rFonts w:ascii="Calibri" w:cs="Calibri" w:eastAsia="Calibri" w:hAnsi="Calibri"/>
                <w:b w:val="0"/>
                <w:bCs w:val="0"/>
                <w:color w:val="ffffff"/>
                <w:sz w:val="2"/>
                <w:szCs w:val="2"/>
                <w:vertAlign w:val="baseline"/>
              </w:rPr>
            </w:pPr>
            <w:r w:rsidDel="00000000" w:rsidR="00000000" w:rsidRPr="00000000">
              <w:rPr>
                <w:rtl w:val="0"/>
              </w:rPr>
            </w:r>
          </w:p>
        </w:tc>
      </w:tr>
      <w:tr>
        <w:trPr>
          <w:cantSplit w:val="0"/>
          <w:trHeight w:val="2418" w:hRule="atLeast"/>
          <w:tblHeader w:val="0"/>
        </w:trPr>
        <w:tc>
          <w:tcPr>
            <w:gridSpan w:val="3"/>
            <w:tcBorders>
              <w:bottom w:color="943634" w:space="0" w:sz="4" w:val="single"/>
            </w:tcBorders>
            <w:vAlign w:val="top"/>
          </w:tcPr>
          <w:p w:rsidR="00000000" w:rsidDel="00000000" w:rsidP="00000000" w:rsidRDefault="00000000" w:rsidRPr="00000000" w14:paraId="00000013">
            <w:pPr>
              <w:rPr>
                <w:rFonts w:ascii="Calibri" w:cs="Calibri" w:eastAsia="Calibri" w:hAnsi="Calibri"/>
                <w:b w:val="0"/>
                <w:bCs w:val="0"/>
                <w:smallCaps w:val="0"/>
                <w:sz w:val="32"/>
                <w:szCs w:val="32"/>
                <w:vertAlign w:val="baseline"/>
              </w:rPr>
            </w:pPr>
            <w:r w:rsidDel="00000000" w:rsidR="00000000" w:rsidRPr="00000000">
              <w:rPr>
                <w:rFonts w:ascii="Calibri" w:cs="Calibri" w:eastAsia="Calibri" w:hAnsi="Calibri"/>
                <w:b w:val="1"/>
                <w:bCs w:val="1"/>
                <w:smallCaps w:val="1"/>
                <w:sz w:val="32"/>
                <w:szCs w:val="32"/>
                <w:vertAlign w:val="baseline"/>
                <w:rtl w:val="0"/>
              </w:rPr>
              <w:t xml:space="preserve">TITLE OF THE ARTICLE TITLE OF THE ARTICLE TITLE OF THE ARTICLE</w:t>
            </w:r>
            <w:r w:rsidDel="00000000" w:rsidR="00000000" w:rsidRPr="00000000">
              <w:rPr>
                <w:rtl w:val="0"/>
              </w:rPr>
            </w:r>
          </w:p>
          <w:p w:rsidR="00000000" w:rsidDel="00000000" w:rsidP="00000000" w:rsidRDefault="00000000" w:rsidRPr="00000000" w14:paraId="00000014">
            <w:pPr>
              <w:rPr>
                <w:rFonts w:ascii="Calibri" w:cs="Calibri" w:eastAsia="Calibri" w:hAnsi="Calibri"/>
                <w:vertAlign w:val="baseline"/>
              </w:rPr>
            </w:pPr>
            <w:r w:rsidDel="00000000" w:rsidR="00000000" w:rsidRPr="00000000">
              <w:rPr>
                <w:rtl w:val="0"/>
              </w:rPr>
            </w:r>
          </w:p>
          <w:p w:rsidR="00000000" w:rsidDel="00000000" w:rsidP="00000000" w:rsidRDefault="00000000" w:rsidRPr="00000000" w14:paraId="00000015">
            <w:pP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Azizul Udinekov</w:t>
            </w:r>
            <w:r w:rsidDel="00000000" w:rsidR="00000000" w:rsidRPr="00000000">
              <w:rPr>
                <w:rFonts w:ascii="Calibri" w:cs="Calibri" w:eastAsia="Calibri" w:hAnsi="Calibri"/>
                <w:vertAlign w:val="superscript"/>
                <w:rtl w:val="0"/>
              </w:rPr>
              <w:t xml:space="preserve">a</w:t>
            </w:r>
            <w:r w:rsidDel="00000000" w:rsidR="00000000" w:rsidRPr="00000000">
              <w:rPr>
                <w:rFonts w:ascii="Calibri" w:cs="Calibri" w:eastAsia="Calibri" w:hAnsi="Calibri"/>
                <w:vertAlign w:val="baseline"/>
                <w:rtl w:val="0"/>
              </w:rPr>
              <w:t xml:space="preserve">*, Ungku Rizlan Ungku Ahmad</w:t>
            </w:r>
            <w:r w:rsidDel="00000000" w:rsidR="00000000" w:rsidRPr="00000000">
              <w:rPr>
                <w:rFonts w:ascii="Calibri" w:cs="Calibri" w:eastAsia="Calibri" w:hAnsi="Calibri"/>
                <w:vertAlign w:val="superscript"/>
                <w:rtl w:val="0"/>
              </w:rPr>
              <w:t xml:space="preserve">b*</w:t>
            </w:r>
            <w:r w:rsidDel="00000000" w:rsidR="00000000" w:rsidRPr="00000000">
              <w:rPr>
                <w:rFonts w:ascii="Calibri" w:cs="Calibri" w:eastAsia="Calibri" w:hAnsi="Calibri"/>
                <w:vertAlign w:val="baseline"/>
                <w:rtl w:val="0"/>
              </w:rPr>
              <w:t xml:space="preserve">, Muhammad Ekbar, Mohd Azmi Hj Shamsuri</w:t>
            </w:r>
            <w:r w:rsidDel="00000000" w:rsidR="00000000" w:rsidRPr="00000000">
              <w:rPr>
                <w:rFonts w:ascii="Calibri" w:cs="Calibri" w:eastAsia="Calibri" w:hAnsi="Calibri"/>
                <w:vertAlign w:val="superscript"/>
                <w:rtl w:val="0"/>
              </w:rPr>
              <w:t xml:space="preserve">a</w:t>
            </w:r>
            <w:r w:rsidDel="00000000" w:rsidR="00000000" w:rsidRPr="00000000">
              <w:rPr>
                <w:rtl w:val="0"/>
              </w:rPr>
            </w:r>
          </w:p>
          <w:p w:rsidR="00000000" w:rsidDel="00000000" w:rsidP="00000000" w:rsidRDefault="00000000" w:rsidRPr="00000000" w14:paraId="00000016">
            <w:pPr>
              <w:rPr>
                <w:rFonts w:ascii="Calibri" w:cs="Calibri" w:eastAsia="Calibri" w:hAnsi="Calibri"/>
                <w:vertAlign w:val="baseline"/>
              </w:rPr>
            </w:pPr>
            <w:r w:rsidDel="00000000" w:rsidR="00000000" w:rsidRPr="00000000">
              <w:rPr>
                <w:rtl w:val="0"/>
              </w:rPr>
            </w:r>
          </w:p>
          <w:p w:rsidR="00000000" w:rsidDel="00000000" w:rsidP="00000000" w:rsidRDefault="00000000" w:rsidRPr="00000000" w14:paraId="00000017">
            <w:pPr>
              <w:rPr>
                <w:rFonts w:ascii="Calibri" w:cs="Calibri" w:eastAsia="Calibri" w:hAnsi="Calibri"/>
                <w:vertAlign w:val="baseline"/>
              </w:rPr>
            </w:pPr>
            <w:r w:rsidDel="00000000" w:rsidR="00000000" w:rsidRPr="00000000">
              <w:rPr>
                <w:rFonts w:ascii="Calibri" w:cs="Calibri" w:eastAsia="Calibri" w:hAnsi="Calibri"/>
                <w:vertAlign w:val="superscript"/>
                <w:rtl w:val="0"/>
              </w:rPr>
              <w:t xml:space="preserve">a</w:t>
            </w:r>
            <w:r w:rsidDel="00000000" w:rsidR="00000000" w:rsidRPr="00000000">
              <w:rPr>
                <w:rFonts w:ascii="Calibri" w:cs="Calibri" w:eastAsia="Calibri" w:hAnsi="Calibri"/>
                <w:vertAlign w:val="baseline"/>
                <w:rtl w:val="0"/>
              </w:rPr>
              <w:t xml:space="preserve">School of Mechanical Engineering, Engineering Campus, UXM, 14320, Nibong Tebal, Penang, Malaysia</w:t>
            </w:r>
          </w:p>
          <w:p w:rsidR="00000000" w:rsidDel="00000000" w:rsidP="00000000" w:rsidRDefault="00000000" w:rsidRPr="00000000" w14:paraId="00000018">
            <w:pPr>
              <w:rPr>
                <w:rFonts w:ascii="Calibri" w:cs="Calibri" w:eastAsia="Calibri" w:hAnsi="Calibri"/>
                <w:vertAlign w:val="baseline"/>
              </w:rPr>
            </w:pPr>
            <w:r w:rsidDel="00000000" w:rsidR="00000000" w:rsidRPr="00000000">
              <w:rPr>
                <w:rFonts w:ascii="Calibri" w:cs="Calibri" w:eastAsia="Calibri" w:hAnsi="Calibri"/>
                <w:vertAlign w:val="superscript"/>
                <w:rtl w:val="0"/>
              </w:rPr>
              <w:t xml:space="preserve">b</w:t>
            </w:r>
            <w:r w:rsidDel="00000000" w:rsidR="00000000" w:rsidRPr="00000000">
              <w:rPr>
                <w:rFonts w:ascii="Calibri" w:cs="Calibri" w:eastAsia="Calibri" w:hAnsi="Calibri"/>
                <w:vertAlign w:val="baseline"/>
                <w:rtl w:val="0"/>
              </w:rPr>
              <w:t xml:space="preserve">School of Aerospace Engineering, Engineering Campus, UXM, 14330, Nibong Tebal, Penang, Malaysia</w:t>
            </w:r>
          </w:p>
          <w:p w:rsidR="00000000" w:rsidDel="00000000" w:rsidP="00000000" w:rsidRDefault="00000000" w:rsidRPr="00000000" w14:paraId="00000019">
            <w:pPr>
              <w:rPr>
                <w:rFonts w:ascii="Calibri" w:cs="Calibri" w:eastAsia="Calibri" w:hAnsi="Calibri"/>
                <w:vertAlign w:val="baseline"/>
              </w:rPr>
            </w:pPr>
            <w:r w:rsidDel="00000000" w:rsidR="00000000" w:rsidRPr="00000000">
              <w:rPr>
                <w:rtl w:val="0"/>
              </w:rPr>
            </w:r>
          </w:p>
        </w:tc>
        <w:tc>
          <w:tcPr>
            <w:gridSpan w:val="2"/>
            <w:tcBorders>
              <w:bottom w:color="943634" w:space="0" w:sz="4" w:val="single"/>
            </w:tcBorders>
            <w:vAlign w:val="top"/>
          </w:tcPr>
          <w:p w:rsidR="00000000" w:rsidDel="00000000" w:rsidP="00000000" w:rsidRDefault="00000000" w:rsidRPr="00000000" w14:paraId="0000001C">
            <w:pPr>
              <w:jc w:val="right"/>
              <w:rPr>
                <w:rFonts w:ascii="Calibri" w:cs="Calibri" w:eastAsia="Calibri" w:hAnsi="Calibri"/>
                <w:b w:val="0"/>
                <w:bCs w:val="0"/>
                <w:sz w:val="20"/>
                <w:szCs w:val="20"/>
                <w:vertAlign w:val="baseline"/>
              </w:rPr>
            </w:pPr>
            <w:r w:rsidDel="00000000" w:rsidR="00000000" w:rsidRPr="00000000">
              <w:rPr>
                <w:rFonts w:ascii="Calibri" w:cs="Calibri" w:eastAsia="Calibri" w:hAnsi="Calibri"/>
                <w:b w:val="1"/>
                <w:bCs w:val="1"/>
                <w:sz w:val="20"/>
                <w:szCs w:val="20"/>
                <w:vertAlign w:val="baseline"/>
                <w:rtl w:val="0"/>
              </w:rPr>
              <w:t xml:space="preserve">Article history</w:t>
            </w:r>
            <w:r w:rsidDel="00000000" w:rsidR="00000000" w:rsidRPr="00000000">
              <w:rPr>
                <w:rtl w:val="0"/>
              </w:rPr>
            </w:r>
          </w:p>
          <w:p w:rsidR="00000000" w:rsidDel="00000000" w:rsidP="00000000" w:rsidRDefault="00000000" w:rsidRPr="00000000" w14:paraId="0000001D">
            <w:pPr>
              <w:jc w:val="right"/>
              <w:rPr>
                <w:rFonts w:ascii="Calibri" w:cs="Calibri" w:eastAsia="Calibri" w:hAnsi="Calibri"/>
                <w:sz w:val="20"/>
                <w:szCs w:val="20"/>
                <w:vertAlign w:val="baseline"/>
              </w:rPr>
            </w:pPr>
            <w:r w:rsidDel="00000000" w:rsidR="00000000" w:rsidRPr="00000000">
              <w:rPr>
                <w:rFonts w:ascii="Calibri" w:cs="Calibri" w:eastAsia="Calibri" w:hAnsi="Calibri"/>
                <w:sz w:val="20"/>
                <w:szCs w:val="20"/>
                <w:vertAlign w:val="baseline"/>
                <w:rtl w:val="0"/>
              </w:rPr>
              <w:t xml:space="preserve">Received </w:t>
            </w:r>
          </w:p>
          <w:p w:rsidR="00000000" w:rsidDel="00000000" w:rsidP="00000000" w:rsidRDefault="00000000" w:rsidRPr="00000000" w14:paraId="0000001E">
            <w:pPr>
              <w:jc w:val="right"/>
              <w:rPr>
                <w:rFonts w:ascii="Calibri" w:cs="Calibri" w:eastAsia="Calibri" w:hAnsi="Calibri"/>
                <w:i w:val="0"/>
                <w:iCs w:val="0"/>
                <w:sz w:val="20"/>
                <w:szCs w:val="20"/>
                <w:vertAlign w:val="baseline"/>
              </w:rPr>
            </w:pPr>
            <w:r w:rsidDel="00000000" w:rsidR="00000000" w:rsidRPr="00000000">
              <w:rPr>
                <w:rFonts w:ascii="Calibri" w:cs="Calibri" w:eastAsia="Calibri" w:hAnsi="Calibri"/>
                <w:i w:val="1"/>
                <w:iCs w:val="1"/>
                <w:sz w:val="20"/>
                <w:szCs w:val="20"/>
                <w:vertAlign w:val="baseline"/>
                <w:rtl w:val="0"/>
              </w:rPr>
              <w:t xml:space="preserve">X Month 202Y</w:t>
            </w:r>
            <w:r w:rsidDel="00000000" w:rsidR="00000000" w:rsidRPr="00000000">
              <w:rPr>
                <w:rtl w:val="0"/>
              </w:rPr>
            </w:r>
          </w:p>
          <w:p w:rsidR="00000000" w:rsidDel="00000000" w:rsidP="00000000" w:rsidRDefault="00000000" w:rsidRPr="00000000" w14:paraId="0000001F">
            <w:pPr>
              <w:jc w:val="right"/>
              <w:rPr>
                <w:rFonts w:ascii="Calibri" w:cs="Calibri" w:eastAsia="Calibri" w:hAnsi="Calibri"/>
                <w:sz w:val="20"/>
                <w:szCs w:val="20"/>
                <w:vertAlign w:val="baseline"/>
              </w:rPr>
            </w:pPr>
            <w:r w:rsidDel="00000000" w:rsidR="00000000" w:rsidRPr="00000000">
              <w:rPr>
                <w:rFonts w:ascii="Calibri" w:cs="Calibri" w:eastAsia="Calibri" w:hAnsi="Calibri"/>
                <w:sz w:val="20"/>
                <w:szCs w:val="20"/>
                <w:vertAlign w:val="baseline"/>
                <w:rtl w:val="0"/>
              </w:rPr>
              <w:t xml:space="preserve">Received in revised form </w:t>
            </w:r>
          </w:p>
          <w:p w:rsidR="00000000" w:rsidDel="00000000" w:rsidP="00000000" w:rsidRDefault="00000000" w:rsidRPr="00000000" w14:paraId="00000020">
            <w:pPr>
              <w:jc w:val="right"/>
              <w:rPr>
                <w:rFonts w:ascii="Calibri" w:cs="Calibri" w:eastAsia="Calibri" w:hAnsi="Calibri"/>
                <w:i w:val="0"/>
                <w:iCs w:val="0"/>
                <w:sz w:val="20"/>
                <w:szCs w:val="20"/>
                <w:vertAlign w:val="baseline"/>
              </w:rPr>
            </w:pPr>
            <w:r w:rsidDel="00000000" w:rsidR="00000000" w:rsidRPr="00000000">
              <w:rPr>
                <w:rFonts w:ascii="Calibri" w:cs="Calibri" w:eastAsia="Calibri" w:hAnsi="Calibri"/>
                <w:i w:val="1"/>
                <w:iCs w:val="1"/>
                <w:sz w:val="20"/>
                <w:szCs w:val="20"/>
                <w:vertAlign w:val="baseline"/>
                <w:rtl w:val="0"/>
              </w:rPr>
              <w:t xml:space="preserve">XA Month 202Y</w:t>
            </w:r>
            <w:r w:rsidDel="00000000" w:rsidR="00000000" w:rsidRPr="00000000">
              <w:rPr>
                <w:rtl w:val="0"/>
              </w:rPr>
            </w:r>
          </w:p>
          <w:p w:rsidR="00000000" w:rsidDel="00000000" w:rsidP="00000000" w:rsidRDefault="00000000" w:rsidRPr="00000000" w14:paraId="00000021">
            <w:pPr>
              <w:jc w:val="right"/>
              <w:rPr>
                <w:rFonts w:ascii="Calibri" w:cs="Calibri" w:eastAsia="Calibri" w:hAnsi="Calibri"/>
                <w:sz w:val="20"/>
                <w:szCs w:val="20"/>
                <w:vertAlign w:val="baseline"/>
              </w:rPr>
            </w:pPr>
            <w:r w:rsidDel="00000000" w:rsidR="00000000" w:rsidRPr="00000000">
              <w:rPr>
                <w:rFonts w:ascii="Calibri" w:cs="Calibri" w:eastAsia="Calibri" w:hAnsi="Calibri"/>
                <w:sz w:val="20"/>
                <w:szCs w:val="20"/>
                <w:vertAlign w:val="baseline"/>
                <w:rtl w:val="0"/>
              </w:rPr>
              <w:t xml:space="preserve">Accepted </w:t>
            </w:r>
          </w:p>
          <w:p w:rsidR="00000000" w:rsidDel="00000000" w:rsidP="00000000" w:rsidRDefault="00000000" w:rsidRPr="00000000" w14:paraId="00000022">
            <w:pPr>
              <w:jc w:val="right"/>
              <w:rPr>
                <w:rFonts w:ascii="Calibri" w:cs="Calibri" w:eastAsia="Calibri" w:hAnsi="Calibri"/>
                <w:i w:val="0"/>
                <w:iCs w:val="0"/>
                <w:sz w:val="20"/>
                <w:szCs w:val="20"/>
                <w:vertAlign w:val="baseline"/>
              </w:rPr>
            </w:pPr>
            <w:r w:rsidDel="00000000" w:rsidR="00000000" w:rsidRPr="00000000">
              <w:rPr>
                <w:rFonts w:ascii="Calibri" w:cs="Calibri" w:eastAsia="Calibri" w:hAnsi="Calibri"/>
                <w:i w:val="1"/>
                <w:iCs w:val="1"/>
                <w:sz w:val="20"/>
                <w:szCs w:val="20"/>
                <w:vertAlign w:val="baseline"/>
                <w:rtl w:val="0"/>
              </w:rPr>
              <w:t xml:space="preserve">XB Month 202Y</w:t>
            </w:r>
            <w:r w:rsidDel="00000000" w:rsidR="00000000" w:rsidRPr="00000000">
              <w:rPr>
                <w:rtl w:val="0"/>
              </w:rPr>
            </w:r>
          </w:p>
          <w:p w:rsidR="00000000" w:rsidDel="00000000" w:rsidP="00000000" w:rsidRDefault="00000000" w:rsidRPr="00000000" w14:paraId="00000023">
            <w:pPr>
              <w:jc w:val="right"/>
              <w:rPr>
                <w:rFonts w:ascii="Calibri" w:cs="Calibri" w:eastAsia="Calibri" w:hAnsi="Calibri"/>
                <w:sz w:val="20"/>
                <w:szCs w:val="20"/>
                <w:vertAlign w:val="baseline"/>
              </w:rPr>
            </w:pPr>
            <w:r w:rsidDel="00000000" w:rsidR="00000000" w:rsidRPr="00000000">
              <w:rPr>
                <w:rFonts w:ascii="Calibri" w:cs="Calibri" w:eastAsia="Calibri" w:hAnsi="Calibri"/>
                <w:sz w:val="20"/>
                <w:szCs w:val="20"/>
                <w:vertAlign w:val="baseline"/>
                <w:rtl w:val="0"/>
              </w:rPr>
              <w:t xml:space="preserve">Published online </w:t>
            </w:r>
          </w:p>
          <w:p w:rsidR="00000000" w:rsidDel="00000000" w:rsidP="00000000" w:rsidRDefault="00000000" w:rsidRPr="00000000" w14:paraId="00000024">
            <w:pPr>
              <w:jc w:val="right"/>
              <w:rPr>
                <w:rFonts w:ascii="Calibri" w:cs="Calibri" w:eastAsia="Calibri" w:hAnsi="Calibri"/>
                <w:i w:val="0"/>
                <w:iCs w:val="0"/>
                <w:sz w:val="20"/>
                <w:szCs w:val="20"/>
                <w:vertAlign w:val="baseline"/>
              </w:rPr>
            </w:pPr>
            <w:r w:rsidDel="00000000" w:rsidR="00000000" w:rsidRPr="00000000">
              <w:rPr>
                <w:rFonts w:ascii="Calibri" w:cs="Calibri" w:eastAsia="Calibri" w:hAnsi="Calibri"/>
                <w:i w:val="1"/>
                <w:iCs w:val="1"/>
                <w:sz w:val="20"/>
                <w:szCs w:val="20"/>
                <w:vertAlign w:val="baseline"/>
                <w:rtl w:val="0"/>
              </w:rPr>
              <w:t xml:space="preserve">XB Month 202Y</w:t>
            </w:r>
            <w:r w:rsidDel="00000000" w:rsidR="00000000" w:rsidRPr="00000000">
              <w:rPr>
                <w:rtl w:val="0"/>
              </w:rPr>
            </w:r>
          </w:p>
          <w:p w:rsidR="00000000" w:rsidDel="00000000" w:rsidP="00000000" w:rsidRDefault="00000000" w:rsidRPr="00000000" w14:paraId="00000025">
            <w:pPr>
              <w:jc w:val="right"/>
              <w:rPr>
                <w:rFonts w:ascii="Calibri" w:cs="Calibri" w:eastAsia="Calibri" w:hAnsi="Calibri"/>
                <w:i w:val="0"/>
                <w:iCs w:val="0"/>
                <w:sz w:val="20"/>
                <w:szCs w:val="20"/>
                <w:vertAlign w:val="baseline"/>
              </w:rPr>
            </w:pPr>
            <w:r w:rsidDel="00000000" w:rsidR="00000000" w:rsidRPr="00000000">
              <w:rPr>
                <w:rtl w:val="0"/>
              </w:rPr>
            </w:r>
          </w:p>
          <w:p w:rsidR="00000000" w:rsidDel="00000000" w:rsidP="00000000" w:rsidRDefault="00000000" w:rsidRPr="00000000" w14:paraId="00000026">
            <w:pPr>
              <w:jc w:val="right"/>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*Corresponding author</w:t>
            </w:r>
          </w:p>
          <w:p w:rsidR="00000000" w:rsidDel="00000000" w:rsidP="00000000" w:rsidRDefault="00000000" w:rsidRPr="00000000" w14:paraId="00000027">
            <w:pPr>
              <w:jc w:val="right"/>
              <w:rPr>
                <w:rFonts w:ascii="Calibri" w:cs="Calibri" w:eastAsia="Calibri" w:hAnsi="Calibri"/>
                <w:vertAlign w:val="baseline"/>
              </w:rPr>
            </w:pPr>
            <w:hyperlink r:id="rId6">
              <w:r w:rsidDel="00000000" w:rsidR="00000000" w:rsidRPr="00000000">
                <w:rPr>
                  <w:rFonts w:ascii="Calibri" w:cs="Calibri" w:eastAsia="Calibri" w:hAnsi="Calibri"/>
                  <w:color w:val="0000ff"/>
                  <w:u w:val="single"/>
                  <w:vertAlign w:val="baseline"/>
                  <w:rtl w:val="0"/>
                </w:rPr>
                <w:t xml:space="preserve">maman@uxm.edu.my</w:t>
              </w:r>
            </w:hyperlink>
            <w:r w:rsidDel="00000000" w:rsidR="00000000" w:rsidRPr="00000000">
              <w:rPr>
                <w:rtl w:val="0"/>
              </w:rPr>
            </w:r>
          </w:p>
          <w:p w:rsidR="00000000" w:rsidDel="00000000" w:rsidP="00000000" w:rsidRDefault="00000000" w:rsidRPr="00000000" w14:paraId="00000028">
            <w:pPr>
              <w:jc w:val="right"/>
              <w:rPr>
                <w:rFonts w:ascii="Calibri" w:cs="Calibri" w:eastAsia="Calibri" w:hAnsi="Calibri"/>
                <w:sz w:val="16"/>
                <w:szCs w:val="16"/>
                <w:vertAlign w:val="baseline"/>
              </w:rPr>
            </w:pPr>
            <w:r w:rsidDel="00000000" w:rsidR="00000000" w:rsidRPr="00000000">
              <w:rPr>
                <w:rFonts w:ascii="Calibri" w:cs="Calibri" w:eastAsia="Calibri" w:hAnsi="Calibri"/>
                <w:sz w:val="16"/>
                <w:szCs w:val="16"/>
                <w:vertAlign w:val="baseline"/>
                <w:rtl w:val="0"/>
              </w:rPr>
              <w:t xml:space="preserve">Please provide an </w:t>
            </w:r>
            <w:r w:rsidDel="00000000" w:rsidR="00000000" w:rsidRPr="00000000">
              <w:rPr>
                <w:rFonts w:ascii="Calibri" w:cs="Calibri" w:eastAsia="Calibri" w:hAnsi="Calibri"/>
                <w:b w:val="1"/>
                <w:bCs w:val="1"/>
                <w:sz w:val="16"/>
                <w:szCs w:val="16"/>
                <w:vertAlign w:val="baseline"/>
                <w:rtl w:val="0"/>
              </w:rPr>
              <w:t xml:space="preserve">official organisation email</w:t>
            </w:r>
            <w:r w:rsidDel="00000000" w:rsidR="00000000" w:rsidRPr="00000000">
              <w:rPr>
                <w:rFonts w:ascii="Calibri" w:cs="Calibri" w:eastAsia="Calibri" w:hAnsi="Calibri"/>
                <w:sz w:val="16"/>
                <w:szCs w:val="16"/>
                <w:vertAlign w:val="baseline"/>
                <w:rtl w:val="0"/>
              </w:rPr>
              <w:t xml:space="preserve"> of the corresponding author</w:t>
            </w:r>
          </w:p>
        </w:tc>
      </w:tr>
      <w:tr>
        <w:trPr>
          <w:cantSplit w:val="0"/>
          <w:trHeight w:val="204" w:hRule="atLeast"/>
          <w:tblHeader w:val="0"/>
        </w:trPr>
        <w:tc>
          <w:tcPr>
            <w:gridSpan w:val="5"/>
            <w:tcBorders>
              <w:top w:color="943634" w:space="0" w:sz="4" w:val="single"/>
            </w:tcBorders>
            <w:vAlign w:val="top"/>
          </w:tcPr>
          <w:p w:rsidR="00000000" w:rsidDel="00000000" w:rsidP="00000000" w:rsidRDefault="00000000" w:rsidRPr="00000000" w14:paraId="0000002A">
            <w:pPr>
              <w:jc w:val="right"/>
              <w:rPr>
                <w:rFonts w:ascii="Calibri" w:cs="Calibri" w:eastAsia="Calibri" w:hAnsi="Calibri"/>
                <w:b w:val="0"/>
                <w:bCs w:val="0"/>
                <w:sz w:val="2"/>
                <w:szCs w:val="2"/>
                <w:vertAlign w:val="baseline"/>
              </w:rPr>
            </w:pPr>
            <w:r w:rsidDel="00000000" w:rsidR="00000000" w:rsidRPr="00000000">
              <w:rPr>
                <w:rtl w:val="0"/>
              </w:rPr>
            </w:r>
          </w:p>
        </w:tc>
      </w:tr>
      <w:tr>
        <w:trPr>
          <w:cantSplit w:val="1"/>
          <w:trHeight w:val="2276" w:hRule="atLeast"/>
          <w:tblHeader w:val="0"/>
        </w:trPr>
        <w:tc>
          <w:tcPr>
            <w:gridSpan w:val="2"/>
            <w:vMerge w:val="restart"/>
            <w:shd w:fill="auto" w:val="clear"/>
            <w:vAlign w:val="top"/>
          </w:tcPr>
          <w:p w:rsidR="00000000" w:rsidDel="00000000" w:rsidP="00000000" w:rsidRDefault="00000000" w:rsidRPr="00000000" w14:paraId="0000002F">
            <w:pPr>
              <w:jc w:val="center"/>
              <w:rPr>
                <w:rFonts w:ascii="Calibri" w:cs="Calibri" w:eastAsia="Calibri" w:hAnsi="Calibri"/>
                <w:b w:val="0"/>
                <w:bCs w:val="0"/>
                <w:vertAlign w:val="baseline"/>
              </w:rPr>
            </w:pPr>
            <w:r w:rsidDel="00000000" w:rsidR="00000000" w:rsidRPr="00000000">
              <w:rPr>
                <w:rFonts w:ascii="Calibri" w:cs="Calibri" w:eastAsia="Calibri" w:hAnsi="Calibri"/>
                <w:b w:val="1"/>
                <w:bCs w:val="1"/>
                <w:vertAlign w:val="baseline"/>
                <w:rtl w:val="0"/>
              </w:rPr>
              <w:t xml:space="preserve">Graphical abstract</w:t>
            </w:r>
            <w:r w:rsidDel="00000000" w:rsidR="00000000" w:rsidRPr="00000000">
              <w:rPr>
                <w:rtl w:val="0"/>
              </w:rPr>
            </w:r>
          </w:p>
          <w:p w:rsidR="00000000" w:rsidDel="00000000" w:rsidP="00000000" w:rsidRDefault="00000000" w:rsidRPr="00000000" w14:paraId="00000030">
            <w:pPr>
              <w:rPr>
                <w:rFonts w:ascii="Calibri" w:cs="Calibri" w:eastAsia="Calibri" w:hAnsi="Calibri"/>
                <w:sz w:val="16"/>
                <w:szCs w:val="16"/>
                <w:vertAlign w:val="baseline"/>
              </w:rPr>
            </w:pPr>
            <w:r w:rsidDel="00000000" w:rsidR="00000000" w:rsidRPr="00000000">
              <w:rPr>
                <w:rtl w:val="0"/>
              </w:rPr>
            </w:r>
          </w:p>
          <w:p w:rsidR="00000000" w:rsidDel="00000000" w:rsidP="00000000" w:rsidRDefault="00000000" w:rsidRPr="00000000" w14:paraId="00000031">
            <w:pPr>
              <w:jc w:val="center"/>
              <w:rPr>
                <w:rFonts w:ascii="Calibri" w:cs="Calibri" w:eastAsia="Calibri" w:hAnsi="Calibri"/>
                <w:vertAlign w:val="baseline"/>
              </w:rPr>
            </w:pPr>
            <w:r w:rsidDel="00000000" w:rsidR="00000000" w:rsidRPr="00000000">
              <w:rPr>
                <w:rFonts w:ascii="Calibri" w:cs="Calibri" w:eastAsia="Calibri" w:hAnsi="Calibri"/>
                <w:vertAlign w:val="baseline"/>
              </w:rPr>
              <w:drawing>
                <wp:inline distB="0" distT="0" distL="114300" distR="114300">
                  <wp:extent cx="1391920" cy="1965960"/>
                  <wp:effectExtent b="0" l="0" r="0" t="0"/>
                  <wp:docPr id="6" name="image6.jpg"/>
                  <a:graphic>
                    <a:graphicData uri="http://schemas.openxmlformats.org/drawingml/2006/picture">
                      <pic:pic>
                        <pic:nvPicPr>
                          <pic:cNvPr id="0" name="image6.jpg"/>
                          <pic:cNvPicPr preferRelativeResize="0"/>
                        </pic:nvPicPr>
                        <pic:blipFill>
                          <a:blip r:embed="rId7"/>
                          <a:srcRect b="0" l="0" r="0" t="0"/>
                          <a:stretch>
                            <a:fillRect/>
                          </a:stretch>
                        </pic:blipFill>
                        <pic:spPr>
                          <a:xfrm>
                            <a:off x="0" y="0"/>
                            <a:ext cx="1391920" cy="1965960"/>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jc w:val="center"/>
              <w:rPr>
                <w:rFonts w:ascii="Calibri" w:cs="Calibri" w:eastAsia="Calibri" w:hAnsi="Calibri"/>
                <w:vertAlign w:val="baseline"/>
              </w:rPr>
            </w:pPr>
            <w:r w:rsidDel="00000000" w:rsidR="00000000" w:rsidRPr="00000000">
              <w:rPr>
                <w:rtl w:val="0"/>
              </w:rPr>
            </w:r>
          </w:p>
          <w:p w:rsidR="00000000" w:rsidDel="00000000" w:rsidP="00000000" w:rsidRDefault="00000000" w:rsidRPr="00000000" w14:paraId="00000033">
            <w:pPr>
              <w:rPr>
                <w:rFonts w:ascii="Calibri" w:cs="Calibri" w:eastAsia="Calibri" w:hAnsi="Calibri"/>
                <w:b w:val="0"/>
                <w:bCs w:val="0"/>
                <w:color w:val="2e74b5"/>
                <w:sz w:val="20"/>
                <w:szCs w:val="20"/>
                <w:vertAlign w:val="baseline"/>
              </w:rPr>
            </w:pPr>
            <w:r w:rsidDel="00000000" w:rsidR="00000000" w:rsidRPr="00000000">
              <w:rPr>
                <w:rFonts w:ascii="Calibri" w:cs="Calibri" w:eastAsia="Calibri" w:hAnsi="Calibri"/>
                <w:b w:val="1"/>
                <w:bCs w:val="1"/>
                <w:color w:val="2e74b5"/>
                <w:sz w:val="20"/>
                <w:szCs w:val="20"/>
                <w:vertAlign w:val="baseline"/>
                <w:rtl w:val="0"/>
              </w:rPr>
              <w:t xml:space="preserve">a. Graphical Abstract is a compulsory item and should  represent the content of the article. Please change this picture with your own graphical abstract.</w:t>
            </w:r>
            <w:r w:rsidDel="00000000" w:rsidR="00000000" w:rsidRPr="00000000">
              <w:rPr>
                <w:rtl w:val="0"/>
              </w:rPr>
            </w:r>
          </w:p>
          <w:p w:rsidR="00000000" w:rsidDel="00000000" w:rsidP="00000000" w:rsidRDefault="00000000" w:rsidRPr="00000000" w14:paraId="00000034">
            <w:pPr>
              <w:rPr>
                <w:rFonts w:ascii="Calibri" w:cs="Calibri" w:eastAsia="Calibri" w:hAnsi="Calibri"/>
                <w:b w:val="0"/>
                <w:bCs w:val="0"/>
                <w:color w:val="2e74b5"/>
                <w:sz w:val="20"/>
                <w:szCs w:val="20"/>
                <w:vertAlign w:val="baseline"/>
              </w:rPr>
            </w:pPr>
            <w:r w:rsidDel="00000000" w:rsidR="00000000" w:rsidRPr="00000000">
              <w:rPr>
                <w:rtl w:val="0"/>
              </w:rPr>
            </w:r>
          </w:p>
          <w:p w:rsidR="00000000" w:rsidDel="00000000" w:rsidP="00000000" w:rsidRDefault="00000000" w:rsidRPr="00000000" w14:paraId="00000035">
            <w:pPr>
              <w:ind w:left="284" w:firstLine="0"/>
              <w:rPr>
                <w:rFonts w:ascii="Calibri" w:cs="Calibri" w:eastAsia="Calibri" w:hAnsi="Calibri"/>
                <w:b w:val="0"/>
                <w:bCs w:val="0"/>
                <w:smallCaps w:val="0"/>
                <w:sz w:val="36"/>
                <w:szCs w:val="36"/>
                <w:vertAlign w:val="baseline"/>
              </w:rPr>
            </w:pPr>
            <w:r w:rsidDel="00000000" w:rsidR="00000000" w:rsidRPr="00000000">
              <w:rPr>
                <w:rtl w:val="0"/>
              </w:rPr>
            </w:r>
          </w:p>
        </w:tc>
        <w:tc>
          <w:tcPr>
            <w:gridSpan w:val="3"/>
            <w:shd w:fill="fbd4b4" w:val="clear"/>
            <w:vAlign w:val="top"/>
          </w:tcPr>
          <w:p w:rsidR="00000000" w:rsidDel="00000000" w:rsidP="00000000" w:rsidRDefault="00000000" w:rsidRPr="00000000" w14:paraId="00000037">
            <w:pPr>
              <w:rPr>
                <w:rFonts w:ascii="Calibri" w:cs="Calibri" w:eastAsia="Calibri" w:hAnsi="Calibri"/>
                <w:b w:val="0"/>
                <w:bCs w:val="0"/>
                <w:vertAlign w:val="baseline"/>
              </w:rPr>
            </w:pPr>
            <w:r w:rsidDel="00000000" w:rsidR="00000000" w:rsidRPr="00000000">
              <w:rPr>
                <w:rFonts w:ascii="Calibri" w:cs="Calibri" w:eastAsia="Calibri" w:hAnsi="Calibri"/>
                <w:b w:val="1"/>
                <w:bCs w:val="1"/>
                <w:vertAlign w:val="baseline"/>
                <w:rtl w:val="0"/>
              </w:rPr>
              <w:t xml:space="preserve">Abstract</w:t>
            </w:r>
            <w:r w:rsidDel="00000000" w:rsidR="00000000" w:rsidRPr="00000000">
              <w:rPr>
                <w:rtl w:val="0"/>
              </w:rPr>
            </w:r>
          </w:p>
          <w:p w:rsidR="00000000" w:rsidDel="00000000" w:rsidP="00000000" w:rsidRDefault="00000000" w:rsidRPr="00000000" w14:paraId="00000038">
            <w:pPr>
              <w:rPr>
                <w:rFonts w:ascii="Calibri" w:cs="Calibri" w:eastAsia="Calibri" w:hAnsi="Calibri"/>
                <w:sz w:val="16"/>
                <w:szCs w:val="16"/>
                <w:vertAlign w:val="baseline"/>
              </w:rPr>
            </w:pPr>
            <w:r w:rsidDel="00000000" w:rsidR="00000000" w:rsidRPr="00000000">
              <w:rPr>
                <w:rtl w:val="0"/>
              </w:rPr>
            </w:r>
          </w:p>
          <w:p w:rsidR="00000000" w:rsidDel="00000000" w:rsidP="00000000" w:rsidRDefault="00000000" w:rsidRPr="00000000" w14:paraId="00000039">
            <w:pPr>
              <w:rPr>
                <w:rFonts w:ascii="Calibri" w:cs="Calibri" w:eastAsia="Calibri" w:hAnsi="Calibri"/>
                <w:sz w:val="16"/>
                <w:szCs w:val="16"/>
                <w:vertAlign w:val="baseline"/>
              </w:rPr>
            </w:pPr>
            <w:r w:rsidDel="00000000" w:rsidR="00000000" w:rsidRPr="00000000">
              <w:rPr>
                <w:rFonts w:ascii="Calibri" w:cs="Calibri" w:eastAsia="Calibri" w:hAnsi="Calibri"/>
                <w:b w:val="1"/>
                <w:bCs w:val="1"/>
                <w:sz w:val="16"/>
                <w:szCs w:val="16"/>
                <w:vertAlign w:val="baseline"/>
                <w:rtl w:val="0"/>
              </w:rPr>
              <w:t xml:space="preserve">A GOOD ABSTRACT SHOULD CONSIST OF INTRODUCTION, PROBLEM STATEMENT, QUANTITATIVE RESULTS &amp; DISCUSSION AND QUANTITATIVE CONCLUSION</w:t>
            </w:r>
            <w:r w:rsidDel="00000000" w:rsidR="00000000" w:rsidRPr="00000000">
              <w:rPr>
                <w:rFonts w:ascii="Calibri" w:cs="Calibri" w:eastAsia="Calibri" w:hAnsi="Calibri"/>
                <w:sz w:val="16"/>
                <w:szCs w:val="16"/>
                <w:vertAlign w:val="baseline"/>
                <w:rtl w:val="0"/>
              </w:rPr>
              <w:t xml:space="preserve">. This is just an example of the abstract Collecting information on traffic flows are important for provide high quality road system. At present, fixed camera is widely used for the monitoring system which covers limited area.  Therefore, the unmanned This is just an example of the abstract traffic flow since the UAV is responsive mobile sensing system. This development of UAV platform is a starting point This is just an example of the abstract which is in future can be enhance by connected the system with graphical user interface (GUI) on ground This is just an example of the abstract a real time video to ground control station without any interpretation by software that detects types of vehicles This is just an example of the abstract. This is just an example of the abstract. </w:t>
            </w:r>
          </w:p>
          <w:p w:rsidR="00000000" w:rsidDel="00000000" w:rsidP="00000000" w:rsidRDefault="00000000" w:rsidRPr="00000000" w14:paraId="0000003A">
            <w:pPr>
              <w:rPr>
                <w:rFonts w:ascii="Calibri" w:cs="Calibri" w:eastAsia="Calibri" w:hAnsi="Calibri"/>
                <w:sz w:val="16"/>
                <w:szCs w:val="16"/>
                <w:vertAlign w:val="baseline"/>
              </w:rPr>
            </w:pPr>
            <w:r w:rsidDel="00000000" w:rsidR="00000000" w:rsidRPr="00000000">
              <w:rPr>
                <w:rtl w:val="0"/>
              </w:rPr>
            </w:r>
          </w:p>
          <w:p w:rsidR="00000000" w:rsidDel="00000000" w:rsidP="00000000" w:rsidRDefault="00000000" w:rsidRPr="00000000" w14:paraId="0000003B">
            <w:pPr>
              <w:rPr>
                <w:rFonts w:ascii="Calibri" w:cs="Calibri" w:eastAsia="Calibri" w:hAnsi="Calibri"/>
                <w:sz w:val="16"/>
                <w:szCs w:val="16"/>
                <w:vertAlign w:val="baseline"/>
              </w:rPr>
            </w:pPr>
            <w:r w:rsidDel="00000000" w:rsidR="00000000" w:rsidRPr="00000000">
              <w:rPr>
                <w:rFonts w:ascii="Calibri" w:cs="Calibri" w:eastAsia="Calibri" w:hAnsi="Calibri"/>
                <w:i w:val="1"/>
                <w:iCs w:val="1"/>
                <w:sz w:val="16"/>
                <w:szCs w:val="16"/>
                <w:vertAlign w:val="baseline"/>
                <w:rtl w:val="0"/>
              </w:rPr>
              <w:t xml:space="preserve">Keywords</w:t>
            </w:r>
            <w:r w:rsidDel="00000000" w:rsidR="00000000" w:rsidRPr="00000000">
              <w:rPr>
                <w:rFonts w:ascii="Calibri" w:cs="Calibri" w:eastAsia="Calibri" w:hAnsi="Calibri"/>
                <w:sz w:val="16"/>
                <w:szCs w:val="16"/>
                <w:vertAlign w:val="baseline"/>
                <w:rtl w:val="0"/>
              </w:rPr>
              <w:t xml:space="preserve">: Highway traffic flow, unmanned aerial vehicle, quad rotor, real time video</w:t>
            </w:r>
            <w:r w:rsidDel="00000000" w:rsidR="00000000" w:rsidRPr="00000000">
              <w:rPr>
                <w:rFonts w:ascii="Calibri" w:cs="Calibri" w:eastAsia="Calibri" w:hAnsi="Calibri"/>
                <w:b w:val="1"/>
                <w:bCs w:val="1"/>
                <w:sz w:val="16"/>
                <w:szCs w:val="16"/>
                <w:vertAlign w:val="baseline"/>
                <w:rtl w:val="0"/>
              </w:rPr>
              <w:t xml:space="preserve"> KEYWORDS REQUIRED : 5</w:t>
            </w:r>
            <w:r w:rsidDel="00000000" w:rsidR="00000000" w:rsidRPr="00000000">
              <w:rPr>
                <w:rFonts w:ascii="Calibri" w:cs="Calibri" w:eastAsia="Calibri" w:hAnsi="Calibri"/>
                <w:sz w:val="16"/>
                <w:szCs w:val="16"/>
                <w:vertAlign w:val="baseline"/>
                <w:rtl w:val="0"/>
              </w:rPr>
              <w:t xml:space="preserve">.</w:t>
            </w:r>
          </w:p>
          <w:p w:rsidR="00000000" w:rsidDel="00000000" w:rsidP="00000000" w:rsidRDefault="00000000" w:rsidRPr="00000000" w14:paraId="0000003C">
            <w:pPr>
              <w:jc w:val="right"/>
              <w:rPr>
                <w:rFonts w:ascii="Calibri" w:cs="Calibri" w:eastAsia="Calibri" w:hAnsi="Calibri"/>
                <w:b w:val="0"/>
                <w:bCs w:val="0"/>
                <w:sz w:val="20"/>
                <w:szCs w:val="20"/>
                <w:vertAlign w:val="baseline"/>
              </w:rPr>
            </w:pPr>
            <w:r w:rsidDel="00000000" w:rsidR="00000000" w:rsidRPr="00000000">
              <w:rPr>
                <w:rtl w:val="0"/>
              </w:rPr>
            </w:r>
          </w:p>
        </w:tc>
      </w:tr>
      <w:tr>
        <w:trPr>
          <w:cantSplit w:val="1"/>
          <w:trHeight w:val="193" w:hRule="atLeast"/>
          <w:tblHeader w:val="0"/>
        </w:trPr>
        <w:tc>
          <w:tcPr>
            <w:gridSpan w:val="2"/>
            <w:vMerge w:val="continue"/>
            <w:shd w:fill="auto" w:val="cle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sz w:val="20"/>
                <w:szCs w:val="20"/>
                <w:vertAlign w:val="baseline"/>
              </w:rPr>
            </w:pPr>
            <w:r w:rsidDel="00000000" w:rsidR="00000000" w:rsidRPr="00000000">
              <w:rPr>
                <w:rtl w:val="0"/>
              </w:rPr>
            </w:r>
          </w:p>
        </w:tc>
        <w:tc>
          <w:tcPr>
            <w:gridSpan w:val="3"/>
            <w:shd w:fill="fbd4b4" w:val="clear"/>
          </w:tcPr>
          <w:p w:rsidR="00000000" w:rsidDel="00000000" w:rsidP="00000000" w:rsidRDefault="00000000" w:rsidRPr="00000000" w14:paraId="00000041">
            <w:pPr>
              <w:jc w:val="right"/>
              <w:rPr>
                <w:rFonts w:ascii="Calibri" w:cs="Calibri" w:eastAsia="Calibri" w:hAnsi="Calibri"/>
                <w:b w:val="0"/>
                <w:bCs w:val="0"/>
                <w:sz w:val="16"/>
                <w:szCs w:val="16"/>
                <w:vertAlign w:val="baseline"/>
              </w:rPr>
            </w:pPr>
            <w:r w:rsidDel="00000000" w:rsidR="00000000" w:rsidRPr="00000000">
              <w:rPr>
                <w:rFonts w:ascii="Calibri" w:cs="Calibri" w:eastAsia="Calibri" w:hAnsi="Calibri"/>
                <w:sz w:val="16"/>
                <w:szCs w:val="16"/>
                <w:vertAlign w:val="baseline"/>
                <w:rtl w:val="0"/>
              </w:rPr>
              <w:t xml:space="preserve">© 2022 Penerbit UTM Press. All rights reserved</w:t>
            </w:r>
            <w:r w:rsidDel="00000000" w:rsidR="00000000" w:rsidRPr="00000000">
              <w:rPr>
                <w:rtl w:val="0"/>
              </w:rPr>
            </w:r>
          </w:p>
        </w:tc>
      </w:tr>
      <w:tr>
        <w:trPr>
          <w:cantSplit w:val="0"/>
          <w:trHeight w:val="193" w:hRule="atLeast"/>
          <w:tblHeader w:val="0"/>
        </w:trPr>
        <w:tc>
          <w:tcPr>
            <w:gridSpan w:val="2"/>
            <w:tcBorders>
              <w:bottom w:color="943634" w:space="0" w:sz="4" w:val="single"/>
            </w:tcBorders>
            <w:vAlign w:val="top"/>
          </w:tcPr>
          <w:p w:rsidR="00000000" w:rsidDel="00000000" w:rsidP="00000000" w:rsidRDefault="00000000" w:rsidRPr="00000000" w14:paraId="00000044">
            <w:pPr>
              <w:rPr>
                <w:rFonts w:ascii="Calibri" w:cs="Calibri" w:eastAsia="Calibri" w:hAnsi="Calibri"/>
                <w:b w:val="0"/>
                <w:bCs w:val="0"/>
                <w:sz w:val="16"/>
                <w:szCs w:val="16"/>
                <w:vertAlign w:val="baseline"/>
              </w:rPr>
            </w:pPr>
            <w:r w:rsidDel="00000000" w:rsidR="00000000" w:rsidRPr="00000000">
              <w:rPr>
                <w:rtl w:val="0"/>
              </w:rPr>
            </w:r>
          </w:p>
        </w:tc>
        <w:tc>
          <w:tcPr>
            <w:gridSpan w:val="3"/>
            <w:tcBorders>
              <w:bottom w:color="943634" w:space="0" w:sz="4" w:val="single"/>
            </w:tcBorders>
          </w:tcPr>
          <w:p w:rsidR="00000000" w:rsidDel="00000000" w:rsidP="00000000" w:rsidRDefault="00000000" w:rsidRPr="00000000" w14:paraId="00000046">
            <w:pPr>
              <w:jc w:val="right"/>
              <w:rPr>
                <w:rFonts w:ascii="Calibri" w:cs="Calibri" w:eastAsia="Calibri" w:hAnsi="Calibri"/>
                <w:sz w:val="16"/>
                <w:szCs w:val="16"/>
                <w:vertAlign w:val="baseline"/>
              </w:rPr>
            </w:pPr>
            <w:r w:rsidDel="00000000" w:rsidR="00000000" w:rsidRPr="00000000">
              <w:rPr>
                <w:rtl w:val="0"/>
              </w:rPr>
            </w:r>
          </w:p>
        </w:tc>
      </w:tr>
    </w:tbl>
    <w:p>
      <w:pPr>
        <w:spacing w:before="0" w:after="120"/>
        <w:jc w:val="center"/>
      </w:pPr>
      <w:r>
        <w:rPr>
          <w:rFonts w:ascii="Calibri" w:hAnsi="Calibri" w:cs="Calibri"/>
          <w:b/>
          <w:sz w:val="28"/>
        </w:rPr>
        <w:t>GestPLC: Real-Time Hand Gesture Recognition for PLC Control using MediaPipe and Modbus TCP for Industry 4.0 Applications</w:t>
      </w:r>
    </w:p>
    <w:p>
      <w:pPr>
        <w:spacing w:before="120" w:after="60"/>
        <w:jc w:val="center"/>
      </w:pPr>
      <w:r>
        <w:rPr>
          <w:rFonts w:ascii="Calibri" w:hAnsi="Calibri" w:cs="Calibri"/>
          <w:sz w:val="20"/>
        </w:rPr>
        <w:t>Rofiq Cahyo Prayogo, Ahmad Ridlo Hanifudin Tahier, Munadi</w:t>
      </w:r>
    </w:p>
    <w:p>
      <w:pPr>
        <w:spacing w:before="0" w:after="60"/>
        <w:jc w:val="center"/>
      </w:pPr>
      <w:r>
        <w:rPr>
          <w:rFonts w:ascii="Calibri" w:hAnsi="Calibri" w:cs="Calibri"/>
          <w:i/>
          <w:sz w:val="18"/>
        </w:rPr>
        <w:t>Mechanical Engineering, Diponegoro University; Automation Engineering, Diponegoro University</w:t>
      </w:r>
    </w:p>
    <w:p>
      <w:pPr>
        <w:spacing w:before="0" w:after="120"/>
        <w:jc w:val="center"/>
      </w:pPr>
      <w:r>
        <w:rPr>
          <w:rFonts w:ascii="Calibri" w:hAnsi="Calibri" w:cs="Calibri"/>
          <w:i/>
          <w:sz w:val="18"/>
        </w:rPr>
        <w:t>rofiqotomasi@lecturer.undip.ac.id, ridlohanifudin@lecturer.undip.ac.id, munadi@lecturer.undip.ac.id</w:t>
      </w:r>
    </w:p>
    <w:p>
      <w:pPr>
        <w:spacing w:before="120" w:after="60"/>
        <w:jc w:val="center"/>
      </w:pPr>
      <w:r>
        <w:rPr>
          <w:rFonts w:ascii="Calibri" w:hAnsi="Calibri" w:cs="Calibri"/>
          <w:b/>
          <w:sz w:val="20"/>
        </w:rPr>
        <w:t>Abstract</w:t>
      </w:r>
    </w:p>
    <w:p>
      <w:pPr>
        <w:spacing w:before="0" w:after="120"/>
        <w:jc w:val="both"/>
      </w:pPr>
      <w:r>
        <w:rPr>
          <w:rFonts w:ascii="Calibri" w:hAnsi="Calibri" w:cs="Calibri"/>
          <w:sz w:val="20"/>
        </w:rPr>
        <w:t>Panel kontrol bersama pada lini produksi menciptakan risiko kontaminasi di lingkungan food-grade dan cleanroom. Kami membangun GestPLC untuk menguji apakah webcam USB biasa yang dipasangkan dengan classifier berbasis aturan geometris mampu mengendalikan PLC Schneider Modicon M221 tanpa GPU maupun jaringan saraf terlatih. MediaPipe mengekstrak 21 landmark tangan per frame pada CPU Intel Core i7; mesin threshold sudut kemudian mengkonversi landmark tersebut menjadi perintah tulis coil Modbus TCP melalui FC15. Penangkapan kamera, klasifikasi gestur, dan I/O Modbus masing-masing berjalan pada thread Python tersendiri sehingga balasan jaringan lambat tidak menghentikan loop visi. Pada pencahayaan 300 lux, classifier mencapai skor F1 makro 95,4% dan round-trip rata-rata Modbus 12,3 ms. Uji ketahanan 24 jam mencatat 872.640 transaksi dengan tingkat keberhasilan tulis 99,97%, meskipun mean time between failures komunikasi hanya 8,2 jam. Geometri landmark, bukan deep learning, terbukti memadai untuk kontrol PLC enam gestur pada hardware komoditas.</w:t>
      </w:r>
    </w:p>
    <w:p>
      <w:pPr>
        <w:spacing w:before="0" w:after="120"/>
        <w:jc w:val="both"/>
      </w:pPr>
      <w:r>
        <w:rPr>
          <w:rFonts w:ascii="Calibri" w:hAnsi="Calibri" w:cs="Calibri"/>
          <w:b/>
          <w:sz w:val="20"/>
        </w:rPr>
        <w:t xml:space="preserve">Keywords: </w:t>
      </w:r>
      <w:r>
        <w:rPr>
          <w:rFonts w:ascii="Calibri" w:hAnsi="Calibri" w:cs="Calibri"/>
          <w:i/>
          <w:sz w:val="20"/>
        </w:rPr>
        <w:t>Hand Gesture Recognition, PLC Control, MediaPipe, Modbus TCP, Industry 4.0, Threading</w:t>
      </w:r>
    </w:p>
    <w:p w:rsidR="00000000" w:rsidDel="00000000" w:rsidP="00000000" w:rsidRDefault="00000000" w:rsidRPr="00000000" w14:paraId="0000004A">
      <w:pPr>
        <w:rPr>
          <w:rFonts w:ascii="Calibri" w:cs="Calibri" w:eastAsia="Calibri" w:hAnsi="Calibri"/>
          <w:vertAlign w:val="baseline"/>
        </w:rPr>
        <w:sectPr>
          <w:headerReference r:id="rId8" w:type="default"/>
          <w:footerReference r:id="rId9" w:type="default"/>
          <w:footerReference r:id="rId10" w:type="first"/>
          <w:footerReference r:id="rId11" w:type="even"/>
          <w:pgSz w:h="15840" w:w="12240" w:orient="portrait"/>
          <w:pgMar w:bottom="950" w:top="720" w:left="1094" w:right="1094" w:header="720" w:footer="720"/>
          <w:pgNumType w:start="1"/>
          <w:titlePg w:val="1"/>
        </w:sectPr>
      </w:pPr>
    </w:p>
    <w:p>
      <w:pPr>
        <w:spacing w:before="120" w:after="60"/>
        <w:jc w:val="left"/>
      </w:pPr>
      <w:r>
        <w:rPr>
          <w:rFonts w:ascii="Calibri" w:hAnsi="Calibri" w:cs="Calibri"/>
          <w:b/>
          <w:sz w:val="20"/>
        </w:rPr>
        <w:t>PENDAHULUAN</w:t>
      </w:r>
    </w:p>
    <w:p>
      <w:pPr>
        <w:spacing w:before="0" w:after="0"/>
        <w:jc w:val="both"/>
      </w:pPr>
      <w:r>
        <w:rPr>
          <w:rFonts w:ascii="Calibri" w:hAnsi="Calibri" w:cs="Calibri"/>
          <w:sz w:val="20"/>
        </w:rPr>
        <w:t>Jutaan mesin di seluruh dunia masih beroperasi melalui PLC untuk sortasi konveyor hingga dosing bahan kimia [2], [3]. Industry 4.0 mendorong kamera, modul suara, dan sensor gestur ke daftar input PLC yang diterima [9], [11], namun antarmuka manusia-mesin di sebagian besar pabrik masih berupa panel fisik. Di lingkungan food-grade dan cleanroom, menyentuh panel setelah menangani produk atau memakai sarung tangan merupakan jalur kontaminasi yang terdokumentasi [3], [17]. Satu pertanyaan yang muncul: bisakah webcam USB biasa dengan classifier CPU-only menggantikan sentuhan panel tanpa hardware khusus?</w:t>
      </w:r>
    </w:p>
    <w:p>
      <w:pPr>
        <w:spacing w:before="0" w:after="0"/>
        <w:jc w:val="both"/>
      </w:pPr>
      <w:r>
        <w:rPr>
          <w:rFonts w:ascii="Calibri" w:hAnsi="Calibri" w:cs="Calibri"/>
          <w:sz w:val="20"/>
        </w:rPr>
        <w:t>Pelacakan landmark tangan belum bisa dipakai secara praktis di lantai pabrik sebelum MediaPipe muncul pada 2019 [1]. Pendekatan lebih awal menggunakan HOG dengan SVM [10] atau arsitektur CNN dan CNN-LSTM [5], [14]; keduanya memerlukan pencahayaan terkontrol atau GPU diskret. Workstation pabrik jarang memiliki GPU, sehingga model-model tersebut jarang di-deploy di lapangan [4], [14]. MediaPipe mengekstrak 21 landmark skeletal per frame pada CPU biasa. Outputnya berupa vektor koordinat, bukan label kelas, sehingga aturan geometris sederhana bisa mengubahnya menjadi perintah gestur tanpa data pelatihan.</w:t>
      </w:r>
    </w:p>
    <w:p>
      <w:pPr>
        <w:spacing w:before="0" w:after="0"/>
        <w:jc w:val="both"/>
      </w:pPr>
      <w:r>
        <w:rPr>
          <w:rFonts w:ascii="Calibri" w:hAnsi="Calibri" w:cs="Calibri"/>
          <w:sz w:val="20"/>
        </w:rPr>
        <w:t>Modbus TCP, beroperasi sejak 1990-an, berjalan pada sekitar tujuh juta node industri [6], [11]. Protokol ini menggunakan model polling: master mengirim query, slave membalas, dan thread pemanggil terblokir hingga jawaban tiba. Round-trip berkisar 1-15 ms pada LAN senggang, namun bisa membengkak hingga ratusan milidetik di bawah beban CPU atau jaringan [6], [16]. Jika loop kamera dan Modbus berbagi thread yang sama, respons lambat membekukan frame grabber. Kami menempatkan Modbus pada thread tersendiri. Setelah meninjau sistem gestur-PLC yang dipublikasikan, tidak satupun secara eksplisit membahas arsitektur threading [3], [4].</w:t>
      </w:r>
    </w:p>
    <w:p>
      <w:pPr>
        <w:spacing w:before="0" w:after="0"/>
        <w:jc w:val="both"/>
      </w:pPr>
      <w:r>
        <w:rPr>
          <w:rFonts w:ascii="Calibri" w:hAnsi="Calibri" w:cs="Calibri"/>
          <w:sz w:val="20"/>
        </w:rPr>
        <w:t>Publikasi gestur-PLC yang ada mengikuti pola tertentu: penulis menerima frame drop akibat blocking I/O, atau memindahkan klasifikasi ke model lebih dalam dengan akselerasi GPU [5], [8]. Kami tidak menemukan studi yang menggabungkan ketiga elemen sekaligus: arsitektur threading penuh, classifier tanpa pelatihan, dan uji reliabilitas 24 jam pada hardware PLC sesungguhnya.</w:t>
      </w:r>
    </w:p>
    <w:p>
      <w:pPr>
        <w:spacing w:before="0" w:after="0"/>
        <w:jc w:val="both"/>
      </w:pPr>
      <w:r>
        <w:rPr>
          <w:rFonts w:ascii="Calibri" w:hAnsi="Calibri" w:cs="Calibri"/>
          <w:sz w:val="20"/>
        </w:rPr>
        <w:t>GestPLC mengisi celah tersebut. Kamera berjalan di satu thread tanpa menunggu kondisi jaringan. Thread kedua menangani MediaPipe dan filter debounce gestur. Thread ketiga melakukan polling PLC via FC1 dan menulis perintah dengan FC15. Peta register ganda memisahkan pembacaan status PLC (M100-M115, FC1) dari penulisan perintah gestur (M200-M215, FC15) untuk mencegah tabrakan memori. Pengujian dilakukan pada tiga tingkat pencahayaan, tiga tingkat beban CPU, dan uji ketahanan 24 jam mencatat 872.640 transaksi Modbus.</w:t>
      </w:r>
    </w:p>
    <w:p>
      <w:pPr>
        <w:spacing w:before="120" w:after="60"/>
        <w:jc w:val="left"/>
      </w:pPr>
      <w:r>
        <w:rPr>
          <w:rFonts w:ascii="Calibri" w:hAnsi="Calibri" w:cs="Calibri"/>
          <w:b/>
          <w:sz w:val="20"/>
        </w:rPr>
        <w:t>TINJAUAN PUSTAKA</w:t>
      </w:r>
    </w:p>
    <w:p>
      <w:pPr>
        <w:spacing w:before="60" w:after="60"/>
        <w:jc w:val="left"/>
      </w:pPr>
      <w:r>
        <w:rPr>
          <w:rFonts w:ascii="Calibri" w:hAnsi="Calibri" w:cs="Calibri"/>
          <w:b/>
          <w:sz w:val="20"/>
        </w:rPr>
        <w:t>Metode Pengenalan Gestur Tangan</w:t>
      </w:r>
    </w:p>
    <w:p>
      <w:pPr>
        <w:spacing w:before="0" w:after="0"/>
        <w:jc w:val="both"/>
      </w:pPr>
      <w:r>
        <w:rPr>
          <w:rFonts w:ascii="Calibri" w:hAnsi="Calibri" w:cs="Calibri"/>
          <w:sz w:val="20"/>
        </w:rPr>
        <w:t>Metode pengenalan gestur tangan terbagi menjadi deskriptor buatan tangan dan deep learning. Nguyen dan Phung [10] menggunakan HOG dengan SVM untuk gestur statis pada kontrol robot, melaporkan akurasi 99% pada pencahayaan terkontrol, namun turun saat latar belakang berubah. Tchantchane et al. [19] meninjau sistem gestur berbasis sensor wearable dan menemukan ketahanan lintas kondisi masih menjadi masalah terbuka. Wang et al. [5] menggabungkan CNN-LSTM untuk translasi gestur-ke-suara dan mencapai 93%, namun memerlukan GPU. Muhtadin et al. [14] membangun model 1.103 parameter dikuantisasi 7 KB untuk kontrol UR5 dengan akurasi 93,5%, tetapi harus dilatih ulang setiap set gestur berubah.</w:t>
      </w:r>
    </w:p>
    <w:p>
      <w:pPr>
        <w:spacing w:before="60" w:after="60"/>
        <w:jc w:val="center"/>
      </w:pPr>
      <w:r>
        <w:rPr>
          <w:rFonts w:ascii="Calibri" w:hAnsi="Calibri" w:cs="Calibri"/>
          <w:i/>
          <w:color w:val="FF0000"/>
          <w:sz w:val="20"/>
        </w:rPr>
        <w:t>[PROMPT UNTUK AI GAMBAR: Timeline Evolusi Teknologi Pengenalan Gestur Tangan. A clean, academic-style horizontal timeline infographic illustrating the evolution of hand gesture recognition technology from 1990 to 2024. The timeline flows left to right with labeled milestones at roughly 1990 for HOG and SVM handcrafted descriptors, 2005 for SIFT feature matching, 2012 for the deep CNN revolution, 2018 for LSTM temporal gesture models, and 2019 onward for MediaPipe lightweight landmark tracking. Each era features a small illustrative icon suggesting its dominant method. The background is white or light gray, typography is clean sans-serif, and color accents distinguish each technology generation. Style is consistent with IEEE conference paper figures, professional, readable, and uncluttered, with no decorative flourishes.]</w:t>
      </w:r>
    </w:p>
    <w:p>
      <w:pPr>
        <w:spacing w:before="60" w:after="120"/>
        <w:jc w:val="center"/>
      </w:pPr>
      <w:r>
        <w:rPr>
          <w:rFonts w:ascii="Calibri" w:hAnsi="Calibri" w:cs="Calibri"/>
          <w:b/>
          <w:sz w:val="16"/>
        </w:rPr>
        <w:t xml:space="preserve">Fig. 1. </w:t>
      </w:r>
      <w:r>
        <w:rPr>
          <w:rFonts w:ascii="Calibri" w:hAnsi="Calibri" w:cs="Calibri"/>
          <w:sz w:val="16"/>
        </w:rPr>
        <w:t>Timeline Evolusi Teknologi Pengenalan Gestur Tangan</w:t>
      </w:r>
    </w:p>
    <w:p>
      <w:pPr>
        <w:spacing w:before="0" w:after="0"/>
        <w:jc w:val="both"/>
      </w:pPr>
      <w:r>
        <w:rPr>
          <w:rFonts w:ascii="Calibri" w:hAnsi="Calibri" w:cs="Calibri"/>
          <w:sz w:val="20"/>
        </w:rPr>
        <w:t>Google merilis MediaPipe pada 2019 [1], melacak 21 titik skeletal per tangan pada CPU tanpa GPU (Gbr. 1). Bensaadallah et al. [12] menggunakan landmark MediaPipe untuk mengendalikan lengan robot R12 dengan terminal berbiaya rendah. Kwolek [15] menambahkan spatio-temporal graph convolution network di atas MediaPipe untuk pengenalan gestur perakitan, mengungguli baseline RNN dan ST-GCN. Dalam paper ini, vektor koordinat P_i=(x_i,y_i,z_i) diumpankan ke mesin aturan geometris yang berjalan di bawah satu milidetik tanpa data pelatihan. Perubahan set gestur hanya memerlukan penyesuaian threshold sudut.</w:t>
      </w:r>
    </w:p>
    <w:p>
      <w:pPr>
        <w:spacing w:before="60" w:after="60"/>
        <w:jc w:val="left"/>
      </w:pPr>
      <w:r>
        <w:rPr>
          <w:rFonts w:ascii="Calibri" w:hAnsi="Calibri" w:cs="Calibri"/>
          <w:b/>
          <w:sz w:val="20"/>
        </w:rPr>
        <w:t>Protokol Komunikasi PLC dan Modbus TCP</w:t>
      </w:r>
    </w:p>
    <w:p>
      <w:pPr>
        <w:spacing w:before="0" w:after="0"/>
        <w:jc w:val="both"/>
      </w:pPr>
      <w:r>
        <w:rPr>
          <w:rFonts w:ascii="Calibri" w:hAnsi="Calibri" w:cs="Calibri"/>
          <w:sz w:val="20"/>
        </w:rPr>
        <w:t>Modbus TCP digunakan sejak 1990-an pada sekitar tujuh juta node industri [6], [11]. Shaikh et al. [11] mensurvei protokol Industry 4.0 termasuk RS-485, PROFINET, EtherCAT, dan MQTT; Modbus masih mendominasi di pabrik legacy karena integrasi sederhana. Tapia et al. [7] membandingkan OPC-UA, Modbus, dan Ethernet/IP pada tiga machine tool; Modbus memiliki latensi terendah. Protokol ini menggunakan model polling: master mengirim query, slave membalas, thread terblokir. Nikolajew dan Eichelberger [6] mengukur round-trip 1-15 ms pada LAN senggang, namun membengkak hingga ratusan milidetik di bawah beban. Wang et al. [16] mengukur pola serupa. Dalam paper ini, PC membaca coil PLC M100-M115 via FC1 dan menulis perintah gestur ke M200-M215 via FC15 pada Schneider Modicon M221 [20]. Kabel Cat-5e langsung digunakan tanpa switch untuk menghilangkan jitter.</w:t>
      </w:r>
    </w:p>
    <w:p>
      <w:pPr>
        <w:spacing w:before="60" w:after="60"/>
        <w:jc w:val="left"/>
      </w:pPr>
      <w:r>
        <w:rPr>
          <w:rFonts w:ascii="Calibri" w:hAnsi="Calibri" w:cs="Calibri"/>
          <w:b/>
          <w:sz w:val="20"/>
        </w:rPr>
        <w:t>Antarmuka Manusia-Mesin Tanpa Sentuhan</w:t>
      </w:r>
    </w:p>
    <w:p>
      <w:pPr>
        <w:spacing w:before="0" w:after="0"/>
        <w:jc w:val="both"/>
      </w:pPr>
      <w:r>
        <w:rPr>
          <w:rFonts w:ascii="Calibri" w:hAnsi="Calibri" w:cs="Calibri"/>
          <w:sz w:val="20"/>
        </w:rPr>
        <w:t>Yashika et al. [3] mengusulkan kontrol PLC berbasis gestur untuk lingkungan higienis. Sawarkar et al. [18] membangun sistem gestur AI untuk aksesibilitas namun tanpa koneksi PLC industri. Benyezza et al. [17] menggabungkan OpenCV dengan Siemens S7-1200 untuk sortasi buah otomatis. Peral et al. [13] menggunakan pipeline ringan untuk gestur pada interaksi manusia-robot tanpa integrasi Modbus. Sebagian besar sistem menggunakan hardware depth RGB-D atau classifier GPU [4], [14]. Masalah utama: panggilan Modbus berjalan di thread yang sama dengan loop kamera [3], [4], sehingga delay jaringan menghentikan penangkapan frame. Dalam paper ini, Modbus berjalan pada thread terpisah.</w:t>
      </w:r>
    </w:p>
    <w:p>
      <w:pPr>
        <w:spacing w:before="120" w:after="60"/>
        <w:jc w:val="left"/>
      </w:pPr>
      <w:r>
        <w:rPr>
          <w:rFonts w:ascii="Calibri" w:hAnsi="Calibri" w:cs="Calibri"/>
          <w:b/>
          <w:sz w:val="20"/>
        </w:rPr>
        <w:t>METODOLOGI</w:t>
      </w:r>
    </w:p>
    <w:p>
      <w:pPr>
        <w:spacing w:before="60" w:after="60"/>
        <w:jc w:val="left"/>
      </w:pPr>
      <w:r>
        <w:rPr>
          <w:rFonts w:ascii="Calibri" w:hAnsi="Calibri" w:cs="Calibri"/>
          <w:b/>
          <w:sz w:val="20"/>
        </w:rPr>
        <w:t>Arsitektur Tiga Thread</w:t>
      </w:r>
    </w:p>
    <w:p>
      <w:pPr>
        <w:spacing w:before="0" w:after="0"/>
        <w:jc w:val="both"/>
      </w:pPr>
      <w:r>
        <w:rPr>
          <w:rFonts w:ascii="Calibri" w:hAnsi="Calibri" w:cs="Calibri"/>
          <w:sz w:val="20"/>
        </w:rPr>
        <w:t>Webcam USB terhubung ke desktop Intel Core i7 tanpa GPU diskret, dan PC berkomunikasi dengan PLC Schneider Modicon M221 melalui tautan Cat-5e langsung. Frame visi disalurkan dari webcam ke MediaPipe pada CPU, lalu kode gestur dikirim ke PLC sebagai permintaan tulis Modbus FC15 yang menargetkan coil M200-M215. Program ladder PLC memetakan coil tersebut ke output fisik Q0-Q15.</w:t>
      </w:r>
    </w:p>
    <w:p>
      <w:pPr>
        <w:spacing w:before="60" w:after="60"/>
        <w:jc w:val="center"/>
      </w:pPr>
      <w:r>
        <w:rPr>
          <w:rFonts w:ascii="Calibri" w:hAnsi="Calibri" w:cs="Calibri"/>
          <w:i/>
          <w:color w:val="FF0000"/>
          <w:sz w:val="20"/>
        </w:rPr>
        <w:t>[PROMPT UNTUK AI GAMBAR: Arsitektur Sistem GestPLC. A clear block-diagram of the GestPLC system architecture showing three main components connected in sequence: a USB webcam on the left, a personal computer in the center, and a Schneider Modicon M221 PLC on the right. Inside the PC block, three labeled thread boxes are shown: Thread 1 for frame capture via OpenCV, Thread 2 for MediaPipe gesture classification, and Thread 3 for Modbus TCP communication. Directional arrows indicate data flow from the webcam through the CPU threads to the PLC over a Cat-5e Ethernet link. Modbus FC1 read and FC15 write labels appear on the connecting line. Background is white, style is clean and minimal, suitable for an IEEE conference paper.]</w:t>
      </w:r>
    </w:p>
    <w:p>
      <w:pPr>
        <w:spacing w:before="60" w:after="120"/>
        <w:jc w:val="center"/>
      </w:pPr>
      <w:r>
        <w:rPr>
          <w:rFonts w:ascii="Calibri" w:hAnsi="Calibri" w:cs="Calibri"/>
          <w:b/>
          <w:sz w:val="16"/>
        </w:rPr>
        <w:t xml:space="preserve">Fig. 2. </w:t>
      </w:r>
      <w:r>
        <w:rPr>
          <w:rFonts w:ascii="Calibri" w:hAnsi="Calibri" w:cs="Calibri"/>
          <w:sz w:val="16"/>
        </w:rPr>
        <w:t>Arsitektur Sistem GestPLC</w:t>
      </w:r>
    </w:p>
    <w:p>
      <w:pPr>
        <w:spacing w:before="0" w:after="0"/>
        <w:jc w:val="both"/>
      </w:pPr>
      <w:r>
        <w:rPr>
          <w:rFonts w:ascii="Calibri" w:hAnsi="Calibri" w:cs="Calibri"/>
          <w:sz w:val="20"/>
        </w:rPr>
        <w:t>Panggilan Modbus terblokir hingga 15 ms pada kondisi normal, dan ratusan milidetik saat CPU terbebani [6]. Jika loop kamera dan loop Modbus berbagi satu thread, frame rate turun setiap ada delay koneksi. Kami menempatkan setiap fungsi di thread-nya sendiri (Gbr. 2). OpenCV dan MediaPipe, diimplementasikan dalam C++, melepas GIL Python selama komputasi sehingga ketiga thread berjalan paralel sejati. Thread 1 menangkap frame kamera tanpa kondisi blocking apapun. Thread 2 menjalankan inferensi MediaPipe, menghitung sudut sendi, dan memasukkan kode gestur ke queue bersama. Thread 3 membaca M100-M115 via FC1 dan menulis isi queue ke M200-M215 dengan FC15. Spike Modbus 300 ms tidak menyentuh frame rate kamera. Delay end-to-end dibatasi oleh:</w:t>
      </w:r>
    </w:p>
    <w:p>
      <w:pPr>
        <w:spacing w:before="60" w:after="60"/>
        <w:jc w:val="center"/>
      </w:pPr>
      <w:r>
        <w:rPr>
          <w:rFonts w:ascii="Cambria Math" w:hAnsi="Cambria Math" w:cs="Cambria Math"/>
          <w:i/>
          <w:sz w:val="20"/>
        </w:rPr>
        <w:t>Ttotal ≈ (Tcap, Tinf, Tmodbus) + Tqueue    (1)</w:t>
      </w:r>
    </w:p>
    <w:p>
      <w:pPr>
        <w:spacing w:before="0" w:after="0"/>
        <w:jc w:val="both"/>
      </w:pPr>
      <w:r>
        <w:rPr>
          <w:rFonts w:ascii="Calibri" w:hAnsi="Calibri" w:cs="Calibri"/>
          <w:sz w:val="20"/>
        </w:rPr>
        <w:t>Di sini Tcap adalah waktu penangkapan kamera, Tinf waktu inferensi MediaPipe, Tmodbus satu round-trip Modbus, dan Tqueue overhead antar-thread. Dalam pengukuran kami, Tqueue konsisten di bawah 0,5 ms. Karena ketiga thread tumpang tindih, total delay sama dengan thread paling lambat ditambah overhead queue. Ini hanya berlaku karena backend C++ melepas GIL.</w:t>
      </w:r>
    </w:p>
    <w:p>
      <w:pPr>
        <w:spacing w:before="60" w:after="60"/>
        <w:jc w:val="left"/>
      </w:pPr>
      <w:r>
        <w:rPr>
          <w:rFonts w:ascii="Calibri" w:hAnsi="Calibri" w:cs="Calibri"/>
          <w:b/>
          <w:sz w:val="20"/>
        </w:rPr>
        <w:t>Konfigurasi Hardware dan Setup PC-PLC</w:t>
      </w:r>
    </w:p>
    <w:p>
      <w:pPr>
        <w:spacing w:before="0" w:after="0"/>
        <w:jc w:val="both"/>
      </w:pPr>
      <w:r>
        <w:rPr>
          <w:rFonts w:ascii="Calibri" w:hAnsi="Calibri" w:cs="Calibri"/>
          <w:sz w:val="20"/>
        </w:rPr>
        <w:t>Rig pengujian dibatasi pada desktop Intel Core i7-10700, RAM 16 GB, tanpa GPU diskret, untuk membuktikan bahwa stack software berjalan pada hardware standar pabrik. PC (192.168.1.2/24) dan PLC (192.168.1.50/24) dihubungkan point-to-point dengan kabel Cat-5e, menghilangkan sekitar 1-2 ms jitter.</w:t>
      </w:r>
    </w:p>
    <w:p>
      <w:pPr>
        <w:spacing w:before="60" w:after="60"/>
        <w:jc w:val="center"/>
      </w:pPr>
      <w:r>
        <w:rPr>
          <w:rFonts w:ascii="Calibri" w:hAnsi="Calibri" w:cs="Calibri"/>
          <w:i/>
          <w:color w:val="FF0000"/>
          <w:sz w:val="20"/>
        </w:rPr>
        <w:t>[PROMPT UNTUK AI GAMBAR: Konfigurasi Jaringan PC dan PLC. A clean network configuration diagram showing two devices connected point-to-point via a Cat-5e Ethernet cable. The left device represents a desktop PC with static IP address 192.168.1.2 and subnet mask 255.255.255.0 labeled in a neat rectangular callout box. The right device represents a Schneider Modicon M221 PLC with IP address 192.168.1.50 on the same subnet displayed similarly. A simple Ethernet cable symbol bridges both nodes directly without any switch in between. Both device icons are clearly labeled with their roles. Background is white, layout is symmetrical and horizontally balanced, and the style matches technical network topology figures used in IEEE automation and control papers.]</w:t>
      </w:r>
    </w:p>
    <w:p>
      <w:pPr>
        <w:spacing w:before="60" w:after="120"/>
        <w:jc w:val="center"/>
      </w:pPr>
      <w:r>
        <w:rPr>
          <w:rFonts w:ascii="Calibri" w:hAnsi="Calibri" w:cs="Calibri"/>
          <w:b/>
          <w:sz w:val="16"/>
        </w:rPr>
        <w:t xml:space="preserve">Fig. 3. </w:t>
      </w:r>
      <w:r>
        <w:rPr>
          <w:rFonts w:ascii="Calibri" w:hAnsi="Calibri" w:cs="Calibri"/>
          <w:sz w:val="16"/>
        </w:rPr>
        <w:t>Konfigurasi Jaringan PC dan PLC</w:t>
      </w:r>
    </w:p>
    <w:p>
      <w:pPr>
        <w:spacing w:before="0" w:after="0"/>
        <w:jc w:val="both"/>
      </w:pPr>
      <w:r>
        <w:rPr>
          <w:rFonts w:ascii="Calibri" w:hAnsi="Calibri" w:cs="Calibri"/>
          <w:sz w:val="20"/>
        </w:rPr>
        <w:t>Pengkabelan ditunjukkan pada Gbr. 3. Di sisi PLC, memori dibagi menjadi dua blok. Register M100-M115 bersifat read-only dari perspektif PC, mencerminkan state input fisik I0-I15. Register M200-M215 adalah target tulis; PC menulis perintah gestur menggunakan FC15, dan program ladder PLC membacanya setiap siklus scan untuk menggerakkan output Q0-Q3. Register baca (M100-M115) dan register tulis (M200-M215) tidak tumpang tindih. FC1 dan FC15 tidak bisa bertabrakan.</w:t>
      </w:r>
    </w:p>
    <w:p>
      <w:pPr>
        <w:spacing w:before="60" w:after="60"/>
        <w:jc w:val="center"/>
      </w:pPr>
      <w:r>
        <w:rPr>
          <w:rFonts w:ascii="Calibri" w:hAnsi="Calibri" w:cs="Calibri"/>
          <w:i/>
          <w:color w:val="FF0000"/>
          <w:sz w:val="20"/>
        </w:rPr>
        <w:t>[PROMPT UNTUK AI GAMBAR: Diagram Ladder Pemetaan M200-M203 ke Q0-Q3. A simplified PLC ladder logic diagram showing four parallel rungs that map internal memory registers M200, M201, M202, and M203 to physical output coils Q0, Q1, Q2, and Q3 respectively. Each rung contains a normally-open contact symbol on the left referencing one M-register, connected by a horizontal line to a coil output symbol on the right referencing the corresponding Q-output. Labels are printed cleanly next to each contact and coil. Two vertical power rail lines bound the ladder on both sides. Background is white, lines are thin and precise, notation follows IEC 61131-3 ladder diagram standards, and the figure is compact and publication-ready for an IEEE conference methodology section.]</w:t>
      </w:r>
    </w:p>
    <w:p>
      <w:pPr>
        <w:spacing w:before="60" w:after="120"/>
        <w:jc w:val="center"/>
      </w:pPr>
      <w:r>
        <w:rPr>
          <w:rFonts w:ascii="Calibri" w:hAnsi="Calibri" w:cs="Calibri"/>
          <w:b/>
          <w:sz w:val="16"/>
        </w:rPr>
        <w:t xml:space="preserve">Fig. 4. </w:t>
      </w:r>
      <w:r>
        <w:rPr>
          <w:rFonts w:ascii="Calibri" w:hAnsi="Calibri" w:cs="Calibri"/>
          <w:sz w:val="16"/>
        </w:rPr>
        <w:t>Diagram Ladder Pemetaan M200-M203 ke Q0-Q3</w:t>
      </w:r>
    </w:p>
    <w:p>
      <w:pPr>
        <w:spacing w:before="0" w:after="0"/>
        <w:jc w:val="both"/>
      </w:pPr>
      <w:r>
        <w:rPr>
          <w:rFonts w:ascii="Calibri" w:hAnsi="Calibri" w:cs="Calibri"/>
          <w:sz w:val="20"/>
        </w:rPr>
        <w:t>Logika ladder (Gbr. 4): M200 M203 sebagai kontak normally-open menggerakkan coil output Q0 Q3.</w:t>
      </w:r>
    </w:p>
    <w:p>
      <w:pPr>
        <w:spacing w:before="60" w:after="60"/>
        <w:jc w:val="center"/>
      </w:pPr>
      <w:r>
        <w:rPr>
          <w:rFonts w:ascii="Calibri" w:hAnsi="Calibri" w:cs="Calibri"/>
          <w:i/>
          <w:color w:val="FF0000"/>
          <w:sz w:val="20"/>
        </w:rPr>
        <w:t>[PROMPT UNTUK AI GAMBAR: Function Block Pembacaan M200-M203. A PLC function block diagram showing a structured FBD-style program block responsible for reading internal memory array M200 through M203 each scan cycle and forwarding values to physical output block Q0 through Q3. The block rectangle has labeled input pins on the left side connected to M-register addresses and output pins on the right side driving Q-output channels, with short wires exiting each pin. The function block name and scan-cycle behavior are labeled inside or above the block body. Background is white, layout is neat and compact, wiring connections are thin lines with right-angle bends, and the style resembles a SoMachine or Unity Pro FBD screenshot adapted for clear IEEE paper reproduction.]</w:t>
      </w:r>
    </w:p>
    <w:p>
      <w:pPr>
        <w:spacing w:before="60" w:after="120"/>
        <w:jc w:val="center"/>
      </w:pPr>
      <w:r>
        <w:rPr>
          <w:rFonts w:ascii="Calibri" w:hAnsi="Calibri" w:cs="Calibri"/>
          <w:b/>
          <w:sz w:val="16"/>
        </w:rPr>
        <w:t xml:space="preserve">Fig. 5. </w:t>
      </w:r>
      <w:r>
        <w:rPr>
          <w:rFonts w:ascii="Calibri" w:hAnsi="Calibri" w:cs="Calibri"/>
          <w:sz w:val="16"/>
        </w:rPr>
        <w:t>Function Block Pembacaan M200-M203</w:t>
      </w:r>
    </w:p>
    <w:p>
      <w:pPr>
        <w:spacing w:before="0" w:after="0"/>
        <w:jc w:val="both"/>
      </w:pPr>
      <w:r>
        <w:rPr>
          <w:rFonts w:ascii="Calibri" w:hAnsi="Calibri" w:cs="Calibri"/>
          <w:sz w:val="20"/>
        </w:rPr>
        <w:t>Function block (Gbr. 5) membaca array coil M200 M203 setiap siklus scan dan meneruskan nilainya ke output Q0 Q3. Pada scan rate default (~1 ms), perintah gestur baru ditangkap dalam satu siklus dan output fisik langsung mengikuti.</w:t>
      </w:r>
    </w:p>
    <w:p>
      <w:pPr>
        <w:spacing w:before="60" w:after="60"/>
        <w:jc w:val="left"/>
      </w:pPr>
      <w:r>
        <w:rPr>
          <w:rFonts w:ascii="Calibri" w:hAnsi="Calibri" w:cs="Calibri"/>
          <w:b/>
          <w:sz w:val="20"/>
        </w:rPr>
        <w:t>Pengenalan Gestur Geometris MediaPipe</w:t>
      </w:r>
    </w:p>
    <w:p>
      <w:pPr>
        <w:spacing w:before="0" w:after="0"/>
        <w:jc w:val="both"/>
      </w:pPr>
      <w:r>
        <w:rPr>
          <w:rFonts w:ascii="Calibri" w:hAnsi="Calibri" w:cs="Calibri"/>
          <w:sz w:val="20"/>
        </w:rPr>
        <w:t>Setiap frame RGB dari OpenCV dilewatkan ke model hand-landmark MediaPipe [1], yang mengembalikan 21 titik per tangan: pergelangan tangan, sendi MCP, PIP, DIP untuk setiap jari, plus empat ujung jari.</w:t>
      </w:r>
    </w:p>
    <w:p>
      <w:pPr>
        <w:spacing w:before="60" w:after="60"/>
        <w:jc w:val="center"/>
      </w:pPr>
      <w:r>
        <w:rPr>
          <w:rFonts w:ascii="Calibri" w:hAnsi="Calibri" w:cs="Calibri"/>
          <w:i/>
          <w:color w:val="FF0000"/>
          <w:sz w:val="20"/>
        </w:rPr>
        <w:t>[PROMPT UNTUK AI GAMBAR: 21 Landmark Tangan MediaPipe. A technical diagram of a human right hand viewed palm-side facing the viewer, with 21 skeletal landmark points numbered 0 through 20 overlaid at anatomically correct positions. Landmark 0 marks the wrist, landmarks 1 through 4 trace the thumb from MCP joint to fingertip, landmarks 5 through 8 trace the index finger, 9 through 12 the middle finger, 13 through 16 the ring finger, and 17 through 20 the little finger. Thin straight connector lines link adjacent landmarks along each finger and across the palm. Each landmark is drawn as a small filled circle with a numeric label nearby. Background is white or pale, line color is blue or teal, and style matches official MediaPipe documentation adapted for academic paper figures.]</w:t>
      </w:r>
    </w:p>
    <w:p>
      <w:pPr>
        <w:spacing w:before="60" w:after="120"/>
        <w:jc w:val="center"/>
      </w:pPr>
      <w:r>
        <w:rPr>
          <w:rFonts w:ascii="Calibri" w:hAnsi="Calibri" w:cs="Calibri"/>
          <w:b/>
          <w:sz w:val="16"/>
        </w:rPr>
        <w:t xml:space="preserve">Fig. 6. </w:t>
      </w:r>
      <w:r>
        <w:rPr>
          <w:rFonts w:ascii="Calibri" w:hAnsi="Calibri" w:cs="Calibri"/>
          <w:sz w:val="16"/>
        </w:rPr>
        <w:t>21 Landmark Tangan MediaPipe</w:t>
      </w:r>
    </w:p>
    <w:p>
      <w:pPr>
        <w:spacing w:before="0" w:after="0"/>
        <w:jc w:val="both"/>
      </w:pPr>
      <w:r>
        <w:rPr>
          <w:rFonts w:ascii="Calibri" w:hAnsi="Calibri" w:cs="Calibri"/>
          <w:sz w:val="20"/>
        </w:rPr>
        <w:t>Ke-21 landmark (bernomor 0 20) ditunjukkan pada Gbr. 6. Prototipe awal memverifikasi bahwa output MediaPipe stabil dalam kisaran ~30 derajat dari sumbu kamera.</w:t>
      </w:r>
    </w:p>
    <w:p>
      <w:pPr>
        <w:spacing w:before="60" w:after="60"/>
        <w:jc w:val="center"/>
      </w:pPr>
      <w:r>
        <w:rPr>
          <w:rFonts w:ascii="Calibri" w:hAnsi="Calibri" w:cs="Calibri"/>
          <w:i/>
          <w:color w:val="FF0000"/>
          <w:sz w:val="20"/>
        </w:rPr>
        <w:t>[PROMPT UNTUK AI GAMBAR: Prototipe Python untuk Validasi MediaPipe. A screenshot-style illustration of a Python desktop application window displaying a live webcam video feed of a human hand with MediaPipe landmark skeleton overlaid on it. Twenty-one landmark points appear as small colored dots connected by thin lines tracing all five fingers and the palm structure. A status label or overlay text shows the currently detected gesture class name and live frame rate. The application window uses a neutral dark or gray frame with the video pane centered. The hand in the frame is shown in an open-palm or single-finger gesture, well-lit against a plain background. Style resembles a PyQt5 desktop GUI window screenshot suitable for inclusion in an academic methodology section.]</w:t>
      </w:r>
    </w:p>
    <w:p>
      <w:pPr>
        <w:spacing w:before="60" w:after="120"/>
        <w:jc w:val="center"/>
      </w:pPr>
      <w:r>
        <w:rPr>
          <w:rFonts w:ascii="Calibri" w:hAnsi="Calibri" w:cs="Calibri"/>
          <w:b/>
          <w:sz w:val="16"/>
        </w:rPr>
        <w:t xml:space="preserve">Fig. 7. </w:t>
      </w:r>
      <w:r>
        <w:rPr>
          <w:rFonts w:ascii="Calibri" w:hAnsi="Calibri" w:cs="Calibri"/>
          <w:sz w:val="16"/>
        </w:rPr>
        <w:t>Prototipe Python untuk Validasi MediaPipe</w:t>
      </w:r>
    </w:p>
    <w:p>
      <w:pPr>
        <w:spacing w:before="0" w:after="0"/>
        <w:jc w:val="both"/>
      </w:pPr>
      <w:r>
        <w:rPr>
          <w:rFonts w:ascii="Calibri" w:hAnsi="Calibri" w:cs="Calibri"/>
          <w:sz w:val="20"/>
        </w:rPr>
        <w:t>Jendela diagnostik PyQt5 (Gbr. 7) menampilkan landmark dan garis penghubung pada feed webcam langsung, mengonfirmasi konsistensi output MediaPipe selama kemiringan dalam ~30 derajat. Setiap landmark berupa koordinat 3-D ternormalisasi:</w:t>
      </w:r>
    </w:p>
    <w:p>
      <w:pPr>
        <w:spacing w:before="60" w:after="60"/>
        <w:jc w:val="center"/>
      </w:pPr>
      <w:r>
        <w:rPr>
          <w:rFonts w:ascii="Cambria Math" w:hAnsi="Cambria Math" w:cs="Cambria Math"/>
          <w:i/>
          <w:sz w:val="20"/>
        </w:rPr>
        <w:t>p_i = (x_i, y_i, z_i),   i = 0, 1, 2, , 20    (2)</w:t>
      </w:r>
    </w:p>
    <w:p>
      <w:pPr>
        <w:spacing w:before="0" w:after="0"/>
        <w:jc w:val="both"/>
      </w:pPr>
      <w:r>
        <w:rPr>
          <w:rFonts w:ascii="Calibri" w:hAnsi="Calibri" w:cs="Calibri"/>
          <w:sz w:val="20"/>
        </w:rPr>
        <w:t>Pada persamaan (2), x_i dan y_i berada dalam [0,1] relatif terhadap dimensi gambar, z_i mengkodekan kedalaman relatif terhadap pergelangan tangan. Jarak Euclidean antara dua landmark:</w:t>
      </w:r>
    </w:p>
    <w:p>
      <w:pPr>
        <w:spacing w:before="60" w:after="60"/>
        <w:jc w:val="center"/>
      </w:pPr>
      <w:r>
        <w:rPr>
          <w:rFonts w:ascii="Cambria Math" w:hAnsi="Cambria Math" w:cs="Cambria Math"/>
          <w:i/>
          <w:sz w:val="20"/>
        </w:rPr>
        <w:t>dij = sqrt((x_j - x_i)^2 + (y_j - y_i)^2)    (3)</w:t>
      </w:r>
    </w:p>
    <w:p>
      <w:pPr>
        <w:spacing w:before="0" w:after="0"/>
        <w:jc w:val="both"/>
      </w:pPr>
      <w:r>
        <w:rPr>
          <w:rFonts w:ascii="Calibri" w:hAnsi="Calibri" w:cs="Calibri"/>
          <w:sz w:val="20"/>
        </w:rPr>
        <w:t>Jarak piksel mentah berubah tergantung jarak tangan dari kamera. Untuk menghilangkan ketergantungan skala, dibagi dengan d0,9 (jarak pergelangan tangan ke middle-MCP):</w:t>
      </w:r>
    </w:p>
    <w:p>
      <w:pPr>
        <w:spacing w:before="60" w:after="60"/>
        <w:jc w:val="center"/>
      </w:pPr>
      <w:r>
        <w:rPr>
          <w:rFonts w:ascii="Cambria Math" w:hAnsi="Cambria Math" w:cs="Cambria Math"/>
          <w:i/>
          <w:sz w:val="20"/>
        </w:rPr>
        <w:t>dnorm,ij = dijd0,9    (4)</w:t>
      </w:r>
    </w:p>
    <w:p>
      <w:pPr>
        <w:spacing w:before="0" w:after="0"/>
        <w:jc w:val="both"/>
      </w:pPr>
      <w:r>
        <w:rPr>
          <w:rFonts w:ascii="Calibri" w:hAnsi="Calibri" w:cs="Calibri"/>
          <w:sz w:val="20"/>
        </w:rPr>
        <w:t>Setelah normalisasi, dnorm,ij mencerminkan bentuk tangan independen dari jarak kamera. Untuk ekstensi jari, dibutuhkan sudut sendi. Vektor arah:</w:t>
      </w:r>
    </w:p>
    <w:p>
      <w:pPr>
        <w:spacing w:before="60" w:after="60"/>
        <w:jc w:val="center"/>
      </w:pPr>
      <w:r>
        <w:rPr>
          <w:rFonts w:ascii="Cambria Math" w:hAnsi="Cambria Math" w:cs="Cambria Math"/>
          <w:i/>
          <w:sz w:val="20"/>
        </w:rPr>
        <w:t>vij = (x_j - x_i,\; y_j - y_i)    (5)</w:t>
      </w:r>
    </w:p>
    <w:p>
      <w:pPr>
        <w:spacing w:before="0" w:after="0"/>
        <w:jc w:val="both"/>
      </w:pPr>
      <w:r>
        <w:rPr>
          <w:rFonts w:ascii="Calibri" w:hAnsi="Calibri" w:cs="Calibri"/>
          <w:sz w:val="20"/>
        </w:rPr>
        <w:t>Besarnya:</w:t>
      </w:r>
    </w:p>
    <w:p>
      <w:pPr>
        <w:spacing w:before="60" w:after="60"/>
        <w:jc w:val="center"/>
      </w:pPr>
      <w:r>
        <w:rPr>
          <w:rFonts w:ascii="Cambria Math" w:hAnsi="Cambria Math" w:cs="Cambria Math"/>
          <w:i/>
          <w:sz w:val="20"/>
        </w:rPr>
        <w:t>|v| = sqrt(v_x^2 + v_y^2)    (6)</w:t>
      </w:r>
    </w:p>
    <w:p>
      <w:pPr>
        <w:spacing w:before="0" w:after="0"/>
        <w:jc w:val="both"/>
      </w:pPr>
      <w:r>
        <w:rPr>
          <w:rFonts w:ascii="Calibri" w:hAnsi="Calibri" w:cs="Calibri"/>
          <w:sz w:val="20"/>
        </w:rPr>
        <w:t>Dot product dari dua vektor segmen tulang yang bersebelahan:</w:t>
      </w:r>
    </w:p>
    <w:p>
      <w:pPr>
        <w:spacing w:before="60" w:after="60"/>
        <w:jc w:val="center"/>
      </w:pPr>
      <w:r>
        <w:rPr>
          <w:rFonts w:ascii="Cambria Math" w:hAnsi="Cambria Math" w:cs="Cambria Math"/>
          <w:i/>
          <w:sz w:val="20"/>
        </w:rPr>
        <w:t>A · B = A_x B_x + A_y B_y    (7)</w:t>
      </w:r>
    </w:p>
    <w:p>
      <w:pPr>
        <w:spacing w:before="0" w:after="0"/>
        <w:jc w:val="both"/>
      </w:pPr>
      <w:r>
        <w:rPr>
          <w:rFonts w:ascii="Calibri" w:hAnsi="Calibri" w:cs="Calibri"/>
          <w:sz w:val="20"/>
        </w:rPr>
        <w:t>Sudut antar-sendi, untuk tiga landmark berurutan (A = ujung jari, B = sendi tengah, C = pangkal):</w:t>
      </w:r>
    </w:p>
    <w:p>
      <w:pPr>
        <w:spacing w:before="60" w:after="60"/>
        <w:jc w:val="center"/>
      </w:pPr>
      <w:r>
        <w:rPr>
          <w:rFonts w:ascii="Cambria Math" w:hAnsi="Cambria Math" w:cs="Cambria Math"/>
          <w:i/>
          <w:sz w:val="20"/>
        </w:rPr>
        <w:t>θ = -1( (BA · BC/|BA| · |BC|) )    (8)</w:t>
      </w:r>
    </w:p>
    <w:p>
      <w:pPr>
        <w:spacing w:before="0" w:after="0"/>
        <w:jc w:val="both"/>
      </w:pPr>
      <w:r>
        <w:rPr>
          <w:rFonts w:ascii="Calibri" w:hAnsi="Calibri" w:cs="Calibri"/>
          <w:sz w:val="20"/>
        </w:rPr>
        <w:t>Sudut θ menentukan apakah jari terektensi atau tertutup. Setelah kalibrasi, θopen ≈ 160° dan θclose ≈ 140°. Jika θ &gt; θopen maka jari terektensi (f_i = 1); di bawah θclose maka tertutup (f_i = 0):</w:t>
      </w:r>
    </w:p>
    <w:p>
      <w:pPr>
        <w:spacing w:before="60" w:after="60"/>
        <w:jc w:val="center"/>
      </w:pPr>
      <w:r>
        <w:rPr>
          <w:rFonts w:ascii="Cambria Math" w:hAnsi="Cambria Math" w:cs="Cambria Math"/>
          <w:i/>
          <w:sz w:val="20"/>
        </w:rPr>
        <w:t>f_i =  1, &amp; θ_i &gt; θopen \\ 0, &amp; θ_i &lt; θclose    (9)</w:t>
      </w:r>
    </w:p>
    <w:p>
      <w:pPr>
        <w:spacing w:before="0" w:after="0"/>
        <w:jc w:val="both"/>
      </w:pPr>
      <w:r>
        <w:rPr>
          <w:rFonts w:ascii="Calibri" w:hAnsi="Calibri" w:cs="Calibri"/>
          <w:sz w:val="20"/>
        </w:rPr>
        <w:t xml:space="preserve">Threshold tunggal menyebabkan toggling cepat di dekat batas saat tangan diputar. Diperbaiki dengan histeresis dua batas terpisah, </w:t>
        <w:tab/>
        <w:t xml:space="preserve">hetahigh dan </w:t>
        <w:tab/>
        <w:t>hetalow:</w:t>
      </w:r>
    </w:p>
    <w:p>
      <w:pPr>
        <w:spacing w:before="60" w:after="60"/>
        <w:jc w:val="center"/>
      </w:pPr>
      <w:r>
        <w:rPr>
          <w:rFonts w:ascii="Cambria Math" w:hAnsi="Cambria Math" w:cs="Cambria Math"/>
          <w:i/>
          <w:sz w:val="20"/>
        </w:rPr>
        <w:t>f_i(t) =  1, &amp; θ_i &gt; θhigh \\ 0, &amp; θ_i &lt; θlow \\ f_i(t-1), &amp; otherwise    (10)</w:t>
      </w:r>
    </w:p>
    <w:p>
      <w:pPr>
        <w:spacing w:before="0" w:after="0"/>
        <w:jc w:val="both"/>
      </w:pPr>
      <w:r>
        <w:rPr>
          <w:rFonts w:ascii="Calibri" w:hAnsi="Calibri" w:cs="Calibri"/>
          <w:sz w:val="20"/>
        </w:rPr>
        <w:t>Di atas histeresis, voting mayoritas sliding-window menghaluskan output di sepanjang N frame terakhir:</w:t>
      </w:r>
    </w:p>
    <w:p>
      <w:pPr>
        <w:spacing w:before="60" w:after="60"/>
        <w:jc w:val="center"/>
      </w:pPr>
      <w:r>
        <w:rPr>
          <w:rFonts w:ascii="Cambria Math" w:hAnsi="Cambria Math" w:cs="Cambria Math"/>
          <w:i/>
          <w:sz w:val="20"/>
        </w:rPr>
        <w:t>F_i = (1/N) =0N-1f_i(t-k)    (11)</w:t>
      </w:r>
    </w:p>
    <w:p>
      <w:pPr>
        <w:spacing w:before="0" w:after="0"/>
        <w:jc w:val="both"/>
      </w:pPr>
      <w:r>
        <w:rPr>
          <w:rFonts w:ascii="Calibri" w:hAnsi="Calibri" w:cs="Calibri"/>
          <w:sz w:val="20"/>
        </w:rPr>
        <w:t>Output biner final f_i bernilai 1 hanya jika lebih dari fraksi T dari frame terbaru menyetujui bahwa jari terektensi:</w:t>
      </w:r>
    </w:p>
    <w:p>
      <w:pPr>
        <w:spacing w:before="60" w:after="60"/>
        <w:jc w:val="center"/>
      </w:pPr>
      <w:r>
        <w:rPr>
          <w:rFonts w:ascii="Cambria Math" w:hAnsi="Cambria Math" w:cs="Cambria Math"/>
          <w:i/>
          <w:sz w:val="20"/>
        </w:rPr>
        <w:t>f_i =  1, &amp; F_i &gt; T \\ 0, &amp; otherwise    (12)</w:t>
      </w:r>
    </w:p>
    <w:p>
      <w:pPr>
        <w:spacing w:before="0" w:after="0"/>
        <w:jc w:val="both"/>
      </w:pPr>
      <w:r>
        <w:rPr>
          <w:rFonts w:ascii="Calibri" w:hAnsi="Calibri" w:cs="Calibri"/>
          <w:sz w:val="20"/>
        </w:rPr>
        <w:t>Histeresis ditambah voting berjendela memangkas false-trigger mendekati nol pada kondisi normal. Trade-off-nya: latensi. Pada N=5 dan 30 fps, debounce menambahkan ~83 ms, karena gestur biasanya stabil dalam 2-3 frame. Array biner f_i kemudian diantrikan untuk penulisan Modbus FC15.</w:t>
      </w:r>
    </w:p>
    <w:p>
      <w:pPr>
        <w:spacing w:before="60" w:after="60"/>
        <w:jc w:val="left"/>
      </w:pPr>
      <w:r>
        <w:rPr>
          <w:rFonts w:ascii="Calibri" w:hAnsi="Calibri" w:cs="Calibri"/>
          <w:b/>
          <w:sz w:val="20"/>
        </w:rPr>
        <w:t>Integrasi MediaPipe dan Pymodbus</w:t>
      </w:r>
    </w:p>
    <w:p>
      <w:pPr>
        <w:spacing w:before="0" w:after="0"/>
        <w:jc w:val="both"/>
      </w:pPr>
      <w:r>
        <w:rPr>
          <w:rFonts w:ascii="Calibri" w:hAnsi="Calibri" w:cs="Calibri"/>
          <w:sz w:val="20"/>
        </w:rPr>
        <w:t>GUI PyQt5 awalnya ditulis untuk diagnostik, namun juga berfungsi sebagai panel kontrol demo. Antarmuka merender webcam langsung dengan landmark MediaPipe ditumpangkan, dan deretan indikator berwarna menunjukkan coil PLC yang aktif. Enam kelas gestur dipetakan ke pola coil Tabel I mencantumkan masing-masing.</w:t>
      </w:r>
    </w:p>
    <w:p>
      <w:pPr>
        <w:spacing w:before="120" w:after="60"/>
        <w:jc w:val="center"/>
      </w:pPr>
      <w:r>
        <w:rPr>
          <w:rFonts w:ascii="Calibri" w:hAnsi="Calibri" w:cs="Calibri"/>
          <w:b/>
          <w:sz w:val="16"/>
        </w:rPr>
        <w:t xml:space="preserve">Table I. </w:t>
      </w:r>
      <w:r>
        <w:rPr>
          <w:rFonts w:ascii="Calibri" w:hAnsi="Calibri" w:cs="Calibri"/>
          <w:sz w:val="16"/>
        </w:rPr>
        <w:t>Pemetaan Gestur ke Coil Modbus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13"/>
        <w:gridCol w:w="2513"/>
        <w:gridCol w:w="2513"/>
        <w:gridCol w:w="2513"/>
      </w:tblGrid>
      <w:tr>
        <w:tc>
          <w:tcPr>
            <w:tcW w:type="dxa" w:w="2513"/>
          </w:tcPr>
          <w:p>
            <w:pPr>
              <w:jc w:val="center"/>
            </w:pPr>
            <w:r/>
            <w:r>
              <w:rPr>
                <w:rFonts w:ascii="Calibri" w:hAnsi="Calibri" w:cs="Calibri"/>
                <w:b/>
                <w:sz w:val="16"/>
              </w:rPr>
              <w:t>Gestur</w:t>
            </w:r>
          </w:p>
        </w:tc>
        <w:tc>
          <w:tcPr>
            <w:tcW w:type="dxa" w:w="2513"/>
          </w:tcPr>
          <w:p>
            <w:pPr>
              <w:jc w:val="center"/>
            </w:pPr>
            <w:r/>
            <w:r>
              <w:rPr>
                <w:rFonts w:ascii="Calibri" w:hAnsi="Calibri" w:cs="Calibri"/>
                <w:b/>
                <w:sz w:val="16"/>
              </w:rPr>
              <w:t>Jumlah Jari</w:t>
            </w:r>
          </w:p>
        </w:tc>
        <w:tc>
          <w:tcPr>
            <w:tcW w:type="dxa" w:w="2513"/>
          </w:tcPr>
          <w:p>
            <w:pPr>
              <w:jc w:val="center"/>
            </w:pPr>
            <w:r/>
            <w:r>
              <w:rPr>
                <w:rFonts w:ascii="Calibri" w:hAnsi="Calibri" w:cs="Calibri"/>
                <w:b/>
                <w:sz w:val="16"/>
              </w:rPr>
              <w:t>State Coil Modbus</w:t>
            </w:r>
          </w:p>
        </w:tc>
        <w:tc>
          <w:tcPr>
            <w:tcW w:type="dxa" w:w="2513"/>
          </w:tcPr>
          <w:p>
            <w:pPr>
              <w:jc w:val="center"/>
            </w:pPr>
            <w:r/>
            <w:r>
              <w:rPr>
                <w:rFonts w:ascii="Calibri" w:hAnsi="Calibri" w:cs="Calibri"/>
                <w:b/>
                <w:sz w:val="16"/>
              </w:rPr>
              <w:t>Output PLC</w:t>
            </w:r>
          </w:p>
        </w:tc>
      </w:tr>
      <w:tr>
        <w:tc>
          <w:tcPr>
            <w:tcW w:type="dxa" w:w="2513"/>
          </w:tcPr>
          <w:p>
            <w:pPr>
              <w:jc w:val="center"/>
            </w:pPr>
            <w:r/>
            <w:r>
              <w:rPr>
                <w:rFonts w:ascii="Calibri" w:hAnsi="Calibri" w:cs="Calibri"/>
                <w:sz w:val="16"/>
              </w:rPr>
              <w:t>Kepalan Tangan</w:t>
            </w:r>
          </w:p>
        </w:tc>
        <w:tc>
          <w:tcPr>
            <w:tcW w:type="dxa" w:w="2513"/>
          </w:tcPr>
          <w:p>
            <w:pPr>
              <w:jc w:val="center"/>
            </w:pPr>
            <w:r/>
            <w:r>
              <w:rPr>
                <w:rFonts w:ascii="Calibri" w:hAnsi="Calibri" w:cs="Calibri"/>
                <w:sz w:val="16"/>
              </w:rPr>
              <w:t>0</w:t>
            </w:r>
          </w:p>
        </w:tc>
        <w:tc>
          <w:tcPr>
            <w:tcW w:type="dxa" w:w="2513"/>
          </w:tcPr>
          <w:p>
            <w:pPr>
              <w:jc w:val="center"/>
            </w:pPr>
            <w:r/>
            <w:r>
              <w:rPr>
                <w:rFonts w:ascii="Calibri" w:hAnsi="Calibri" w:cs="Calibri"/>
                <w:sz w:val="16"/>
              </w:rPr>
              <w:t>M200=0, M201=0, M202=0, M203=0</w:t>
            </w:r>
          </w:p>
        </w:tc>
        <w:tc>
          <w:tcPr>
            <w:tcW w:type="dxa" w:w="2513"/>
          </w:tcPr>
          <w:p>
            <w:pPr>
              <w:jc w:val="center"/>
            </w:pPr>
            <w:r/>
            <w:r>
              <w:rPr>
                <w:rFonts w:ascii="Calibri" w:hAnsi="Calibri" w:cs="Calibri"/>
                <w:sz w:val="16"/>
              </w:rPr>
              <w:t>Q0-Q3=OFF</w:t>
            </w:r>
          </w:p>
        </w:tc>
      </w:tr>
      <w:tr>
        <w:tc>
          <w:tcPr>
            <w:tcW w:type="dxa" w:w="2513"/>
          </w:tcPr>
          <w:p>
            <w:pPr>
              <w:jc w:val="center"/>
            </w:pPr>
            <w:r/>
            <w:r>
              <w:rPr>
                <w:rFonts w:ascii="Calibri" w:hAnsi="Calibri" w:cs="Calibri"/>
                <w:sz w:val="16"/>
              </w:rPr>
              <w:t>1 Jari (Telunjuk)</w:t>
            </w:r>
          </w:p>
        </w:tc>
        <w:tc>
          <w:tcPr>
            <w:tcW w:type="dxa" w:w="2513"/>
          </w:tcPr>
          <w:p>
            <w:pPr>
              <w:jc w:val="center"/>
            </w:pPr>
            <w:r/>
            <w:r>
              <w:rPr>
                <w:rFonts w:ascii="Calibri" w:hAnsi="Calibri" w:cs="Calibri"/>
                <w:sz w:val="16"/>
              </w:rPr>
              <w:t>1</w:t>
            </w:r>
          </w:p>
        </w:tc>
        <w:tc>
          <w:tcPr>
            <w:tcW w:type="dxa" w:w="2513"/>
          </w:tcPr>
          <w:p>
            <w:pPr>
              <w:jc w:val="center"/>
            </w:pPr>
            <w:r/>
            <w:r>
              <w:rPr>
                <w:rFonts w:ascii="Calibri" w:hAnsi="Calibri" w:cs="Calibri"/>
                <w:sz w:val="16"/>
              </w:rPr>
              <w:t>M200=1, M201=0, M202=0, M203=0</w:t>
            </w:r>
          </w:p>
        </w:tc>
        <w:tc>
          <w:tcPr>
            <w:tcW w:type="dxa" w:w="2513"/>
          </w:tcPr>
          <w:p>
            <w:pPr>
              <w:jc w:val="center"/>
            </w:pPr>
            <w:r/>
            <w:r>
              <w:rPr>
                <w:rFonts w:ascii="Calibri" w:hAnsi="Calibri" w:cs="Calibri"/>
                <w:sz w:val="16"/>
              </w:rPr>
              <w:t>Q0=ON</w:t>
            </w:r>
          </w:p>
        </w:tc>
      </w:tr>
      <w:tr>
        <w:tc>
          <w:tcPr>
            <w:tcW w:type="dxa" w:w="2513"/>
          </w:tcPr>
          <w:p>
            <w:pPr>
              <w:jc w:val="center"/>
            </w:pPr>
            <w:r/>
            <w:r>
              <w:rPr>
                <w:rFonts w:ascii="Calibri" w:hAnsi="Calibri" w:cs="Calibri"/>
                <w:sz w:val="16"/>
              </w:rPr>
              <w:t>2 Jari (Peace)</w:t>
            </w:r>
          </w:p>
        </w:tc>
        <w:tc>
          <w:tcPr>
            <w:tcW w:type="dxa" w:w="2513"/>
          </w:tcPr>
          <w:p>
            <w:pPr>
              <w:jc w:val="center"/>
            </w:pPr>
            <w:r/>
            <w:r>
              <w:rPr>
                <w:rFonts w:ascii="Calibri" w:hAnsi="Calibri" w:cs="Calibri"/>
                <w:sz w:val="16"/>
              </w:rPr>
              <w:t>2</w:t>
            </w:r>
          </w:p>
        </w:tc>
        <w:tc>
          <w:tcPr>
            <w:tcW w:type="dxa" w:w="2513"/>
          </w:tcPr>
          <w:p>
            <w:pPr>
              <w:jc w:val="center"/>
            </w:pPr>
            <w:r/>
            <w:r>
              <w:rPr>
                <w:rFonts w:ascii="Calibri" w:hAnsi="Calibri" w:cs="Calibri"/>
                <w:sz w:val="16"/>
              </w:rPr>
              <w:t>M200=1, M201=1, M202=0, M203=0</w:t>
            </w:r>
          </w:p>
        </w:tc>
        <w:tc>
          <w:tcPr>
            <w:tcW w:type="dxa" w:w="2513"/>
          </w:tcPr>
          <w:p>
            <w:pPr>
              <w:jc w:val="center"/>
            </w:pPr>
            <w:r/>
            <w:r>
              <w:rPr>
                <w:rFonts w:ascii="Calibri" w:hAnsi="Calibri" w:cs="Calibri"/>
                <w:sz w:val="16"/>
              </w:rPr>
              <w:t>Q0-Q1=ON</w:t>
            </w:r>
          </w:p>
        </w:tc>
      </w:tr>
      <w:tr>
        <w:tc>
          <w:tcPr>
            <w:tcW w:type="dxa" w:w="2513"/>
          </w:tcPr>
          <w:p>
            <w:pPr>
              <w:jc w:val="center"/>
            </w:pPr>
            <w:r/>
            <w:r>
              <w:rPr>
                <w:rFonts w:ascii="Calibri" w:hAnsi="Calibri" w:cs="Calibri"/>
                <w:sz w:val="16"/>
              </w:rPr>
              <w:t>3 Jari</w:t>
            </w:r>
          </w:p>
        </w:tc>
        <w:tc>
          <w:tcPr>
            <w:tcW w:type="dxa" w:w="2513"/>
          </w:tcPr>
          <w:p>
            <w:pPr>
              <w:jc w:val="center"/>
            </w:pPr>
            <w:r/>
            <w:r>
              <w:rPr>
                <w:rFonts w:ascii="Calibri" w:hAnsi="Calibri" w:cs="Calibri"/>
                <w:sz w:val="16"/>
              </w:rPr>
              <w:t>3</w:t>
            </w:r>
          </w:p>
        </w:tc>
        <w:tc>
          <w:tcPr>
            <w:tcW w:type="dxa" w:w="2513"/>
          </w:tcPr>
          <w:p>
            <w:pPr>
              <w:jc w:val="center"/>
            </w:pPr>
            <w:r/>
            <w:r>
              <w:rPr>
                <w:rFonts w:ascii="Calibri" w:hAnsi="Calibri" w:cs="Calibri"/>
                <w:sz w:val="16"/>
              </w:rPr>
              <w:t>M200=1, M201=1, M202=1, M203=0</w:t>
            </w:r>
          </w:p>
        </w:tc>
        <w:tc>
          <w:tcPr>
            <w:tcW w:type="dxa" w:w="2513"/>
          </w:tcPr>
          <w:p>
            <w:pPr>
              <w:jc w:val="center"/>
            </w:pPr>
            <w:r/>
            <w:r>
              <w:rPr>
                <w:rFonts w:ascii="Calibri" w:hAnsi="Calibri" w:cs="Calibri"/>
                <w:sz w:val="16"/>
              </w:rPr>
              <w:t>Q0-Q2=ON</w:t>
            </w:r>
          </w:p>
        </w:tc>
      </w:tr>
      <w:tr>
        <w:tc>
          <w:tcPr>
            <w:tcW w:type="dxa" w:w="2513"/>
          </w:tcPr>
          <w:p>
            <w:pPr>
              <w:jc w:val="center"/>
            </w:pPr>
            <w:r/>
            <w:r>
              <w:rPr>
                <w:rFonts w:ascii="Calibri" w:hAnsi="Calibri" w:cs="Calibri"/>
                <w:sz w:val="16"/>
              </w:rPr>
              <w:t>4 Jari</w:t>
            </w:r>
          </w:p>
        </w:tc>
        <w:tc>
          <w:tcPr>
            <w:tcW w:type="dxa" w:w="2513"/>
          </w:tcPr>
          <w:p>
            <w:pPr>
              <w:jc w:val="center"/>
            </w:pPr>
            <w:r/>
            <w:r>
              <w:rPr>
                <w:rFonts w:ascii="Calibri" w:hAnsi="Calibri" w:cs="Calibri"/>
                <w:sz w:val="16"/>
              </w:rPr>
              <w:t>4</w:t>
            </w:r>
          </w:p>
        </w:tc>
        <w:tc>
          <w:tcPr>
            <w:tcW w:type="dxa" w:w="2513"/>
          </w:tcPr>
          <w:p>
            <w:pPr>
              <w:jc w:val="center"/>
            </w:pPr>
            <w:r/>
            <w:r>
              <w:rPr>
                <w:rFonts w:ascii="Calibri" w:hAnsi="Calibri" w:cs="Calibri"/>
                <w:sz w:val="16"/>
              </w:rPr>
              <w:t>M200=1, M201=1, M202=1, M203=1</w:t>
            </w:r>
          </w:p>
        </w:tc>
        <w:tc>
          <w:tcPr>
            <w:tcW w:type="dxa" w:w="2513"/>
          </w:tcPr>
          <w:p>
            <w:pPr>
              <w:jc w:val="center"/>
            </w:pPr>
            <w:r/>
            <w:r>
              <w:rPr>
                <w:rFonts w:ascii="Calibri" w:hAnsi="Calibri" w:cs="Calibri"/>
                <w:sz w:val="16"/>
              </w:rPr>
              <w:t>Q0-Q3=ON</w:t>
            </w:r>
          </w:p>
        </w:tc>
      </w:tr>
      <w:tr>
        <w:tc>
          <w:tcPr>
            <w:tcW w:type="dxa" w:w="2513"/>
          </w:tcPr>
          <w:p>
            <w:pPr>
              <w:jc w:val="center"/>
            </w:pPr>
            <w:r/>
            <w:r>
              <w:rPr>
                <w:rFonts w:ascii="Calibri" w:hAnsi="Calibri" w:cs="Calibri"/>
                <w:sz w:val="16"/>
              </w:rPr>
              <w:t>5 Jari (Telapak)</w:t>
            </w:r>
          </w:p>
        </w:tc>
        <w:tc>
          <w:tcPr>
            <w:tcW w:type="dxa" w:w="2513"/>
          </w:tcPr>
          <w:p>
            <w:pPr>
              <w:jc w:val="center"/>
            </w:pPr>
            <w:r/>
            <w:r>
              <w:rPr>
                <w:rFonts w:ascii="Calibri" w:hAnsi="Calibri" w:cs="Calibri"/>
                <w:sz w:val="16"/>
              </w:rPr>
              <w:t>5</w:t>
            </w:r>
          </w:p>
        </w:tc>
        <w:tc>
          <w:tcPr>
            <w:tcW w:type="dxa" w:w="2513"/>
          </w:tcPr>
          <w:p>
            <w:pPr>
              <w:jc w:val="center"/>
            </w:pPr>
            <w:r/>
            <w:r>
              <w:rPr>
                <w:rFonts w:ascii="Calibri" w:hAnsi="Calibri" w:cs="Calibri"/>
                <w:sz w:val="16"/>
              </w:rPr>
              <w:t>M200=1, M201=1, M202=1, M203=1</w:t>
            </w:r>
          </w:p>
        </w:tc>
        <w:tc>
          <w:tcPr>
            <w:tcW w:type="dxa" w:w="2513"/>
          </w:tcPr>
          <w:p>
            <w:pPr>
              <w:jc w:val="center"/>
            </w:pPr>
            <w:r/>
            <w:r>
              <w:rPr>
                <w:rFonts w:ascii="Calibri" w:hAnsi="Calibri" w:cs="Calibri"/>
                <w:sz w:val="16"/>
              </w:rPr>
              <w:t>Q0-Q3=ON (Semua)</w:t>
            </w:r>
          </w:p>
        </w:tc>
      </w:tr>
    </w:tbl>
    <w:p>
      <w:pPr>
        <w:spacing w:before="0" w:after="0"/>
        <w:jc w:val="both"/>
      </w:pPr>
      <w:r>
        <w:rPr>
          <w:rFonts w:ascii="Calibri" w:hAnsi="Calibri" w:cs="Calibri"/>
          <w:sz w:val="20"/>
        </w:rPr>
        <w:t>PLCGui menjalankan ketiga thread. Saat gestur dikonfirmasi oleh filter debounce, pola coil ditulis ke PLC via PyModbus dan setiap hasil dicatat dalam log. LED panel depan PLC sesuai dengan indikator GUI setiap penulisan berhasil.</w:t>
      </w:r>
    </w:p>
    <w:p>
      <w:pPr>
        <w:spacing w:before="60" w:after="60"/>
        <w:jc w:val="center"/>
      </w:pPr>
      <w:r>
        <w:rPr>
          <w:rFonts w:ascii="Calibri" w:hAnsi="Calibri" w:cs="Calibri"/>
          <w:i/>
          <w:color w:val="FF0000"/>
          <w:sz w:val="20"/>
        </w:rPr>
        <w:t>[PROMPT UNTUK AI GAMBAR: Setup Hardware Laboratorium Lengkap. A photograph or realistic illustration of a laboratory workbench showing the complete GestPLC hardware deployment in a single wide-angle frame. On the left side, a desktop PC tower with a USB webcam mounted on a small tripod faces a human hand positioned in front of it. A Cat-5e Ethernet cable runs from the PC across the bench to a Schneider Modicon M221 PLC mounted on a DIN rail panel on the right side. The PLC panel shows visible indicator LEDs and wiring terminals. Overhead or side lighting illuminates the scene clearly. The composition resembles a small-scale industrial automation test station and is appropriate for a laboratory photograph in an IEEE journal paper.]</w:t>
      </w:r>
    </w:p>
    <w:p>
      <w:pPr>
        <w:spacing w:before="60" w:after="120"/>
        <w:jc w:val="center"/>
      </w:pPr>
      <w:r>
        <w:rPr>
          <w:rFonts w:ascii="Calibri" w:hAnsi="Calibri" w:cs="Calibri"/>
          <w:b/>
          <w:sz w:val="16"/>
        </w:rPr>
        <w:t xml:space="preserve">Fig. 8. </w:t>
      </w:r>
      <w:r>
        <w:rPr>
          <w:rFonts w:ascii="Calibri" w:hAnsi="Calibri" w:cs="Calibri"/>
          <w:sz w:val="16"/>
        </w:rPr>
        <w:t>Setup Hardware Laboratorium Lengkap</w:t>
      </w:r>
    </w:p>
    <w:p>
      <w:pPr>
        <w:spacing w:before="0" w:after="0"/>
        <w:jc w:val="both"/>
      </w:pPr>
      <w:r>
        <w:rPr>
          <w:rFonts w:ascii="Calibri" w:hAnsi="Calibri" w:cs="Calibri"/>
          <w:sz w:val="20"/>
        </w:rPr>
        <w:t>Rig pengujian terlihat pada Gbr. 8. Webcam pada tripod menghadap tangan operator, kabel Cat-5e langsung ke panel PLC.</w:t>
      </w:r>
    </w:p>
    <w:p>
      <w:pPr>
        <w:spacing w:before="120" w:after="60"/>
        <w:jc w:val="left"/>
      </w:pPr>
      <w:r>
        <w:rPr>
          <w:rFonts w:ascii="Calibri" w:hAnsi="Calibri" w:cs="Calibri"/>
          <w:b/>
          <w:sz w:val="20"/>
        </w:rPr>
        <w:t>HASIL EKSPERIMEN</w:t>
      </w:r>
    </w:p>
    <w:p>
      <w:pPr>
        <w:spacing w:before="60" w:after="60"/>
        <w:jc w:val="left"/>
      </w:pPr>
      <w:r>
        <w:rPr>
          <w:rFonts w:ascii="Calibri" w:hAnsi="Calibri" w:cs="Calibri"/>
          <w:b/>
          <w:sz w:val="20"/>
        </w:rPr>
        <w:t>Akurasi Deteksi Gestur</w:t>
      </w:r>
    </w:p>
    <w:p>
      <w:pPr>
        <w:spacing w:before="0" w:after="0"/>
        <w:jc w:val="both"/>
      </w:pPr>
      <w:r>
        <w:rPr>
          <w:rFonts w:ascii="Calibri" w:hAnsi="Calibri" w:cs="Calibri"/>
          <w:sz w:val="20"/>
        </w:rPr>
        <w:t>Lima operator masing-masing melakukan 100 repetisi dari keenam kelas gestur di bawah tiga tingkat pencahayaan: rendah (50 lux), kantor standar (300 lux), dan lampu kerja langsung (1000 lux), menghasilkan 9.000 sampel total. Classifier menggunakan nilai threshold yang sama sepanjang pengujian tanpa penyesuaian antar kondisi. Semua partisipan dibriefing mengenai set gestur sebelum pengujian.</w:t>
      </w:r>
    </w:p>
    <w:p>
      <w:pPr>
        <w:spacing w:before="120" w:after="60"/>
        <w:jc w:val="center"/>
      </w:pPr>
      <w:r>
        <w:rPr>
          <w:rFonts w:ascii="Calibri" w:hAnsi="Calibri" w:cs="Calibri"/>
          <w:b/>
          <w:sz w:val="16"/>
        </w:rPr>
        <w:t xml:space="preserve">Table II. </w:t>
      </w:r>
      <w:r>
        <w:rPr>
          <w:rFonts w:ascii="Calibri" w:hAnsi="Calibri" w:cs="Calibri"/>
          <w:sz w:val="16"/>
        </w:rPr>
        <w:t>Performa Klasifikasi Gestur pada 300 Lux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75"/>
        <w:gridCol w:w="1675"/>
        <w:gridCol w:w="1675"/>
        <w:gridCol w:w="1675"/>
        <w:gridCol w:w="1675"/>
        <w:gridCol w:w="1675"/>
      </w:tblGrid>
      <w:tr>
        <w:tc>
          <w:tcPr>
            <w:tcW w:type="dxa" w:w="1675"/>
          </w:tcPr>
          <w:p>
            <w:pPr>
              <w:jc w:val="center"/>
            </w:pPr>
            <w:r/>
            <w:r>
              <w:rPr>
                <w:rFonts w:ascii="Calibri" w:hAnsi="Calibri" w:cs="Calibri"/>
                <w:b/>
                <w:sz w:val="16"/>
              </w:rPr>
              <w:t>Gestur</w:t>
            </w:r>
          </w:p>
        </w:tc>
        <w:tc>
          <w:tcPr>
            <w:tcW w:type="dxa" w:w="1675"/>
          </w:tcPr>
          <w:p>
            <w:pPr>
              <w:jc w:val="center"/>
            </w:pPr>
            <w:r/>
            <w:r>
              <w:rPr>
                <w:rFonts w:ascii="Calibri" w:hAnsi="Calibri" w:cs="Calibri"/>
                <w:b/>
                <w:sz w:val="16"/>
              </w:rPr>
              <w:t>Sampel</w:t>
            </w:r>
          </w:p>
        </w:tc>
        <w:tc>
          <w:tcPr>
            <w:tcW w:type="dxa" w:w="1675"/>
          </w:tcPr>
          <w:p>
            <w:pPr>
              <w:jc w:val="center"/>
            </w:pPr>
            <w:r/>
            <w:r>
              <w:rPr>
                <w:rFonts w:ascii="Calibri" w:hAnsi="Calibri" w:cs="Calibri"/>
                <w:b/>
                <w:sz w:val="16"/>
              </w:rPr>
              <w:t>Benar</w:t>
            </w:r>
          </w:p>
        </w:tc>
        <w:tc>
          <w:tcPr>
            <w:tcW w:type="dxa" w:w="1675"/>
          </w:tcPr>
          <w:p>
            <w:pPr>
              <w:jc w:val="center"/>
            </w:pPr>
            <w:r/>
            <w:r>
              <w:rPr>
                <w:rFonts w:ascii="Calibri" w:hAnsi="Calibri" w:cs="Calibri"/>
                <w:b/>
                <w:sz w:val="16"/>
              </w:rPr>
              <w:t>Presisi (%)</w:t>
            </w:r>
          </w:p>
        </w:tc>
        <w:tc>
          <w:tcPr>
            <w:tcW w:type="dxa" w:w="1675"/>
          </w:tcPr>
          <w:p>
            <w:pPr>
              <w:jc w:val="center"/>
            </w:pPr>
            <w:r/>
            <w:r>
              <w:rPr>
                <w:rFonts w:ascii="Calibri" w:hAnsi="Calibri" w:cs="Calibri"/>
                <w:b/>
                <w:sz w:val="16"/>
              </w:rPr>
              <w:t>Recall (%)</w:t>
            </w:r>
          </w:p>
        </w:tc>
        <w:tc>
          <w:tcPr>
            <w:tcW w:type="dxa" w:w="1675"/>
          </w:tcPr>
          <w:p>
            <w:pPr>
              <w:jc w:val="center"/>
            </w:pPr>
            <w:r/>
            <w:r>
              <w:rPr>
                <w:rFonts w:ascii="Calibri" w:hAnsi="Calibri" w:cs="Calibri"/>
                <w:b/>
                <w:sz w:val="16"/>
              </w:rPr>
              <w:t>Skor F1 (%)</w:t>
            </w:r>
          </w:p>
        </w:tc>
      </w:tr>
      <w:tr>
        <w:tc>
          <w:tcPr>
            <w:tcW w:type="dxa" w:w="1675"/>
          </w:tcPr>
          <w:p>
            <w:pPr>
              <w:jc w:val="center"/>
            </w:pPr>
            <w:r/>
            <w:r>
              <w:rPr>
                <w:rFonts w:ascii="Calibri" w:hAnsi="Calibri" w:cs="Calibri"/>
                <w:sz w:val="16"/>
              </w:rPr>
              <w:t>0 jari (Kepalan)</w:t>
            </w:r>
          </w:p>
        </w:tc>
        <w:tc>
          <w:tcPr>
            <w:tcW w:type="dxa" w:w="1675"/>
          </w:tcPr>
          <w:p>
            <w:pPr>
              <w:jc w:val="center"/>
            </w:pPr>
            <w:r/>
            <w:r>
              <w:rPr>
                <w:rFonts w:ascii="Calibri" w:hAnsi="Calibri" w:cs="Calibri"/>
                <w:sz w:val="16"/>
              </w:rPr>
              <w:t>100</w:t>
            </w:r>
          </w:p>
        </w:tc>
        <w:tc>
          <w:tcPr>
            <w:tcW w:type="dxa" w:w="1675"/>
          </w:tcPr>
          <w:p>
            <w:pPr>
              <w:jc w:val="center"/>
            </w:pPr>
            <w:r/>
            <w:r>
              <w:rPr>
                <w:rFonts w:ascii="Calibri" w:hAnsi="Calibri" w:cs="Calibri"/>
                <w:sz w:val="16"/>
              </w:rPr>
              <w:t>97</w:t>
            </w:r>
          </w:p>
        </w:tc>
        <w:tc>
          <w:tcPr>
            <w:tcW w:type="dxa" w:w="1675"/>
          </w:tcPr>
          <w:p>
            <w:pPr>
              <w:jc w:val="center"/>
            </w:pPr>
            <w:r/>
            <w:r>
              <w:rPr>
                <w:rFonts w:ascii="Calibri" w:hAnsi="Calibri" w:cs="Calibri"/>
                <w:sz w:val="16"/>
              </w:rPr>
              <w:t>98,0</w:t>
            </w:r>
          </w:p>
        </w:tc>
        <w:tc>
          <w:tcPr>
            <w:tcW w:type="dxa" w:w="1675"/>
          </w:tcPr>
          <w:p>
            <w:pPr>
              <w:jc w:val="center"/>
            </w:pPr>
            <w:r/>
            <w:r>
              <w:rPr>
                <w:rFonts w:ascii="Calibri" w:hAnsi="Calibri" w:cs="Calibri"/>
                <w:sz w:val="16"/>
              </w:rPr>
              <w:t>97,0</w:t>
            </w:r>
          </w:p>
        </w:tc>
        <w:tc>
          <w:tcPr>
            <w:tcW w:type="dxa" w:w="1675"/>
          </w:tcPr>
          <w:p>
            <w:pPr>
              <w:jc w:val="center"/>
            </w:pPr>
            <w:r/>
            <w:r>
              <w:rPr>
                <w:rFonts w:ascii="Calibri" w:hAnsi="Calibri" w:cs="Calibri"/>
                <w:sz w:val="16"/>
              </w:rPr>
              <w:t>97,5</w:t>
            </w:r>
          </w:p>
        </w:tc>
      </w:tr>
      <w:tr>
        <w:tc>
          <w:tcPr>
            <w:tcW w:type="dxa" w:w="1675"/>
          </w:tcPr>
          <w:p>
            <w:pPr>
              <w:jc w:val="center"/>
            </w:pPr>
            <w:r/>
            <w:r>
              <w:rPr>
                <w:rFonts w:ascii="Calibri" w:hAnsi="Calibri" w:cs="Calibri"/>
                <w:sz w:val="16"/>
              </w:rPr>
              <w:t>1 jari (Telunjuk)</w:t>
            </w:r>
          </w:p>
        </w:tc>
        <w:tc>
          <w:tcPr>
            <w:tcW w:type="dxa" w:w="1675"/>
          </w:tcPr>
          <w:p>
            <w:pPr>
              <w:jc w:val="center"/>
            </w:pPr>
            <w:r/>
            <w:r>
              <w:rPr>
                <w:rFonts w:ascii="Calibri" w:hAnsi="Calibri" w:cs="Calibri"/>
                <w:sz w:val="16"/>
              </w:rPr>
              <w:t>100</w:t>
            </w:r>
          </w:p>
        </w:tc>
        <w:tc>
          <w:tcPr>
            <w:tcW w:type="dxa" w:w="1675"/>
          </w:tcPr>
          <w:p>
            <w:pPr>
              <w:jc w:val="center"/>
            </w:pPr>
            <w:r/>
            <w:r>
              <w:rPr>
                <w:rFonts w:ascii="Calibri" w:hAnsi="Calibri" w:cs="Calibri"/>
                <w:sz w:val="16"/>
              </w:rPr>
              <w:t>95</w:t>
            </w:r>
          </w:p>
        </w:tc>
        <w:tc>
          <w:tcPr>
            <w:tcW w:type="dxa" w:w="1675"/>
          </w:tcPr>
          <w:p>
            <w:pPr>
              <w:jc w:val="center"/>
            </w:pPr>
            <w:r/>
            <w:r>
              <w:rPr>
                <w:rFonts w:ascii="Calibri" w:hAnsi="Calibri" w:cs="Calibri"/>
                <w:sz w:val="16"/>
              </w:rPr>
              <w:t>96,9</w:t>
            </w:r>
          </w:p>
        </w:tc>
        <w:tc>
          <w:tcPr>
            <w:tcW w:type="dxa" w:w="1675"/>
          </w:tcPr>
          <w:p>
            <w:pPr>
              <w:jc w:val="center"/>
            </w:pPr>
            <w:r/>
            <w:r>
              <w:rPr>
                <w:rFonts w:ascii="Calibri" w:hAnsi="Calibri" w:cs="Calibri"/>
                <w:sz w:val="16"/>
              </w:rPr>
              <w:t>95,0</w:t>
            </w:r>
          </w:p>
        </w:tc>
        <w:tc>
          <w:tcPr>
            <w:tcW w:type="dxa" w:w="1675"/>
          </w:tcPr>
          <w:p>
            <w:pPr>
              <w:jc w:val="center"/>
            </w:pPr>
            <w:r/>
            <w:r>
              <w:rPr>
                <w:rFonts w:ascii="Calibri" w:hAnsi="Calibri" w:cs="Calibri"/>
                <w:sz w:val="16"/>
              </w:rPr>
              <w:t>95,9</w:t>
            </w:r>
          </w:p>
        </w:tc>
      </w:tr>
      <w:tr>
        <w:tc>
          <w:tcPr>
            <w:tcW w:type="dxa" w:w="1675"/>
          </w:tcPr>
          <w:p>
            <w:pPr>
              <w:jc w:val="center"/>
            </w:pPr>
            <w:r/>
            <w:r>
              <w:rPr>
                <w:rFonts w:ascii="Calibri" w:hAnsi="Calibri" w:cs="Calibri"/>
                <w:sz w:val="16"/>
              </w:rPr>
              <w:t>2 jari (Peace)</w:t>
            </w:r>
          </w:p>
        </w:tc>
        <w:tc>
          <w:tcPr>
            <w:tcW w:type="dxa" w:w="1675"/>
          </w:tcPr>
          <w:p>
            <w:pPr>
              <w:jc w:val="center"/>
            </w:pPr>
            <w:r/>
            <w:r>
              <w:rPr>
                <w:rFonts w:ascii="Calibri" w:hAnsi="Calibri" w:cs="Calibri"/>
                <w:sz w:val="16"/>
              </w:rPr>
              <w:t>100</w:t>
            </w:r>
          </w:p>
        </w:tc>
        <w:tc>
          <w:tcPr>
            <w:tcW w:type="dxa" w:w="1675"/>
          </w:tcPr>
          <w:p>
            <w:pPr>
              <w:jc w:val="center"/>
            </w:pPr>
            <w:r/>
            <w:r>
              <w:rPr>
                <w:rFonts w:ascii="Calibri" w:hAnsi="Calibri" w:cs="Calibri"/>
                <w:sz w:val="16"/>
              </w:rPr>
              <w:t>94</w:t>
            </w:r>
          </w:p>
        </w:tc>
        <w:tc>
          <w:tcPr>
            <w:tcW w:type="dxa" w:w="1675"/>
          </w:tcPr>
          <w:p>
            <w:pPr>
              <w:jc w:val="center"/>
            </w:pPr>
            <w:r/>
            <w:r>
              <w:rPr>
                <w:rFonts w:ascii="Calibri" w:hAnsi="Calibri" w:cs="Calibri"/>
                <w:sz w:val="16"/>
              </w:rPr>
              <w:t>95,9</w:t>
            </w:r>
          </w:p>
        </w:tc>
        <w:tc>
          <w:tcPr>
            <w:tcW w:type="dxa" w:w="1675"/>
          </w:tcPr>
          <w:p>
            <w:pPr>
              <w:jc w:val="center"/>
            </w:pPr>
            <w:r/>
            <w:r>
              <w:rPr>
                <w:rFonts w:ascii="Calibri" w:hAnsi="Calibri" w:cs="Calibri"/>
                <w:sz w:val="16"/>
              </w:rPr>
              <w:t>94,0</w:t>
            </w:r>
          </w:p>
        </w:tc>
        <w:tc>
          <w:tcPr>
            <w:tcW w:type="dxa" w:w="1675"/>
          </w:tcPr>
          <w:p>
            <w:pPr>
              <w:jc w:val="center"/>
            </w:pPr>
            <w:r/>
            <w:r>
              <w:rPr>
                <w:rFonts w:ascii="Calibri" w:hAnsi="Calibri" w:cs="Calibri"/>
                <w:sz w:val="16"/>
              </w:rPr>
              <w:t>94,9</w:t>
            </w:r>
          </w:p>
        </w:tc>
      </w:tr>
      <w:tr>
        <w:tc>
          <w:tcPr>
            <w:tcW w:type="dxa" w:w="1675"/>
          </w:tcPr>
          <w:p>
            <w:pPr>
              <w:jc w:val="center"/>
            </w:pPr>
            <w:r/>
            <w:r>
              <w:rPr>
                <w:rFonts w:ascii="Calibri" w:hAnsi="Calibri" w:cs="Calibri"/>
                <w:sz w:val="16"/>
              </w:rPr>
              <w:t>3 jari</w:t>
            </w:r>
          </w:p>
        </w:tc>
        <w:tc>
          <w:tcPr>
            <w:tcW w:type="dxa" w:w="1675"/>
          </w:tcPr>
          <w:p>
            <w:pPr>
              <w:jc w:val="center"/>
            </w:pPr>
            <w:r/>
            <w:r>
              <w:rPr>
                <w:rFonts w:ascii="Calibri" w:hAnsi="Calibri" w:cs="Calibri"/>
                <w:sz w:val="16"/>
              </w:rPr>
              <w:t>100</w:t>
            </w:r>
          </w:p>
        </w:tc>
        <w:tc>
          <w:tcPr>
            <w:tcW w:type="dxa" w:w="1675"/>
          </w:tcPr>
          <w:p>
            <w:pPr>
              <w:jc w:val="center"/>
            </w:pPr>
            <w:r/>
            <w:r>
              <w:rPr>
                <w:rFonts w:ascii="Calibri" w:hAnsi="Calibri" w:cs="Calibri"/>
                <w:sz w:val="16"/>
              </w:rPr>
              <w:t>93</w:t>
            </w:r>
          </w:p>
        </w:tc>
        <w:tc>
          <w:tcPr>
            <w:tcW w:type="dxa" w:w="1675"/>
          </w:tcPr>
          <w:p>
            <w:pPr>
              <w:jc w:val="center"/>
            </w:pPr>
            <w:r/>
            <w:r>
              <w:rPr>
                <w:rFonts w:ascii="Calibri" w:hAnsi="Calibri" w:cs="Calibri"/>
                <w:sz w:val="16"/>
              </w:rPr>
              <w:t>94,9</w:t>
            </w:r>
          </w:p>
        </w:tc>
        <w:tc>
          <w:tcPr>
            <w:tcW w:type="dxa" w:w="1675"/>
          </w:tcPr>
          <w:p>
            <w:pPr>
              <w:jc w:val="center"/>
            </w:pPr>
            <w:r/>
            <w:r>
              <w:rPr>
                <w:rFonts w:ascii="Calibri" w:hAnsi="Calibri" w:cs="Calibri"/>
                <w:sz w:val="16"/>
              </w:rPr>
              <w:t>93,0</w:t>
            </w:r>
          </w:p>
        </w:tc>
        <w:tc>
          <w:tcPr>
            <w:tcW w:type="dxa" w:w="1675"/>
          </w:tcPr>
          <w:p>
            <w:pPr>
              <w:jc w:val="center"/>
            </w:pPr>
            <w:r/>
            <w:r>
              <w:rPr>
                <w:rFonts w:ascii="Calibri" w:hAnsi="Calibri" w:cs="Calibri"/>
                <w:sz w:val="16"/>
              </w:rPr>
              <w:t>93,9</w:t>
            </w:r>
          </w:p>
        </w:tc>
      </w:tr>
      <w:tr>
        <w:tc>
          <w:tcPr>
            <w:tcW w:type="dxa" w:w="1675"/>
          </w:tcPr>
          <w:p>
            <w:pPr>
              <w:jc w:val="center"/>
            </w:pPr>
            <w:r/>
            <w:r>
              <w:rPr>
                <w:rFonts w:ascii="Calibri" w:hAnsi="Calibri" w:cs="Calibri"/>
                <w:sz w:val="16"/>
              </w:rPr>
              <w:t>4 jari</w:t>
            </w:r>
          </w:p>
        </w:tc>
        <w:tc>
          <w:tcPr>
            <w:tcW w:type="dxa" w:w="1675"/>
          </w:tcPr>
          <w:p>
            <w:pPr>
              <w:jc w:val="center"/>
            </w:pPr>
            <w:r/>
            <w:r>
              <w:rPr>
                <w:rFonts w:ascii="Calibri" w:hAnsi="Calibri" w:cs="Calibri"/>
                <w:sz w:val="16"/>
              </w:rPr>
              <w:t>100</w:t>
            </w:r>
          </w:p>
        </w:tc>
        <w:tc>
          <w:tcPr>
            <w:tcW w:type="dxa" w:w="1675"/>
          </w:tcPr>
          <w:p>
            <w:pPr>
              <w:jc w:val="center"/>
            </w:pPr>
            <w:r/>
            <w:r>
              <w:rPr>
                <w:rFonts w:ascii="Calibri" w:hAnsi="Calibri" w:cs="Calibri"/>
                <w:sz w:val="16"/>
              </w:rPr>
              <w:t>92</w:t>
            </w:r>
          </w:p>
        </w:tc>
        <w:tc>
          <w:tcPr>
            <w:tcW w:type="dxa" w:w="1675"/>
          </w:tcPr>
          <w:p>
            <w:pPr>
              <w:jc w:val="center"/>
            </w:pPr>
            <w:r/>
            <w:r>
              <w:rPr>
                <w:rFonts w:ascii="Calibri" w:hAnsi="Calibri" w:cs="Calibri"/>
                <w:sz w:val="16"/>
              </w:rPr>
              <w:t>93,9</w:t>
            </w:r>
          </w:p>
        </w:tc>
        <w:tc>
          <w:tcPr>
            <w:tcW w:type="dxa" w:w="1675"/>
          </w:tcPr>
          <w:p>
            <w:pPr>
              <w:jc w:val="center"/>
            </w:pPr>
            <w:r/>
            <w:r>
              <w:rPr>
                <w:rFonts w:ascii="Calibri" w:hAnsi="Calibri" w:cs="Calibri"/>
                <w:sz w:val="16"/>
              </w:rPr>
              <w:t>92,0</w:t>
            </w:r>
          </w:p>
        </w:tc>
        <w:tc>
          <w:tcPr>
            <w:tcW w:type="dxa" w:w="1675"/>
          </w:tcPr>
          <w:p>
            <w:pPr>
              <w:jc w:val="center"/>
            </w:pPr>
            <w:r/>
            <w:r>
              <w:rPr>
                <w:rFonts w:ascii="Calibri" w:hAnsi="Calibri" w:cs="Calibri"/>
                <w:sz w:val="16"/>
              </w:rPr>
              <w:t>92,9</w:t>
            </w:r>
          </w:p>
        </w:tc>
      </w:tr>
      <w:tr>
        <w:tc>
          <w:tcPr>
            <w:tcW w:type="dxa" w:w="1675"/>
          </w:tcPr>
          <w:p>
            <w:pPr>
              <w:jc w:val="center"/>
            </w:pPr>
            <w:r/>
            <w:r>
              <w:rPr>
                <w:rFonts w:ascii="Calibri" w:hAnsi="Calibri" w:cs="Calibri"/>
                <w:sz w:val="16"/>
              </w:rPr>
              <w:t>5 jari (Telapak Terbuka)</w:t>
            </w:r>
          </w:p>
        </w:tc>
        <w:tc>
          <w:tcPr>
            <w:tcW w:type="dxa" w:w="1675"/>
          </w:tcPr>
          <w:p>
            <w:pPr>
              <w:jc w:val="center"/>
            </w:pPr>
            <w:r/>
            <w:r>
              <w:rPr>
                <w:rFonts w:ascii="Calibri" w:hAnsi="Calibri" w:cs="Calibri"/>
                <w:sz w:val="16"/>
              </w:rPr>
              <w:t>100</w:t>
            </w:r>
          </w:p>
        </w:tc>
        <w:tc>
          <w:tcPr>
            <w:tcW w:type="dxa" w:w="1675"/>
          </w:tcPr>
          <w:p>
            <w:pPr>
              <w:jc w:val="center"/>
            </w:pPr>
            <w:r/>
            <w:r>
              <w:rPr>
                <w:rFonts w:ascii="Calibri" w:hAnsi="Calibri" w:cs="Calibri"/>
                <w:sz w:val="16"/>
              </w:rPr>
              <w:t>98</w:t>
            </w:r>
          </w:p>
        </w:tc>
        <w:tc>
          <w:tcPr>
            <w:tcW w:type="dxa" w:w="1675"/>
          </w:tcPr>
          <w:p>
            <w:pPr>
              <w:jc w:val="center"/>
            </w:pPr>
            <w:r/>
            <w:r>
              <w:rPr>
                <w:rFonts w:ascii="Calibri" w:hAnsi="Calibri" w:cs="Calibri"/>
                <w:sz w:val="16"/>
              </w:rPr>
              <w:t>97,0</w:t>
            </w:r>
          </w:p>
        </w:tc>
        <w:tc>
          <w:tcPr>
            <w:tcW w:type="dxa" w:w="1675"/>
          </w:tcPr>
          <w:p>
            <w:pPr>
              <w:jc w:val="center"/>
            </w:pPr>
            <w:r/>
            <w:r>
              <w:rPr>
                <w:rFonts w:ascii="Calibri" w:hAnsi="Calibri" w:cs="Calibri"/>
                <w:sz w:val="16"/>
              </w:rPr>
              <w:t>98,0</w:t>
            </w:r>
          </w:p>
        </w:tc>
        <w:tc>
          <w:tcPr>
            <w:tcW w:type="dxa" w:w="1675"/>
          </w:tcPr>
          <w:p>
            <w:pPr>
              <w:jc w:val="center"/>
            </w:pPr>
            <w:r/>
            <w:r>
              <w:rPr>
                <w:rFonts w:ascii="Calibri" w:hAnsi="Calibri" w:cs="Calibri"/>
                <w:sz w:val="16"/>
              </w:rPr>
              <w:t>97,5</w:t>
            </w:r>
          </w:p>
        </w:tc>
      </w:tr>
      <w:tr>
        <w:tc>
          <w:tcPr>
            <w:tcW w:type="dxa" w:w="1675"/>
          </w:tcPr>
          <w:p>
            <w:pPr>
              <w:jc w:val="center"/>
            </w:pPr>
            <w:r/>
            <w:r>
              <w:rPr>
                <w:rFonts w:ascii="Calibri" w:hAnsi="Calibri" w:cs="Calibri"/>
                <w:sz w:val="16"/>
              </w:rPr>
              <w:t>\bRata-rata Keseluruhan (Makro)\b</w:t>
            </w:r>
          </w:p>
        </w:tc>
        <w:tc>
          <w:tcPr>
            <w:tcW w:type="dxa" w:w="1675"/>
          </w:tcPr>
          <w:p>
            <w:pPr>
              <w:jc w:val="center"/>
            </w:pPr>
            <w:r/>
            <w:r>
              <w:rPr>
                <w:rFonts w:ascii="Calibri" w:hAnsi="Calibri" w:cs="Calibri"/>
                <w:sz w:val="16"/>
              </w:rPr>
              <w:t>600</w:t>
            </w:r>
          </w:p>
        </w:tc>
        <w:tc>
          <w:tcPr>
            <w:tcW w:type="dxa" w:w="1675"/>
          </w:tcPr>
          <w:p>
            <w:pPr>
              <w:jc w:val="center"/>
            </w:pPr>
            <w:r/>
            <w:r>
              <w:rPr>
                <w:rFonts w:ascii="Calibri" w:hAnsi="Calibri" w:cs="Calibri"/>
                <w:sz w:val="16"/>
              </w:rPr>
              <w:t>569</w:t>
            </w:r>
          </w:p>
        </w:tc>
        <w:tc>
          <w:tcPr>
            <w:tcW w:type="dxa" w:w="1675"/>
          </w:tcPr>
          <w:p>
            <w:pPr>
              <w:jc w:val="center"/>
            </w:pPr>
            <w:r/>
            <w:r>
              <w:rPr>
                <w:rFonts w:ascii="Calibri" w:hAnsi="Calibri" w:cs="Calibri"/>
                <w:sz w:val="16"/>
              </w:rPr>
              <w:t>\b96,1\b</w:t>
            </w:r>
          </w:p>
        </w:tc>
        <w:tc>
          <w:tcPr>
            <w:tcW w:type="dxa" w:w="1675"/>
          </w:tcPr>
          <w:p>
            <w:pPr>
              <w:jc w:val="center"/>
            </w:pPr>
            <w:r/>
            <w:r>
              <w:rPr>
                <w:rFonts w:ascii="Calibri" w:hAnsi="Calibri" w:cs="Calibri"/>
                <w:sz w:val="16"/>
              </w:rPr>
              <w:t>\b94,8\b</w:t>
            </w:r>
          </w:p>
        </w:tc>
        <w:tc>
          <w:tcPr>
            <w:tcW w:type="dxa" w:w="1675"/>
          </w:tcPr>
          <w:p>
            <w:pPr>
              <w:jc w:val="center"/>
            </w:pPr>
            <w:r/>
            <w:r>
              <w:rPr>
                <w:rFonts w:ascii="Calibri" w:hAnsi="Calibri" w:cs="Calibri"/>
                <w:sz w:val="16"/>
              </w:rPr>
              <w:t>\b95,4\b</w:t>
            </w:r>
          </w:p>
        </w:tc>
      </w:tr>
    </w:tbl>
    <w:p>
      <w:pPr>
        <w:spacing w:before="0" w:after="0"/>
        <w:jc w:val="both"/>
      </w:pPr>
      <w:r>
        <w:rPr>
          <w:rFonts w:ascii="Calibri" w:hAnsi="Calibri" w:cs="Calibri"/>
          <w:sz w:val="20"/>
        </w:rPr>
        <w:t>Pada 300 lux yang merupakan pencahayaan kantor standar, skor F1 makro mencapai 95,4% (Tabel II). Skor tertinggi diraih kepalan tangan dan telapak terbuka, keduanya di atas 97%, karena geometri kedua pose paling berbeda dari kelas lainnya. Kelas tengah (2, 3, 4 jari) mendapat skor lebih rendah; membedakan tiga dari empat jari sulit ketika tangan miring dari sumbu kamera.</w:t>
      </w:r>
    </w:p>
    <w:p>
      <w:pPr>
        <w:spacing w:before="120" w:after="60"/>
        <w:jc w:val="center"/>
      </w:pPr>
      <w:r>
        <w:rPr>
          <w:rFonts w:ascii="Calibri" w:hAnsi="Calibri" w:cs="Calibri"/>
          <w:b/>
          <w:sz w:val="16"/>
        </w:rPr>
        <w:t xml:space="preserve">Table III. </w:t>
      </w:r>
      <w:r>
        <w:rPr>
          <w:rFonts w:ascii="Calibri" w:hAnsi="Calibri" w:cs="Calibri"/>
          <w:sz w:val="16"/>
        </w:rPr>
        <w:t>Matriks Konfusi pada 300 Lux (n=100 per kelas)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36"/>
        <w:gridCol w:w="1436"/>
        <w:gridCol w:w="1436"/>
        <w:gridCol w:w="1436"/>
        <w:gridCol w:w="1436"/>
        <w:gridCol w:w="1436"/>
        <w:gridCol w:w="1436"/>
      </w:tblGrid>
      <w:tr>
        <w:tc>
          <w:tcPr>
            <w:tcW w:type="dxa" w:w="1436"/>
          </w:tcPr>
          <w:p>
            <w:pPr>
              <w:jc w:val="center"/>
            </w:pPr>
            <w:r/>
            <w:r>
              <w:rPr>
                <w:rFonts w:ascii="Calibri" w:hAnsi="Calibri" w:cs="Calibri"/>
                <w:b/>
                <w:sz w:val="16"/>
              </w:rPr>
              <w:t>Aktual \ Prediksi</w:t>
            </w:r>
          </w:p>
        </w:tc>
        <w:tc>
          <w:tcPr>
            <w:tcW w:type="dxa" w:w="1436"/>
          </w:tcPr>
          <w:p>
            <w:pPr>
              <w:jc w:val="center"/>
            </w:pPr>
            <w:r/>
            <w:r>
              <w:rPr>
                <w:rFonts w:ascii="Calibri" w:hAnsi="Calibri" w:cs="Calibri"/>
                <w:b/>
                <w:sz w:val="16"/>
              </w:rPr>
              <w:t>0 (Kepalan)</w:t>
            </w:r>
          </w:p>
        </w:tc>
        <w:tc>
          <w:tcPr>
            <w:tcW w:type="dxa" w:w="1436"/>
          </w:tcPr>
          <w:p>
            <w:pPr>
              <w:jc w:val="center"/>
            </w:pPr>
            <w:r/>
            <w:r>
              <w:rPr>
                <w:rFonts w:ascii="Calibri" w:hAnsi="Calibri" w:cs="Calibri"/>
                <w:b/>
                <w:sz w:val="16"/>
              </w:rPr>
              <w:t>1 (Telunjuk)</w:t>
            </w:r>
          </w:p>
        </w:tc>
        <w:tc>
          <w:tcPr>
            <w:tcW w:type="dxa" w:w="1436"/>
          </w:tcPr>
          <w:p>
            <w:pPr>
              <w:jc w:val="center"/>
            </w:pPr>
            <w:r/>
            <w:r>
              <w:rPr>
                <w:rFonts w:ascii="Calibri" w:hAnsi="Calibri" w:cs="Calibri"/>
                <w:b/>
                <w:sz w:val="16"/>
              </w:rPr>
              <w:t>2 (Peace)</w:t>
            </w:r>
          </w:p>
        </w:tc>
        <w:tc>
          <w:tcPr>
            <w:tcW w:type="dxa" w:w="1436"/>
          </w:tcPr>
          <w:p>
            <w:pPr>
              <w:jc w:val="center"/>
            </w:pPr>
            <w:r/>
            <w:r>
              <w:rPr>
                <w:rFonts w:ascii="Calibri" w:hAnsi="Calibri" w:cs="Calibri"/>
                <w:b/>
                <w:sz w:val="16"/>
              </w:rPr>
              <w:t>3</w:t>
            </w:r>
          </w:p>
        </w:tc>
        <w:tc>
          <w:tcPr>
            <w:tcW w:type="dxa" w:w="1436"/>
          </w:tcPr>
          <w:p>
            <w:pPr>
              <w:jc w:val="center"/>
            </w:pPr>
            <w:r/>
            <w:r>
              <w:rPr>
                <w:rFonts w:ascii="Calibri" w:hAnsi="Calibri" w:cs="Calibri"/>
                <w:b/>
                <w:sz w:val="16"/>
              </w:rPr>
              <w:t>4</w:t>
            </w:r>
          </w:p>
        </w:tc>
        <w:tc>
          <w:tcPr>
            <w:tcW w:type="dxa" w:w="1436"/>
          </w:tcPr>
          <w:p>
            <w:pPr>
              <w:jc w:val="center"/>
            </w:pPr>
            <w:r/>
            <w:r>
              <w:rPr>
                <w:rFonts w:ascii="Calibri" w:hAnsi="Calibri" w:cs="Calibri"/>
                <w:b/>
                <w:sz w:val="16"/>
              </w:rPr>
              <w:t>5 (Telapak)</w:t>
            </w:r>
          </w:p>
        </w:tc>
      </w:tr>
      <w:tr>
        <w:tc>
          <w:tcPr>
            <w:tcW w:type="dxa" w:w="1436"/>
          </w:tcPr>
          <w:p>
            <w:pPr>
              <w:jc w:val="center"/>
            </w:pPr>
            <w:r/>
            <w:r>
              <w:rPr>
                <w:rFonts w:ascii="Calibri" w:hAnsi="Calibri" w:cs="Calibri"/>
                <w:sz w:val="16"/>
              </w:rPr>
              <w:t>0 (Kepalan)</w:t>
            </w:r>
          </w:p>
        </w:tc>
        <w:tc>
          <w:tcPr>
            <w:tcW w:type="dxa" w:w="1436"/>
          </w:tcPr>
          <w:p>
            <w:pPr>
              <w:jc w:val="center"/>
            </w:pPr>
            <w:r/>
            <w:r>
              <w:rPr>
                <w:rFonts w:ascii="Calibri" w:hAnsi="Calibri" w:cs="Calibri"/>
                <w:sz w:val="16"/>
              </w:rPr>
              <w:t>97</w:t>
            </w:r>
          </w:p>
        </w:tc>
        <w:tc>
          <w:tcPr>
            <w:tcW w:type="dxa" w:w="1436"/>
          </w:tcPr>
          <w:p>
            <w:pPr>
              <w:jc w:val="center"/>
            </w:pPr>
            <w:r/>
            <w:r>
              <w:rPr>
                <w:rFonts w:ascii="Calibri" w:hAnsi="Calibri" w:cs="Calibri"/>
                <w:sz w:val="16"/>
              </w:rPr>
              <w:t>0</w:t>
            </w:r>
          </w:p>
        </w:tc>
        <w:tc>
          <w:tcPr>
            <w:tcW w:type="dxa" w:w="1436"/>
          </w:tcPr>
          <w:p>
            <w:pPr>
              <w:jc w:val="center"/>
            </w:pPr>
            <w:r/>
            <w:r>
              <w:rPr>
                <w:rFonts w:ascii="Calibri" w:hAnsi="Calibri" w:cs="Calibri"/>
                <w:sz w:val="16"/>
              </w:rPr>
              <w:t>0</w:t>
            </w:r>
          </w:p>
        </w:tc>
        <w:tc>
          <w:tcPr>
            <w:tcW w:type="dxa" w:w="1436"/>
          </w:tcPr>
          <w:p>
            <w:pPr>
              <w:jc w:val="center"/>
            </w:pPr>
            <w:r/>
            <w:r>
              <w:rPr>
                <w:rFonts w:ascii="Calibri" w:hAnsi="Calibri" w:cs="Calibri"/>
                <w:sz w:val="16"/>
              </w:rPr>
              <w:t>0</w:t>
            </w:r>
          </w:p>
        </w:tc>
        <w:tc>
          <w:tcPr>
            <w:tcW w:type="dxa" w:w="1436"/>
          </w:tcPr>
          <w:p>
            <w:pPr>
              <w:jc w:val="center"/>
            </w:pPr>
            <w:r/>
            <w:r>
              <w:rPr>
                <w:rFonts w:ascii="Calibri" w:hAnsi="Calibri" w:cs="Calibri"/>
                <w:sz w:val="16"/>
              </w:rPr>
              <w:t>0</w:t>
            </w:r>
          </w:p>
        </w:tc>
        <w:tc>
          <w:tcPr>
            <w:tcW w:type="dxa" w:w="1436"/>
          </w:tcPr>
          <w:p>
            <w:pPr>
              <w:jc w:val="center"/>
            </w:pPr>
            <w:r/>
            <w:r>
              <w:rPr>
                <w:rFonts w:ascii="Calibri" w:hAnsi="Calibri" w:cs="Calibri"/>
                <w:sz w:val="16"/>
              </w:rPr>
              <w:t>3</w:t>
            </w:r>
          </w:p>
        </w:tc>
      </w:tr>
      <w:tr>
        <w:tc>
          <w:tcPr>
            <w:tcW w:type="dxa" w:w="1436"/>
          </w:tcPr>
          <w:p>
            <w:pPr>
              <w:jc w:val="center"/>
            </w:pPr>
            <w:r/>
            <w:r>
              <w:rPr>
                <w:rFonts w:ascii="Calibri" w:hAnsi="Calibri" w:cs="Calibri"/>
                <w:sz w:val="16"/>
              </w:rPr>
              <w:t>1 (Telunjuk)</w:t>
            </w:r>
          </w:p>
        </w:tc>
        <w:tc>
          <w:tcPr>
            <w:tcW w:type="dxa" w:w="1436"/>
          </w:tcPr>
          <w:p>
            <w:pPr>
              <w:jc w:val="center"/>
            </w:pPr>
            <w:r/>
            <w:r>
              <w:rPr>
                <w:rFonts w:ascii="Calibri" w:hAnsi="Calibri" w:cs="Calibri"/>
                <w:sz w:val="16"/>
              </w:rPr>
              <w:t>0</w:t>
            </w:r>
          </w:p>
        </w:tc>
        <w:tc>
          <w:tcPr>
            <w:tcW w:type="dxa" w:w="1436"/>
          </w:tcPr>
          <w:p>
            <w:pPr>
              <w:jc w:val="center"/>
            </w:pPr>
            <w:r/>
            <w:r>
              <w:rPr>
                <w:rFonts w:ascii="Calibri" w:hAnsi="Calibri" w:cs="Calibri"/>
                <w:sz w:val="16"/>
              </w:rPr>
              <w:t>95</w:t>
            </w:r>
          </w:p>
        </w:tc>
        <w:tc>
          <w:tcPr>
            <w:tcW w:type="dxa" w:w="1436"/>
          </w:tcPr>
          <w:p>
            <w:pPr>
              <w:jc w:val="center"/>
            </w:pPr>
            <w:r/>
            <w:r>
              <w:rPr>
                <w:rFonts w:ascii="Calibri" w:hAnsi="Calibri" w:cs="Calibri"/>
                <w:sz w:val="16"/>
              </w:rPr>
              <w:t>2</w:t>
            </w:r>
          </w:p>
        </w:tc>
        <w:tc>
          <w:tcPr>
            <w:tcW w:type="dxa" w:w="1436"/>
          </w:tcPr>
          <w:p>
            <w:pPr>
              <w:jc w:val="center"/>
            </w:pPr>
            <w:r/>
            <w:r>
              <w:rPr>
                <w:rFonts w:ascii="Calibri" w:hAnsi="Calibri" w:cs="Calibri"/>
                <w:sz w:val="16"/>
              </w:rPr>
              <w:t>0</w:t>
            </w:r>
          </w:p>
        </w:tc>
        <w:tc>
          <w:tcPr>
            <w:tcW w:type="dxa" w:w="1436"/>
          </w:tcPr>
          <w:p>
            <w:pPr>
              <w:jc w:val="center"/>
            </w:pPr>
            <w:r/>
            <w:r>
              <w:rPr>
                <w:rFonts w:ascii="Calibri" w:hAnsi="Calibri" w:cs="Calibri"/>
                <w:sz w:val="16"/>
              </w:rPr>
              <w:t>0</w:t>
            </w:r>
          </w:p>
        </w:tc>
        <w:tc>
          <w:tcPr>
            <w:tcW w:type="dxa" w:w="1436"/>
          </w:tcPr>
          <w:p>
            <w:pPr>
              <w:jc w:val="center"/>
            </w:pPr>
            <w:r/>
            <w:r>
              <w:rPr>
                <w:rFonts w:ascii="Calibri" w:hAnsi="Calibri" w:cs="Calibri"/>
                <w:sz w:val="16"/>
              </w:rPr>
              <w:t>3</w:t>
            </w:r>
          </w:p>
        </w:tc>
      </w:tr>
      <w:tr>
        <w:tc>
          <w:tcPr>
            <w:tcW w:type="dxa" w:w="1436"/>
          </w:tcPr>
          <w:p>
            <w:pPr>
              <w:jc w:val="center"/>
            </w:pPr>
            <w:r/>
            <w:r>
              <w:rPr>
                <w:rFonts w:ascii="Calibri" w:hAnsi="Calibri" w:cs="Calibri"/>
                <w:sz w:val="16"/>
              </w:rPr>
              <w:t>2 (Peace)</w:t>
            </w:r>
          </w:p>
        </w:tc>
        <w:tc>
          <w:tcPr>
            <w:tcW w:type="dxa" w:w="1436"/>
          </w:tcPr>
          <w:p>
            <w:pPr>
              <w:jc w:val="center"/>
            </w:pPr>
            <w:r/>
            <w:r>
              <w:rPr>
                <w:rFonts w:ascii="Calibri" w:hAnsi="Calibri" w:cs="Calibri"/>
                <w:sz w:val="16"/>
              </w:rPr>
              <w:t>0</w:t>
            </w:r>
          </w:p>
        </w:tc>
        <w:tc>
          <w:tcPr>
            <w:tcW w:type="dxa" w:w="1436"/>
          </w:tcPr>
          <w:p>
            <w:pPr>
              <w:jc w:val="center"/>
            </w:pPr>
            <w:r/>
            <w:r>
              <w:rPr>
                <w:rFonts w:ascii="Calibri" w:hAnsi="Calibri" w:cs="Calibri"/>
                <w:sz w:val="16"/>
              </w:rPr>
              <w:t>1</w:t>
            </w:r>
          </w:p>
        </w:tc>
        <w:tc>
          <w:tcPr>
            <w:tcW w:type="dxa" w:w="1436"/>
          </w:tcPr>
          <w:p>
            <w:pPr>
              <w:jc w:val="center"/>
            </w:pPr>
            <w:r/>
            <w:r>
              <w:rPr>
                <w:rFonts w:ascii="Calibri" w:hAnsi="Calibri" w:cs="Calibri"/>
                <w:sz w:val="16"/>
              </w:rPr>
              <w:t>94</w:t>
            </w:r>
          </w:p>
        </w:tc>
        <w:tc>
          <w:tcPr>
            <w:tcW w:type="dxa" w:w="1436"/>
          </w:tcPr>
          <w:p>
            <w:pPr>
              <w:jc w:val="center"/>
            </w:pPr>
            <w:r/>
            <w:r>
              <w:rPr>
                <w:rFonts w:ascii="Calibri" w:hAnsi="Calibri" w:cs="Calibri"/>
                <w:sz w:val="16"/>
              </w:rPr>
              <w:t>5</w:t>
            </w:r>
          </w:p>
        </w:tc>
        <w:tc>
          <w:tcPr>
            <w:tcW w:type="dxa" w:w="1436"/>
          </w:tcPr>
          <w:p>
            <w:pPr>
              <w:jc w:val="center"/>
            </w:pPr>
            <w:r/>
            <w:r>
              <w:rPr>
                <w:rFonts w:ascii="Calibri" w:hAnsi="Calibri" w:cs="Calibri"/>
                <w:sz w:val="16"/>
              </w:rPr>
              <w:t>0</w:t>
            </w:r>
          </w:p>
        </w:tc>
        <w:tc>
          <w:tcPr>
            <w:tcW w:type="dxa" w:w="1436"/>
          </w:tcPr>
          <w:p>
            <w:pPr>
              <w:jc w:val="center"/>
            </w:pPr>
            <w:r/>
            <w:r>
              <w:rPr>
                <w:rFonts w:ascii="Calibri" w:hAnsi="Calibri" w:cs="Calibri"/>
                <w:sz w:val="16"/>
              </w:rPr>
              <w:t>0</w:t>
            </w:r>
          </w:p>
        </w:tc>
      </w:tr>
      <w:tr>
        <w:tc>
          <w:tcPr>
            <w:tcW w:type="dxa" w:w="1436"/>
          </w:tcPr>
          <w:p>
            <w:pPr>
              <w:jc w:val="center"/>
            </w:pPr>
            <w:r/>
            <w:r>
              <w:rPr>
                <w:rFonts w:ascii="Calibri" w:hAnsi="Calibri" w:cs="Calibri"/>
                <w:sz w:val="16"/>
              </w:rPr>
              <w:t>3</w:t>
            </w:r>
          </w:p>
        </w:tc>
        <w:tc>
          <w:tcPr>
            <w:tcW w:type="dxa" w:w="1436"/>
          </w:tcPr>
          <w:p>
            <w:pPr>
              <w:jc w:val="center"/>
            </w:pPr>
            <w:r/>
            <w:r>
              <w:rPr>
                <w:rFonts w:ascii="Calibri" w:hAnsi="Calibri" w:cs="Calibri"/>
                <w:sz w:val="16"/>
              </w:rPr>
              <w:t>0</w:t>
            </w:r>
          </w:p>
        </w:tc>
        <w:tc>
          <w:tcPr>
            <w:tcW w:type="dxa" w:w="1436"/>
          </w:tcPr>
          <w:p>
            <w:pPr>
              <w:jc w:val="center"/>
            </w:pPr>
            <w:r/>
            <w:r>
              <w:rPr>
                <w:rFonts w:ascii="Calibri" w:hAnsi="Calibri" w:cs="Calibri"/>
                <w:sz w:val="16"/>
              </w:rPr>
              <w:t>0</w:t>
            </w:r>
          </w:p>
        </w:tc>
        <w:tc>
          <w:tcPr>
            <w:tcW w:type="dxa" w:w="1436"/>
          </w:tcPr>
          <w:p>
            <w:pPr>
              <w:jc w:val="center"/>
            </w:pPr>
            <w:r/>
            <w:r>
              <w:rPr>
                <w:rFonts w:ascii="Calibri" w:hAnsi="Calibri" w:cs="Calibri"/>
                <w:sz w:val="16"/>
              </w:rPr>
              <w:t>4</w:t>
            </w:r>
          </w:p>
        </w:tc>
        <w:tc>
          <w:tcPr>
            <w:tcW w:type="dxa" w:w="1436"/>
          </w:tcPr>
          <w:p>
            <w:pPr>
              <w:jc w:val="center"/>
            </w:pPr>
            <w:r/>
            <w:r>
              <w:rPr>
                <w:rFonts w:ascii="Calibri" w:hAnsi="Calibri" w:cs="Calibri"/>
                <w:sz w:val="16"/>
              </w:rPr>
              <w:t>93</w:t>
            </w:r>
          </w:p>
        </w:tc>
        <w:tc>
          <w:tcPr>
            <w:tcW w:type="dxa" w:w="1436"/>
          </w:tcPr>
          <w:p>
            <w:pPr>
              <w:jc w:val="center"/>
            </w:pPr>
            <w:r/>
            <w:r>
              <w:rPr>
                <w:rFonts w:ascii="Calibri" w:hAnsi="Calibri" w:cs="Calibri"/>
                <w:sz w:val="16"/>
              </w:rPr>
              <w:t>3</w:t>
            </w:r>
          </w:p>
        </w:tc>
        <w:tc>
          <w:tcPr>
            <w:tcW w:type="dxa" w:w="1436"/>
          </w:tcPr>
          <w:p>
            <w:pPr>
              <w:jc w:val="center"/>
            </w:pPr>
            <w:r/>
            <w:r>
              <w:rPr>
                <w:rFonts w:ascii="Calibri" w:hAnsi="Calibri" w:cs="Calibri"/>
                <w:sz w:val="16"/>
              </w:rPr>
              <w:t>0</w:t>
            </w:r>
          </w:p>
        </w:tc>
      </w:tr>
      <w:tr>
        <w:tc>
          <w:tcPr>
            <w:tcW w:type="dxa" w:w="1436"/>
          </w:tcPr>
          <w:p>
            <w:pPr>
              <w:jc w:val="center"/>
            </w:pPr>
            <w:r/>
            <w:r>
              <w:rPr>
                <w:rFonts w:ascii="Calibri" w:hAnsi="Calibri" w:cs="Calibri"/>
                <w:sz w:val="16"/>
              </w:rPr>
              <w:t>4</w:t>
            </w:r>
          </w:p>
        </w:tc>
        <w:tc>
          <w:tcPr>
            <w:tcW w:type="dxa" w:w="1436"/>
          </w:tcPr>
          <w:p>
            <w:pPr>
              <w:jc w:val="center"/>
            </w:pPr>
            <w:r/>
            <w:r>
              <w:rPr>
                <w:rFonts w:ascii="Calibri" w:hAnsi="Calibri" w:cs="Calibri"/>
                <w:sz w:val="16"/>
              </w:rPr>
              <w:t>0</w:t>
            </w:r>
          </w:p>
        </w:tc>
        <w:tc>
          <w:tcPr>
            <w:tcW w:type="dxa" w:w="1436"/>
          </w:tcPr>
          <w:p>
            <w:pPr>
              <w:jc w:val="center"/>
            </w:pPr>
            <w:r/>
            <w:r>
              <w:rPr>
                <w:rFonts w:ascii="Calibri" w:hAnsi="Calibri" w:cs="Calibri"/>
                <w:sz w:val="16"/>
              </w:rPr>
              <w:t>0</w:t>
            </w:r>
          </w:p>
        </w:tc>
        <w:tc>
          <w:tcPr>
            <w:tcW w:type="dxa" w:w="1436"/>
          </w:tcPr>
          <w:p>
            <w:pPr>
              <w:jc w:val="center"/>
            </w:pPr>
            <w:r/>
            <w:r>
              <w:rPr>
                <w:rFonts w:ascii="Calibri" w:hAnsi="Calibri" w:cs="Calibri"/>
                <w:sz w:val="16"/>
              </w:rPr>
              <w:t>0</w:t>
            </w:r>
          </w:p>
        </w:tc>
        <w:tc>
          <w:tcPr>
            <w:tcW w:type="dxa" w:w="1436"/>
          </w:tcPr>
          <w:p>
            <w:pPr>
              <w:jc w:val="center"/>
            </w:pPr>
            <w:r/>
            <w:r>
              <w:rPr>
                <w:rFonts w:ascii="Calibri" w:hAnsi="Calibri" w:cs="Calibri"/>
                <w:sz w:val="16"/>
              </w:rPr>
              <w:t>2</w:t>
            </w:r>
          </w:p>
        </w:tc>
        <w:tc>
          <w:tcPr>
            <w:tcW w:type="dxa" w:w="1436"/>
          </w:tcPr>
          <w:p>
            <w:pPr>
              <w:jc w:val="center"/>
            </w:pPr>
            <w:r/>
            <w:r>
              <w:rPr>
                <w:rFonts w:ascii="Calibri" w:hAnsi="Calibri" w:cs="Calibri"/>
                <w:sz w:val="16"/>
              </w:rPr>
              <w:t>92</w:t>
            </w:r>
          </w:p>
        </w:tc>
        <w:tc>
          <w:tcPr>
            <w:tcW w:type="dxa" w:w="1436"/>
          </w:tcPr>
          <w:p>
            <w:pPr>
              <w:jc w:val="center"/>
            </w:pPr>
            <w:r/>
            <w:r>
              <w:rPr>
                <w:rFonts w:ascii="Calibri" w:hAnsi="Calibri" w:cs="Calibri"/>
                <w:sz w:val="16"/>
              </w:rPr>
              <w:t>6</w:t>
            </w:r>
          </w:p>
        </w:tc>
      </w:tr>
      <w:tr>
        <w:tc>
          <w:tcPr>
            <w:tcW w:type="dxa" w:w="1436"/>
          </w:tcPr>
          <w:p>
            <w:pPr>
              <w:jc w:val="center"/>
            </w:pPr>
            <w:r/>
            <w:r>
              <w:rPr>
                <w:rFonts w:ascii="Calibri" w:hAnsi="Calibri" w:cs="Calibri"/>
                <w:sz w:val="16"/>
              </w:rPr>
              <w:t>5 (Telapak)</w:t>
            </w:r>
          </w:p>
        </w:tc>
        <w:tc>
          <w:tcPr>
            <w:tcW w:type="dxa" w:w="1436"/>
          </w:tcPr>
          <w:p>
            <w:pPr>
              <w:jc w:val="center"/>
            </w:pPr>
            <w:r/>
            <w:r>
              <w:rPr>
                <w:rFonts w:ascii="Calibri" w:hAnsi="Calibri" w:cs="Calibri"/>
                <w:sz w:val="16"/>
              </w:rPr>
              <w:t>2</w:t>
            </w:r>
          </w:p>
        </w:tc>
        <w:tc>
          <w:tcPr>
            <w:tcW w:type="dxa" w:w="1436"/>
          </w:tcPr>
          <w:p>
            <w:pPr>
              <w:jc w:val="center"/>
            </w:pPr>
            <w:r/>
            <w:r>
              <w:rPr>
                <w:rFonts w:ascii="Calibri" w:hAnsi="Calibri" w:cs="Calibri"/>
                <w:sz w:val="16"/>
              </w:rPr>
              <w:t>0</w:t>
            </w:r>
          </w:p>
        </w:tc>
        <w:tc>
          <w:tcPr>
            <w:tcW w:type="dxa" w:w="1436"/>
          </w:tcPr>
          <w:p>
            <w:pPr>
              <w:jc w:val="center"/>
            </w:pPr>
            <w:r/>
            <w:r>
              <w:rPr>
                <w:rFonts w:ascii="Calibri" w:hAnsi="Calibri" w:cs="Calibri"/>
                <w:sz w:val="16"/>
              </w:rPr>
              <w:t>0</w:t>
            </w:r>
          </w:p>
        </w:tc>
        <w:tc>
          <w:tcPr>
            <w:tcW w:type="dxa" w:w="1436"/>
          </w:tcPr>
          <w:p>
            <w:pPr>
              <w:jc w:val="center"/>
            </w:pPr>
            <w:r/>
            <w:r>
              <w:rPr>
                <w:rFonts w:ascii="Calibri" w:hAnsi="Calibri" w:cs="Calibri"/>
                <w:sz w:val="16"/>
              </w:rPr>
              <w:t>0</w:t>
            </w:r>
          </w:p>
        </w:tc>
        <w:tc>
          <w:tcPr>
            <w:tcW w:type="dxa" w:w="1436"/>
          </w:tcPr>
          <w:p>
            <w:pPr>
              <w:jc w:val="center"/>
            </w:pPr>
            <w:r/>
            <w:r>
              <w:rPr>
                <w:rFonts w:ascii="Calibri" w:hAnsi="Calibri" w:cs="Calibri"/>
                <w:sz w:val="16"/>
              </w:rPr>
              <w:t>0</w:t>
            </w:r>
          </w:p>
        </w:tc>
        <w:tc>
          <w:tcPr>
            <w:tcW w:type="dxa" w:w="1436"/>
          </w:tcPr>
          <w:p>
            <w:pPr>
              <w:jc w:val="center"/>
            </w:pPr>
            <w:r/>
            <w:r>
              <w:rPr>
                <w:rFonts w:ascii="Calibri" w:hAnsi="Calibri" w:cs="Calibri"/>
                <w:sz w:val="16"/>
              </w:rPr>
              <w:t>98</w:t>
            </w:r>
          </w:p>
        </w:tc>
      </w:tr>
    </w:tbl>
    <w:p>
      <w:pPr>
        <w:spacing w:before="0" w:after="0"/>
        <w:jc w:val="both"/>
      </w:pPr>
      <w:r>
        <w:rPr>
          <w:rFonts w:ascii="Calibri" w:hAnsi="Calibri" w:cs="Calibri"/>
          <w:sz w:val="20"/>
        </w:rPr>
        <w:t>Dari matriks konfusi (Tabel III), pola kegagalan menjadi jelas: hampir semua kesalahan terjadi antara kelas jumlah jari bersebelahan. Dua jari salah terbaca sebagai tiga, empat sebagai lima. Akar masalahnya adalah keterbatasan proyeksi 2-D: saat pergelangan tangan miring dari sumbu, landmark jari bersebelahan tumpang tindih dan komputasi sudut tidak bisa membedakan batas antar jari. Misklasifikasi kepalan-ke-telapak (3 dari 100 sampel) juga muncul, kemungkinan akibat pembukaan tangan cepat selama transisi.</w:t>
      </w:r>
    </w:p>
    <w:p>
      <w:pPr>
        <w:spacing w:before="60" w:after="60"/>
        <w:jc w:val="center"/>
      </w:pPr>
      <w:r>
        <w:rPr>
          <w:rFonts w:ascii="Calibri" w:hAnsi="Calibri" w:cs="Calibri"/>
          <w:i/>
          <w:color w:val="FF0000"/>
          <w:sz w:val="20"/>
        </w:rPr>
        <w:t>[PROMPT UNTUK AI GAMBAR: Heatmap Matriks Konfusi. A 6-by-6 confusion matrix heatmap visualizing gesture classification accuracy under 300 lux standard lighting. Row labels on the left represent the six true gesture classes: Fist, Index, Peace, Three, Four, and Open Palm. Column labels across the top represent the six predicted classes with identical names. Cell fill color transitions from white or pale yellow for zero or very low values to dark blue or dark green for high counts near 100. Diagonal cells are the darkest, confirming high correct-classification rates. Each cell displays its numeric integer count. A continuous color scale bar is shown beside the matrix. Axis titles and tick labels use clean sans-serif font. Style matches IEEE conference paper result section figures.]</w:t>
      </w:r>
    </w:p>
    <w:p>
      <w:pPr>
        <w:spacing w:before="60" w:after="120"/>
        <w:jc w:val="center"/>
      </w:pPr>
      <w:r>
        <w:rPr>
          <w:rFonts w:ascii="Calibri" w:hAnsi="Calibri" w:cs="Calibri"/>
          <w:b/>
          <w:sz w:val="16"/>
        </w:rPr>
        <w:t xml:space="preserve">Fig. 9. </w:t>
      </w:r>
      <w:r>
        <w:rPr>
          <w:rFonts w:ascii="Calibri" w:hAnsi="Calibri" w:cs="Calibri"/>
          <w:sz w:val="16"/>
        </w:rPr>
        <w:t>Heatmap Matriks Konfusi</w:t>
      </w:r>
    </w:p>
    <w:p>
      <w:pPr>
        <w:spacing w:before="0" w:after="0"/>
        <w:jc w:val="both"/>
      </w:pPr>
      <w:r>
        <w:rPr>
          <w:rFonts w:ascii="Calibri" w:hAnsi="Calibri" w:cs="Calibri"/>
          <w:sz w:val="20"/>
        </w:rPr>
        <w:t>Heatmap dari data Tabel III (Gbr. 9) membuat dominasi diagonal langsung terlihat. Nilai off-diagonal mengelompok pada sel di samping diagonal, konsisten dengan konfusi kelas bersebelahan. Tiga sampel kepalan salah diklasifikasikan sebagai telapak terbuka, yang secara geometris seharusnya mustahil diduga tertangkap selama gerakan membuka tangan di tengah transisi.</w:t>
      </w:r>
    </w:p>
    <w:p>
      <w:pPr>
        <w:spacing w:before="60" w:after="60"/>
        <w:jc w:val="center"/>
      </w:pPr>
      <w:r>
        <w:rPr>
          <w:rFonts w:ascii="Calibri" w:hAnsi="Calibri" w:cs="Calibri"/>
          <w:i/>
          <w:color w:val="FF0000"/>
          <w:sz w:val="20"/>
        </w:rPr>
        <w:t>[PROMPT UNTUK AI GAMBAR: Skor F1 pada Tiga Kondisi Pencahayaan. A grouped bar chart comparing F1-score performance across six gesture classes under three different lighting conditions: 50 lux low light, 300 lux standard office illumination, and 1000 lux direct worklight. The horizontal axis lists gesture classes labeled Fist, Index, Peace, Three, Four, and Open Palm. The vertical axis shows F1-score as a percentage ranging from 0 to 100. Three side-by-side bars per gesture group are color-coded distinctly by lighting condition with a clear legend positioned in the upper right corner. Numeric value labels or subtle grid lines aid readability. Background is white, bar colors are flat and professional, font is clean sans-serif, and the overall style is consistent with IEEE paper result section chart conventions.]</w:t>
      </w:r>
    </w:p>
    <w:p>
      <w:pPr>
        <w:spacing w:before="60" w:after="120"/>
        <w:jc w:val="center"/>
      </w:pPr>
      <w:r>
        <w:rPr>
          <w:rFonts w:ascii="Calibri" w:hAnsi="Calibri" w:cs="Calibri"/>
          <w:b/>
          <w:sz w:val="16"/>
        </w:rPr>
        <w:t xml:space="preserve">Fig. 10. </w:t>
      </w:r>
      <w:r>
        <w:rPr>
          <w:rFonts w:ascii="Calibri" w:hAnsi="Calibri" w:cs="Calibri"/>
          <w:sz w:val="16"/>
        </w:rPr>
        <w:t>Skor F1 pada Tiga Kondisi Pencahayaan</w:t>
      </w:r>
    </w:p>
    <w:p>
      <w:pPr>
        <w:spacing w:before="0" w:after="0"/>
        <w:jc w:val="both"/>
      </w:pPr>
      <w:r>
        <w:rPr>
          <w:rFonts w:ascii="Calibri" w:hAnsi="Calibri" w:cs="Calibri"/>
          <w:sz w:val="20"/>
        </w:rPr>
        <w:t>Skor F1 dibandingkan antar tingkat pencahayaan (Gbr. 10). Pada 50 lux, semua kelas turun 5-10 poin persentase karena MediaPipe kehilangan presisi landmark dalam cahaya rendah. Pada 1000 lux, performa turun 2-3 poin di bawah optimum 300 lux akibat pantulan spekular pada kulit yang mengacaukan detektor landmark. Pencahayaan fluorescent standar 300 lux adalah titik operasi terbaik.</w:t>
      </w:r>
    </w:p>
    <w:p>
      <w:pPr>
        <w:spacing w:before="60" w:after="60"/>
        <w:jc w:val="center"/>
      </w:pPr>
      <w:r>
        <w:rPr>
          <w:rFonts w:ascii="Calibri" w:hAnsi="Calibri" w:cs="Calibri"/>
          <w:i/>
          <w:color w:val="FF0000"/>
          <w:sz w:val="20"/>
        </w:rPr>
        <w:t>[PROMPT UNTUK AI GAMBAR: Presisi, Recall, Skor F1 per Kelas pada 300 Lux. A grouped bar chart presenting precision, recall, and F1-score values for each of the six gesture classes evaluated under 300 lux optimal indoor lighting. The horizontal axis labels the six gesture classes: Fist, Index, Peace, Three, Four, and Open Palm. The vertical axis shows percentage values from 0 to 100. Three distinctly colored solid bars are grouped side by side for each class, representing precision, recall, and F1-score respectively, with a legend clearly identifying each metric color. Horizontal light-gray grid lines improve readability on the white background. Value labels may optionally appear above each bar. Font is clean sans-serif, and the chart style is flat, professional, and consistent with IEEE conference paper figure standards.]</w:t>
      </w:r>
    </w:p>
    <w:p>
      <w:pPr>
        <w:spacing w:before="60" w:after="120"/>
        <w:jc w:val="center"/>
      </w:pPr>
      <w:r>
        <w:rPr>
          <w:rFonts w:ascii="Calibri" w:hAnsi="Calibri" w:cs="Calibri"/>
          <w:b/>
          <w:sz w:val="16"/>
        </w:rPr>
        <w:t xml:space="preserve">Fig. 11. </w:t>
      </w:r>
      <w:r>
        <w:rPr>
          <w:rFonts w:ascii="Calibri" w:hAnsi="Calibri" w:cs="Calibri"/>
          <w:sz w:val="16"/>
        </w:rPr>
        <w:t>Presisi, Recall, Skor F1 per Kelas pada 300 Lux</w:t>
      </w:r>
    </w:p>
    <w:p>
      <w:pPr>
        <w:spacing w:before="0" w:after="0"/>
        <w:jc w:val="both"/>
      </w:pPr>
      <w:r>
        <w:rPr>
          <w:rFonts w:ascii="Calibri" w:hAnsi="Calibri" w:cs="Calibri"/>
          <w:sz w:val="20"/>
        </w:rPr>
        <w:t>Presisi dan recall pada 300 lux (Gbr. 11) saling berdekatan untuk keenam kelas. Kepalan dan telapak terbuka tertinggi karena keduanya paling berbeda dalam proyeksi 2-D. Akurasi keseluruhan:</w:t>
      </w:r>
    </w:p>
    <w:p>
      <w:pPr>
        <w:spacing w:before="60" w:after="60"/>
        <w:jc w:val="center"/>
      </w:pPr>
      <w:r>
        <w:rPr>
          <w:rFonts w:ascii="Cambria Math" w:hAnsi="Cambria Math" w:cs="Cambria Math"/>
          <w:i/>
          <w:sz w:val="20"/>
        </w:rPr>
        <w:t>Accuracy = =05TP_k=05(TP_k + FN_k) × 100\%    (13)</w:t>
      </w:r>
    </w:p>
    <w:p>
      <w:pPr>
        <w:spacing w:before="0" w:after="0"/>
        <w:jc w:val="both"/>
      </w:pPr>
      <w:r>
        <w:rPr>
          <w:rFonts w:ascii="Calibri" w:hAnsi="Calibri" w:cs="Calibri"/>
          <w:sz w:val="20"/>
        </w:rPr>
        <w:t>Pada persamaan (13), TP_k adalah true-positive dan FN_k false-negative untuk kelas k. F1 makro digunakan sebagai metrik utama karena semua kelas terwakili merata. Pada 300 lux, classifier bekerja andal di bawah pencahayaan indoor standar.</w:t>
      </w:r>
    </w:p>
    <w:p>
      <w:pPr>
        <w:spacing w:before="60" w:after="60"/>
        <w:jc w:val="left"/>
      </w:pPr>
      <w:r>
        <w:rPr>
          <w:rFonts w:ascii="Calibri" w:hAnsi="Calibri" w:cs="Calibri"/>
          <w:b/>
          <w:sz w:val="20"/>
        </w:rPr>
        <w:t>Latensi Komunikasi Modbus TCP</w:t>
      </w:r>
    </w:p>
    <w:p>
      <w:pPr>
        <w:spacing w:before="0" w:after="0"/>
        <w:jc w:val="both"/>
      </w:pPr>
      <w:r>
        <w:rPr>
          <w:rFonts w:ascii="Calibri" w:hAnsi="Calibri" w:cs="Calibri"/>
          <w:sz w:val="20"/>
        </w:rPr>
        <w:t>Thread 3 mencatat wall-clock start dan end dari setiap permintaan Modbus pada 10.000 sampel per kondisi. Beban CPU divariasikan menggunakan tugas video-encoding paralel dalam proses terpisah.</w:t>
      </w:r>
    </w:p>
    <w:p>
      <w:pPr>
        <w:spacing w:before="120" w:after="60"/>
        <w:jc w:val="center"/>
      </w:pPr>
      <w:r>
        <w:rPr>
          <w:rFonts w:ascii="Calibri" w:hAnsi="Calibri" w:cs="Calibri"/>
          <w:b/>
          <w:sz w:val="16"/>
        </w:rPr>
        <w:t xml:space="preserve">Table IV. </w:t>
      </w:r>
      <w:r>
        <w:rPr>
          <w:rFonts w:ascii="Calibri" w:hAnsi="Calibri" w:cs="Calibri"/>
          <w:sz w:val="16"/>
        </w:rPr>
        <w:t>Distribusi Latensi Modbus TCP (n=10.000 per kondisi)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56"/>
        <w:gridCol w:w="1256"/>
        <w:gridCol w:w="1256"/>
        <w:gridCol w:w="1256"/>
        <w:gridCol w:w="1256"/>
        <w:gridCol w:w="1256"/>
        <w:gridCol w:w="1256"/>
        <w:gridCol w:w="1256"/>
      </w:tblGrid>
      <w:tr>
        <w:tc>
          <w:tcPr>
            <w:tcW w:type="dxa" w:w="1256"/>
          </w:tcPr>
          <w:p>
            <w:pPr>
              <w:jc w:val="center"/>
            </w:pPr>
            <w:r/>
            <w:r>
              <w:rPr>
                <w:rFonts w:ascii="Calibri" w:hAnsi="Calibri" w:cs="Calibri"/>
                <w:b/>
                <w:sz w:val="16"/>
              </w:rPr>
              <w:t>Beban CPU (%)</w:t>
            </w:r>
          </w:p>
        </w:tc>
        <w:tc>
          <w:tcPr>
            <w:tcW w:type="dxa" w:w="1256"/>
          </w:tcPr>
          <w:p>
            <w:pPr>
              <w:jc w:val="center"/>
            </w:pPr>
            <w:r/>
            <w:r>
              <w:rPr>
                <w:rFonts w:ascii="Calibri" w:hAnsi="Calibri" w:cs="Calibri"/>
                <w:b/>
                <w:sz w:val="16"/>
              </w:rPr>
              <w:t>Min (ms)</w:t>
            </w:r>
          </w:p>
        </w:tc>
        <w:tc>
          <w:tcPr>
            <w:tcW w:type="dxa" w:w="1256"/>
          </w:tcPr>
          <w:p>
            <w:pPr>
              <w:jc w:val="center"/>
            </w:pPr>
            <w:r/>
            <w:r>
              <w:rPr>
                <w:rFonts w:ascii="Calibri" w:hAnsi="Calibri" w:cs="Calibri"/>
                <w:b/>
                <w:sz w:val="16"/>
              </w:rPr>
              <w:t>Median (ms)</w:t>
            </w:r>
          </w:p>
        </w:tc>
        <w:tc>
          <w:tcPr>
            <w:tcW w:type="dxa" w:w="1256"/>
          </w:tcPr>
          <w:p>
            <w:pPr>
              <w:jc w:val="center"/>
            </w:pPr>
            <w:r/>
            <w:r>
              <w:rPr>
                <w:rFonts w:ascii="Calibri" w:hAnsi="Calibri" w:cs="Calibri"/>
                <w:b/>
                <w:sz w:val="16"/>
              </w:rPr>
              <w:t>Mean (ms)</w:t>
            </w:r>
          </w:p>
        </w:tc>
        <w:tc>
          <w:tcPr>
            <w:tcW w:type="dxa" w:w="1256"/>
          </w:tcPr>
          <w:p>
            <w:pPr>
              <w:jc w:val="center"/>
            </w:pPr>
            <w:r/>
            <w:r>
              <w:rPr>
                <w:rFonts w:ascii="Calibri" w:hAnsi="Calibri" w:cs="Calibri"/>
                <w:b/>
                <w:sz w:val="16"/>
              </w:rPr>
              <w:t>P95 (ms)</w:t>
            </w:r>
          </w:p>
        </w:tc>
        <w:tc>
          <w:tcPr>
            <w:tcW w:type="dxa" w:w="1256"/>
          </w:tcPr>
          <w:p>
            <w:pPr>
              <w:jc w:val="center"/>
            </w:pPr>
            <w:r/>
            <w:r>
              <w:rPr>
                <w:rFonts w:ascii="Calibri" w:hAnsi="Calibri" w:cs="Calibri"/>
                <w:b/>
                <w:sz w:val="16"/>
              </w:rPr>
              <w:t>P99 (ms)</w:t>
            </w:r>
          </w:p>
        </w:tc>
        <w:tc>
          <w:tcPr>
            <w:tcW w:type="dxa" w:w="1256"/>
          </w:tcPr>
          <w:p>
            <w:pPr>
              <w:jc w:val="center"/>
            </w:pPr>
            <w:r/>
            <w:r>
              <w:rPr>
                <w:rFonts w:ascii="Calibri" w:hAnsi="Calibri" w:cs="Calibri"/>
                <w:b/>
                <w:sz w:val="16"/>
              </w:rPr>
              <w:t>Maks (ms)</w:t>
            </w:r>
          </w:p>
        </w:tc>
        <w:tc>
          <w:tcPr>
            <w:tcW w:type="dxa" w:w="1256"/>
          </w:tcPr>
          <w:p>
            <w:pPr>
              <w:jc w:val="center"/>
            </w:pPr>
            <w:r/>
            <w:r>
              <w:rPr>
                <w:rFonts w:ascii="Calibri" w:hAnsi="Calibri" w:cs="Calibri"/>
                <w:b/>
                <w:sz w:val="16"/>
              </w:rPr>
              <w:t>Std Dev (ms)</w:t>
            </w:r>
          </w:p>
        </w:tc>
      </w:tr>
      <w:tr>
        <w:tc>
          <w:tcPr>
            <w:tcW w:type="dxa" w:w="1256"/>
          </w:tcPr>
          <w:p>
            <w:pPr>
              <w:jc w:val="center"/>
            </w:pPr>
            <w:r/>
            <w:r>
              <w:rPr>
                <w:rFonts w:ascii="Calibri" w:hAnsi="Calibri" w:cs="Calibri"/>
                <w:sz w:val="16"/>
              </w:rPr>
              <w:t>Idle (0-10%)</w:t>
            </w:r>
          </w:p>
        </w:tc>
        <w:tc>
          <w:tcPr>
            <w:tcW w:type="dxa" w:w="1256"/>
          </w:tcPr>
          <w:p>
            <w:pPr>
              <w:jc w:val="center"/>
            </w:pPr>
            <w:r/>
            <w:r>
              <w:rPr>
                <w:rFonts w:ascii="Calibri" w:hAnsi="Calibri" w:cs="Calibri"/>
                <w:sz w:val="16"/>
              </w:rPr>
              <w:t>1,2</w:t>
            </w:r>
          </w:p>
        </w:tc>
        <w:tc>
          <w:tcPr>
            <w:tcW w:type="dxa" w:w="1256"/>
          </w:tcPr>
          <w:p>
            <w:pPr>
              <w:jc w:val="center"/>
            </w:pPr>
            <w:r/>
            <w:r>
              <w:rPr>
                <w:rFonts w:ascii="Calibri" w:hAnsi="Calibri" w:cs="Calibri"/>
                <w:sz w:val="16"/>
              </w:rPr>
              <w:t>8,4</w:t>
            </w:r>
          </w:p>
        </w:tc>
        <w:tc>
          <w:tcPr>
            <w:tcW w:type="dxa" w:w="1256"/>
          </w:tcPr>
          <w:p>
            <w:pPr>
              <w:jc w:val="center"/>
            </w:pPr>
            <w:r/>
            <w:r>
              <w:rPr>
                <w:rFonts w:ascii="Calibri" w:hAnsi="Calibri" w:cs="Calibri"/>
                <w:sz w:val="16"/>
              </w:rPr>
              <w:t>9,1</w:t>
            </w:r>
          </w:p>
        </w:tc>
        <w:tc>
          <w:tcPr>
            <w:tcW w:type="dxa" w:w="1256"/>
          </w:tcPr>
          <w:p>
            <w:pPr>
              <w:jc w:val="center"/>
            </w:pPr>
            <w:r/>
            <w:r>
              <w:rPr>
                <w:rFonts w:ascii="Calibri" w:hAnsi="Calibri" w:cs="Calibri"/>
                <w:sz w:val="16"/>
              </w:rPr>
              <w:t>18,7</w:t>
            </w:r>
          </w:p>
        </w:tc>
        <w:tc>
          <w:tcPr>
            <w:tcW w:type="dxa" w:w="1256"/>
          </w:tcPr>
          <w:p>
            <w:pPr>
              <w:jc w:val="center"/>
            </w:pPr>
            <w:r/>
            <w:r>
              <w:rPr>
                <w:rFonts w:ascii="Calibri" w:hAnsi="Calibri" w:cs="Calibri"/>
                <w:sz w:val="16"/>
              </w:rPr>
              <w:t>27,3</w:t>
            </w:r>
          </w:p>
        </w:tc>
        <w:tc>
          <w:tcPr>
            <w:tcW w:type="dxa" w:w="1256"/>
          </w:tcPr>
          <w:p>
            <w:pPr>
              <w:jc w:val="center"/>
            </w:pPr>
            <w:r/>
            <w:r>
              <w:rPr>
                <w:rFonts w:ascii="Calibri" w:hAnsi="Calibri" w:cs="Calibri"/>
                <w:sz w:val="16"/>
              </w:rPr>
              <w:t>42,1</w:t>
            </w:r>
          </w:p>
        </w:tc>
        <w:tc>
          <w:tcPr>
            <w:tcW w:type="dxa" w:w="1256"/>
          </w:tcPr>
          <w:p>
            <w:pPr>
              <w:jc w:val="center"/>
            </w:pPr>
            <w:r/>
            <w:r>
              <w:rPr>
                <w:rFonts w:ascii="Calibri" w:hAnsi="Calibri" w:cs="Calibri"/>
                <w:sz w:val="16"/>
              </w:rPr>
              <w:t>5,8</w:t>
            </w:r>
          </w:p>
        </w:tc>
      </w:tr>
      <w:tr>
        <w:tc>
          <w:tcPr>
            <w:tcW w:type="dxa" w:w="1256"/>
          </w:tcPr>
          <w:p>
            <w:pPr>
              <w:jc w:val="center"/>
            </w:pPr>
            <w:r/>
            <w:r>
              <w:rPr>
                <w:rFonts w:ascii="Calibri" w:hAnsi="Calibri" w:cs="Calibri"/>
                <w:sz w:val="16"/>
              </w:rPr>
              <w:t>Moderat (45-55%)</w:t>
            </w:r>
          </w:p>
        </w:tc>
        <w:tc>
          <w:tcPr>
            <w:tcW w:type="dxa" w:w="1256"/>
          </w:tcPr>
          <w:p>
            <w:pPr>
              <w:jc w:val="center"/>
            </w:pPr>
            <w:r/>
            <w:r>
              <w:rPr>
                <w:rFonts w:ascii="Calibri" w:hAnsi="Calibri" w:cs="Calibri"/>
                <w:sz w:val="16"/>
              </w:rPr>
              <w:t>1,8</w:t>
            </w:r>
          </w:p>
        </w:tc>
        <w:tc>
          <w:tcPr>
            <w:tcW w:type="dxa" w:w="1256"/>
          </w:tcPr>
          <w:p>
            <w:pPr>
              <w:jc w:val="center"/>
            </w:pPr>
            <w:r/>
            <w:r>
              <w:rPr>
                <w:rFonts w:ascii="Calibri" w:hAnsi="Calibri" w:cs="Calibri"/>
                <w:sz w:val="16"/>
              </w:rPr>
              <w:t>10,2</w:t>
            </w:r>
          </w:p>
        </w:tc>
        <w:tc>
          <w:tcPr>
            <w:tcW w:type="dxa" w:w="1256"/>
          </w:tcPr>
          <w:p>
            <w:pPr>
              <w:jc w:val="center"/>
            </w:pPr>
            <w:r/>
            <w:r>
              <w:rPr>
                <w:rFonts w:ascii="Calibri" w:hAnsi="Calibri" w:cs="Calibri"/>
                <w:sz w:val="16"/>
              </w:rPr>
              <w:t>12,3</w:t>
            </w:r>
          </w:p>
        </w:tc>
        <w:tc>
          <w:tcPr>
            <w:tcW w:type="dxa" w:w="1256"/>
          </w:tcPr>
          <w:p>
            <w:pPr>
              <w:jc w:val="center"/>
            </w:pPr>
            <w:r/>
            <w:r>
              <w:rPr>
                <w:rFonts w:ascii="Calibri" w:hAnsi="Calibri" w:cs="Calibri"/>
                <w:sz w:val="16"/>
              </w:rPr>
              <w:t>24,9</w:t>
            </w:r>
          </w:p>
        </w:tc>
        <w:tc>
          <w:tcPr>
            <w:tcW w:type="dxa" w:w="1256"/>
          </w:tcPr>
          <w:p>
            <w:pPr>
              <w:jc w:val="center"/>
            </w:pPr>
            <w:r/>
            <w:r>
              <w:rPr>
                <w:rFonts w:ascii="Calibri" w:hAnsi="Calibri" w:cs="Calibri"/>
                <w:sz w:val="16"/>
              </w:rPr>
              <w:t>38,6</w:t>
            </w:r>
          </w:p>
        </w:tc>
        <w:tc>
          <w:tcPr>
            <w:tcW w:type="dxa" w:w="1256"/>
          </w:tcPr>
          <w:p>
            <w:pPr>
              <w:jc w:val="center"/>
            </w:pPr>
            <w:r/>
            <w:r>
              <w:rPr>
                <w:rFonts w:ascii="Calibri" w:hAnsi="Calibri" w:cs="Calibri"/>
                <w:sz w:val="16"/>
              </w:rPr>
              <w:t>67,4</w:t>
            </w:r>
          </w:p>
        </w:tc>
        <w:tc>
          <w:tcPr>
            <w:tcW w:type="dxa" w:w="1256"/>
          </w:tcPr>
          <w:p>
            <w:pPr>
              <w:jc w:val="center"/>
            </w:pPr>
            <w:r/>
            <w:r>
              <w:rPr>
                <w:rFonts w:ascii="Calibri" w:hAnsi="Calibri" w:cs="Calibri"/>
                <w:sz w:val="16"/>
              </w:rPr>
              <w:t>8,4</w:t>
            </w:r>
          </w:p>
        </w:tc>
      </w:tr>
      <w:tr>
        <w:tc>
          <w:tcPr>
            <w:tcW w:type="dxa" w:w="1256"/>
          </w:tcPr>
          <w:p>
            <w:pPr>
              <w:jc w:val="center"/>
            </w:pPr>
            <w:r/>
            <w:r>
              <w:rPr>
                <w:rFonts w:ascii="Calibri" w:hAnsi="Calibri" w:cs="Calibri"/>
                <w:sz w:val="16"/>
              </w:rPr>
              <w:t>Intensif (75-85%)</w:t>
            </w:r>
          </w:p>
        </w:tc>
        <w:tc>
          <w:tcPr>
            <w:tcW w:type="dxa" w:w="1256"/>
          </w:tcPr>
          <w:p>
            <w:pPr>
              <w:jc w:val="center"/>
            </w:pPr>
            <w:r/>
            <w:r>
              <w:rPr>
                <w:rFonts w:ascii="Calibri" w:hAnsi="Calibri" w:cs="Calibri"/>
                <w:sz w:val="16"/>
              </w:rPr>
              <w:t>2,1</w:t>
            </w:r>
          </w:p>
        </w:tc>
        <w:tc>
          <w:tcPr>
            <w:tcW w:type="dxa" w:w="1256"/>
          </w:tcPr>
          <w:p>
            <w:pPr>
              <w:jc w:val="center"/>
            </w:pPr>
            <w:r/>
            <w:r>
              <w:rPr>
                <w:rFonts w:ascii="Calibri" w:hAnsi="Calibri" w:cs="Calibri"/>
                <w:sz w:val="16"/>
              </w:rPr>
              <w:t>14,7</w:t>
            </w:r>
          </w:p>
        </w:tc>
        <w:tc>
          <w:tcPr>
            <w:tcW w:type="dxa" w:w="1256"/>
          </w:tcPr>
          <w:p>
            <w:pPr>
              <w:jc w:val="center"/>
            </w:pPr>
            <w:r/>
            <w:r>
              <w:rPr>
                <w:rFonts w:ascii="Calibri" w:hAnsi="Calibri" w:cs="Calibri"/>
                <w:sz w:val="16"/>
              </w:rPr>
              <w:t>17,8</w:t>
            </w:r>
          </w:p>
        </w:tc>
        <w:tc>
          <w:tcPr>
            <w:tcW w:type="dxa" w:w="1256"/>
          </w:tcPr>
          <w:p>
            <w:pPr>
              <w:jc w:val="center"/>
            </w:pPr>
            <w:r/>
            <w:r>
              <w:rPr>
                <w:rFonts w:ascii="Calibri" w:hAnsi="Calibri" w:cs="Calibri"/>
                <w:sz w:val="16"/>
              </w:rPr>
              <w:t>41,2</w:t>
            </w:r>
          </w:p>
        </w:tc>
        <w:tc>
          <w:tcPr>
            <w:tcW w:type="dxa" w:w="1256"/>
          </w:tcPr>
          <w:p>
            <w:pPr>
              <w:jc w:val="center"/>
            </w:pPr>
            <w:r/>
            <w:r>
              <w:rPr>
                <w:rFonts w:ascii="Calibri" w:hAnsi="Calibri" w:cs="Calibri"/>
                <w:sz w:val="16"/>
              </w:rPr>
              <w:t>78,9</w:t>
            </w:r>
          </w:p>
        </w:tc>
        <w:tc>
          <w:tcPr>
            <w:tcW w:type="dxa" w:w="1256"/>
          </w:tcPr>
          <w:p>
            <w:pPr>
              <w:jc w:val="center"/>
            </w:pPr>
            <w:r/>
            <w:r>
              <w:rPr>
                <w:rFonts w:ascii="Calibri" w:hAnsi="Calibri" w:cs="Calibri"/>
                <w:sz w:val="16"/>
              </w:rPr>
              <w:t>312,4</w:t>
            </w:r>
          </w:p>
        </w:tc>
        <w:tc>
          <w:tcPr>
            <w:tcW w:type="dxa" w:w="1256"/>
          </w:tcPr>
          <w:p>
            <w:pPr>
              <w:jc w:val="center"/>
            </w:pPr>
            <w:r/>
            <w:r>
              <w:rPr>
                <w:rFonts w:ascii="Calibri" w:hAnsi="Calibri" w:cs="Calibri"/>
                <w:sz w:val="16"/>
              </w:rPr>
              <w:t>19,7</w:t>
            </w:r>
          </w:p>
        </w:tc>
      </w:tr>
    </w:tbl>
    <w:p>
      <w:pPr>
        <w:spacing w:before="0" w:after="0"/>
        <w:jc w:val="both"/>
      </w:pPr>
      <w:r>
        <w:rPr>
          <w:rFonts w:ascii="Calibri" w:hAnsi="Calibri" w:cs="Calibri"/>
          <w:sz w:val="20"/>
        </w:rPr>
        <w:t>Pada beban moderat yang mendekati kondisi operasi normal pabrik, median round-trip 10,2 ms dan rata-rata 12,3 ms (Tabel IV). Stack Modbus industri biasanya timeout pada 100 ms [6], sehingga margin memadai. P99 berada di 38,6 ms. Pada beban intensif, scheduler OS sesekali mem-preempt thread Modbus sehingga terjadi spike hingga 312,4 ms. Filter debounce mempertahankan state gestur terakhir saat thread pulih; tidak ada perintah palsu yang dikirim ke PLC.</w:t>
      </w:r>
    </w:p>
    <w:p>
      <w:pPr>
        <w:spacing w:before="60" w:after="60"/>
        <w:jc w:val="center"/>
      </w:pPr>
      <w:r>
        <w:rPr>
          <w:rFonts w:ascii="Calibri" w:hAnsi="Calibri" w:cs="Calibri"/>
          <w:i/>
          <w:color w:val="FF0000"/>
          <w:sz w:val="20"/>
        </w:rPr>
        <w:t>[PROMPT UNTUK AI GAMBAR: Latensi Modbus TCP berdasarkan Beban CPU. A multi-line chart visualizing the distribution of Modbus TCP round-trip latency across 10,000 transaction samples under three CPU load conditions: idle at 0 to 10 percent, moderate at 45 to 55 percent, and intense at 75 to 85 percent. The horizontal axis represents latency in milliseconds spanning from 0 to approximately 320 ms, and the vertical axis represents frequency count or cumulative percentage. Three distinct plotted lines or smooth curves are color-coded per load condition with a labeled legend. Key statistical thresholds such as median, P95, and P99 may be annotated with subtle dashed vertical reference lines. Background is white with light horizontal grid lines. Style is clean and academic, appropriate for an IEEE paper experimental results section.]</w:t>
      </w:r>
    </w:p>
    <w:p>
      <w:pPr>
        <w:spacing w:before="60" w:after="120"/>
        <w:jc w:val="center"/>
      </w:pPr>
      <w:r>
        <w:rPr>
          <w:rFonts w:ascii="Calibri" w:hAnsi="Calibri" w:cs="Calibri"/>
          <w:b/>
          <w:sz w:val="16"/>
        </w:rPr>
        <w:t xml:space="preserve">Fig. 12. </w:t>
      </w:r>
      <w:r>
        <w:rPr>
          <w:rFonts w:ascii="Calibri" w:hAnsi="Calibri" w:cs="Calibri"/>
          <w:sz w:val="16"/>
        </w:rPr>
        <w:t>Latensi Modbus TCP berdasarkan Beban CPU</w:t>
      </w:r>
    </w:p>
    <w:p>
      <w:pPr>
        <w:spacing w:before="0" w:after="0"/>
        <w:jc w:val="both"/>
      </w:pPr>
      <w:r>
        <w:rPr>
          <w:rFonts w:ascii="Calibri" w:hAnsi="Calibri" w:cs="Calibri"/>
          <w:sz w:val="20"/>
        </w:rPr>
        <w:t>Kurva idle dan moderat (Gbr. 12) mengelompok di bawah 40 ms. Kurva beban intensif mencapai 312,4 ms, namun 99% sampel masih di bawah 78,9 ms. Komponen delay pipeline: penangkapan kamera Tcap ≈ 3,2 ms, inferensi MediaPipe Tinf ≈ 18,4 ms, jendela debounce Tdeb ≈ 83,3 ms, round-trip Modbus Tmodbus ≈ 12,3 ms.</w:t>
      </w:r>
    </w:p>
    <w:p>
      <w:pPr>
        <w:spacing w:before="60" w:after="60"/>
        <w:jc w:val="center"/>
      </w:pPr>
      <w:r>
        <w:rPr>
          <w:rFonts w:ascii="Calibri" w:hAnsi="Calibri" w:cs="Calibri"/>
          <w:i/>
          <w:color w:val="FF0000"/>
          <w:sz w:val="20"/>
        </w:rPr>
        <w:t>[PROMPT UNTUK AI GAMBAR: Rincian Komponen Latensi. A vertical grouped or stacked bar chart breaking down the four major end-to-end latency components of the GestPLC processing pipeline. The four components are camera capture at 3.2 ms, MediaPipe landmark inference at 18.4 ms, the 5-frame debounce sliding-window buffer at 83.3 ms, and Modbus TCP round-trip communication at 12.3 ms. Each component is represented by a distinctly colored bar with its millisecond value labeled inside or directly above. The horizontal axis lists the four component names and the vertical axis is scaled in milliseconds. The debounce bar is visibly the tallest by a significant margin. Background is white, bar fill colors are flat and varied, font is clean sans-serif, and style matches IEEE paper methodology figure conventions.]</w:t>
      </w:r>
    </w:p>
    <w:p>
      <w:pPr>
        <w:spacing w:before="60" w:after="120"/>
        <w:jc w:val="center"/>
      </w:pPr>
      <w:r>
        <w:rPr>
          <w:rFonts w:ascii="Calibri" w:hAnsi="Calibri" w:cs="Calibri"/>
          <w:b/>
          <w:sz w:val="16"/>
        </w:rPr>
        <w:t xml:space="preserve">Fig. 13. </w:t>
      </w:r>
      <w:r>
        <w:rPr>
          <w:rFonts w:ascii="Calibri" w:hAnsi="Calibri" w:cs="Calibri"/>
          <w:sz w:val="16"/>
        </w:rPr>
        <w:t>Rincian Komponen Latensi</w:t>
      </w:r>
    </w:p>
    <w:p>
      <w:pPr>
        <w:spacing w:before="0" w:after="0"/>
        <w:jc w:val="both"/>
      </w:pPr>
      <w:r>
        <w:rPr>
          <w:rFonts w:ascii="Calibri" w:hAnsi="Calibri" w:cs="Calibri"/>
          <w:sz w:val="20"/>
        </w:rPr>
        <w:t>Jendela debounce 83,3 ms mendominasi total delay (Gbr. 13). Kami mencoba N=3 yang memangkas jendela menjadi ~50 ms, namun false-trigger untuk gestur tiga dan empat jari melonjak dua kali lipat. Untuk enam gestur yang bisa membalik aktuator fisik, N=5 adalah pilihan lebih aman.</w:t>
      </w:r>
    </w:p>
    <w:p>
      <w:pPr>
        <w:spacing w:before="60" w:after="60"/>
        <w:jc w:val="left"/>
      </w:pPr>
      <w:r>
        <w:rPr>
          <w:rFonts w:ascii="Calibri" w:hAnsi="Calibri" w:cs="Calibri"/>
          <w:b/>
          <w:sz w:val="20"/>
        </w:rPr>
        <w:t>Uji Ketahanan 24 Jam</w:t>
      </w:r>
    </w:p>
    <w:p>
      <w:pPr>
        <w:spacing w:before="0" w:after="0"/>
        <w:jc w:val="both"/>
      </w:pPr>
      <w:r>
        <w:rPr>
          <w:rFonts w:ascii="Calibri" w:hAnsi="Calibri" w:cs="Calibri"/>
          <w:sz w:val="20"/>
        </w:rPr>
        <w:t>Pengujian lab singkat sering gagal mengungkap memory leak atau masalah jaringan intermiten. Sistem diuji selama 24 jam penuh. Seorang anggota tim duduk di depan kamera dan menampilkan gestur setiap 10 detik, menghasilkan sekitar 8.640 perintah tulis FC15. Loop polling berjalan pada interval 100 ms, menghasilkan sekitar 864.000 pembacaan FC1. Setiap hasil transaksi dicatat dalam file log.</w:t>
      </w:r>
    </w:p>
    <w:p>
      <w:pPr>
        <w:spacing w:before="120" w:after="60"/>
        <w:jc w:val="center"/>
      </w:pPr>
      <w:r>
        <w:rPr>
          <w:rFonts w:ascii="Calibri" w:hAnsi="Calibri" w:cs="Calibri"/>
          <w:b/>
          <w:sz w:val="16"/>
        </w:rPr>
        <w:t xml:space="preserve">Table V. </w:t>
      </w:r>
      <w:r>
        <w:rPr>
          <w:rFonts w:ascii="Calibri" w:hAnsi="Calibri" w:cs="Calibri"/>
          <w:sz w:val="16"/>
        </w:rPr>
        <w:t>Hasil Uji Ketahanan 24 Jam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26"/>
        <w:gridCol w:w="5026"/>
      </w:tblGrid>
      <w:tr>
        <w:tc>
          <w:tcPr>
            <w:tcW w:type="dxa" w:w="5026"/>
          </w:tcPr>
          <w:p>
            <w:pPr>
              <w:jc w:val="center"/>
            </w:pPr>
            <w:r/>
            <w:r>
              <w:rPr>
                <w:rFonts w:ascii="Calibri" w:hAnsi="Calibri" w:cs="Calibri"/>
                <w:b/>
                <w:sz w:val="16"/>
              </w:rPr>
              <w:t>Metrik</w:t>
            </w:r>
          </w:p>
        </w:tc>
        <w:tc>
          <w:tcPr>
            <w:tcW w:type="dxa" w:w="5026"/>
          </w:tcPr>
          <w:p>
            <w:pPr>
              <w:jc w:val="center"/>
            </w:pPr>
            <w:r/>
            <w:r>
              <w:rPr>
                <w:rFonts w:ascii="Calibri" w:hAnsi="Calibri" w:cs="Calibri"/>
                <w:b/>
                <w:sz w:val="16"/>
              </w:rPr>
              <w:t>Hasil</w:t>
            </w:r>
          </w:p>
        </w:tc>
      </w:tr>
      <w:tr>
        <w:tc>
          <w:tcPr>
            <w:tcW w:type="dxa" w:w="5026"/>
          </w:tcPr>
          <w:p>
            <w:pPr>
              <w:jc w:val="center"/>
            </w:pPr>
            <w:r/>
            <w:r>
              <w:rPr>
                <w:rFonts w:ascii="Calibri" w:hAnsi="Calibri" w:cs="Calibri"/>
                <w:sz w:val="16"/>
              </w:rPr>
              <w:t>Total Transaksi Modbus (FC1 + FC15)</w:t>
            </w:r>
          </w:p>
        </w:tc>
        <w:tc>
          <w:tcPr>
            <w:tcW w:type="dxa" w:w="5026"/>
          </w:tcPr>
          <w:p>
            <w:pPr>
              <w:jc w:val="center"/>
            </w:pPr>
            <w:r/>
            <w:r>
              <w:rPr>
                <w:rFonts w:ascii="Calibri" w:hAnsi="Calibri" w:cs="Calibri"/>
                <w:sz w:val="16"/>
              </w:rPr>
              <w:t>872.640</w:t>
            </w:r>
          </w:p>
        </w:tc>
      </w:tr>
      <w:tr>
        <w:tc>
          <w:tcPr>
            <w:tcW w:type="dxa" w:w="5026"/>
          </w:tcPr>
          <w:p>
            <w:pPr>
              <w:jc w:val="center"/>
            </w:pPr>
            <w:r/>
            <w:r>
              <w:rPr>
                <w:rFonts w:ascii="Calibri" w:hAnsi="Calibri" w:cs="Calibri"/>
                <w:sz w:val="16"/>
              </w:rPr>
              <w:t>Transaksi Berhasil</w:t>
            </w:r>
          </w:p>
        </w:tc>
        <w:tc>
          <w:tcPr>
            <w:tcW w:type="dxa" w:w="5026"/>
          </w:tcPr>
          <w:p>
            <w:pPr>
              <w:jc w:val="center"/>
            </w:pPr>
            <w:r/>
            <w:r>
              <w:rPr>
                <w:rFonts w:ascii="Calibri" w:hAnsi="Calibri" w:cs="Calibri"/>
                <w:sz w:val="16"/>
              </w:rPr>
              <w:t>872.000</w:t>
            </w:r>
          </w:p>
        </w:tc>
      </w:tr>
      <w:tr>
        <w:tc>
          <w:tcPr>
            <w:tcW w:type="dxa" w:w="5026"/>
          </w:tcPr>
          <w:p>
            <w:pPr>
              <w:jc w:val="center"/>
            </w:pPr>
            <w:r/>
            <w:r>
              <w:rPr>
                <w:rFonts w:ascii="Calibri" w:hAnsi="Calibri" w:cs="Calibri"/>
                <w:sz w:val="16"/>
              </w:rPr>
              <w:t>Tingkat Keberhasilan Tulis FC15</w:t>
            </w:r>
          </w:p>
        </w:tc>
        <w:tc>
          <w:tcPr>
            <w:tcW w:type="dxa" w:w="5026"/>
          </w:tcPr>
          <w:p>
            <w:pPr>
              <w:jc w:val="center"/>
            </w:pPr>
            <w:r/>
            <w:r>
              <w:rPr>
                <w:rFonts w:ascii="Calibri" w:hAnsi="Calibri" w:cs="Calibri"/>
                <w:sz w:val="16"/>
              </w:rPr>
              <w:t>99,97%</w:t>
            </w:r>
          </w:p>
        </w:tc>
      </w:tr>
      <w:tr>
        <w:tc>
          <w:tcPr>
            <w:tcW w:type="dxa" w:w="5026"/>
          </w:tcPr>
          <w:p>
            <w:pPr>
              <w:jc w:val="center"/>
            </w:pPr>
            <w:r/>
            <w:r>
              <w:rPr>
                <w:rFonts w:ascii="Calibri" w:hAnsi="Calibri" w:cs="Calibri"/>
                <w:sz w:val="16"/>
              </w:rPr>
              <w:t>Tingkat Keberhasilan Baca FC1</w:t>
            </w:r>
          </w:p>
        </w:tc>
        <w:tc>
          <w:tcPr>
            <w:tcW w:type="dxa" w:w="5026"/>
          </w:tcPr>
          <w:p>
            <w:pPr>
              <w:jc w:val="center"/>
            </w:pPr>
            <w:r/>
            <w:r>
              <w:rPr>
                <w:rFonts w:ascii="Calibri" w:hAnsi="Calibri" w:cs="Calibri"/>
                <w:sz w:val="16"/>
              </w:rPr>
              <w:t>99,92%</w:t>
            </w:r>
          </w:p>
        </w:tc>
      </w:tr>
      <w:tr>
        <w:tc>
          <w:tcPr>
            <w:tcW w:type="dxa" w:w="5026"/>
          </w:tcPr>
          <w:p>
            <w:pPr>
              <w:jc w:val="center"/>
            </w:pPr>
            <w:r/>
            <w:r>
              <w:rPr>
                <w:rFonts w:ascii="Calibri" w:hAnsi="Calibri" w:cs="Calibri"/>
                <w:sz w:val="16"/>
              </w:rPr>
              <w:t>MTBF (Mean Time Between Failures)</w:t>
            </w:r>
          </w:p>
        </w:tc>
        <w:tc>
          <w:tcPr>
            <w:tcW w:type="dxa" w:w="5026"/>
          </w:tcPr>
          <w:p>
            <w:pPr>
              <w:jc w:val="center"/>
            </w:pPr>
            <w:r/>
            <w:r>
              <w:rPr>
                <w:rFonts w:ascii="Calibri" w:hAnsi="Calibri" w:cs="Calibri"/>
                <w:sz w:val="16"/>
              </w:rPr>
              <w:t>8,2 jam</w:t>
            </w:r>
          </w:p>
        </w:tc>
      </w:tr>
      <w:tr>
        <w:tc>
          <w:tcPr>
            <w:tcW w:type="dxa" w:w="5026"/>
          </w:tcPr>
          <w:p>
            <w:pPr>
              <w:jc w:val="center"/>
            </w:pPr>
            <w:r/>
            <w:r>
              <w:rPr>
                <w:rFonts w:ascii="Calibri" w:hAnsi="Calibri" w:cs="Calibri"/>
                <w:sz w:val="16"/>
              </w:rPr>
              <w:t>Pertumbuhan Memori</w:t>
            </w:r>
          </w:p>
        </w:tc>
        <w:tc>
          <w:tcPr>
            <w:tcW w:type="dxa" w:w="5026"/>
          </w:tcPr>
          <w:p>
            <w:pPr>
              <w:jc w:val="center"/>
            </w:pPr>
            <w:r/>
            <w:r>
              <w:rPr>
                <w:rFonts w:ascii="Calibri" w:hAnsi="Calibri" w:cs="Calibri"/>
                <w:sz w:val="16"/>
              </w:rPr>
              <w:t>12,4 MB</w:t>
            </w:r>
          </w:p>
        </w:tc>
      </w:tr>
      <w:tr>
        <w:tc>
          <w:tcPr>
            <w:tcW w:type="dxa" w:w="5026"/>
          </w:tcPr>
          <w:p>
            <w:pPr>
              <w:jc w:val="center"/>
            </w:pPr>
            <w:r/>
            <w:r>
              <w:rPr>
                <w:rFonts w:ascii="Calibri" w:hAnsi="Calibri" w:cs="Calibri"/>
                <w:sz w:val="16"/>
              </w:rPr>
              <w:t>Frame Rate (target 30 fps)</w:t>
            </w:r>
          </w:p>
        </w:tc>
        <w:tc>
          <w:tcPr>
            <w:tcW w:type="dxa" w:w="5026"/>
          </w:tcPr>
          <w:p>
            <w:pPr>
              <w:jc w:val="center"/>
            </w:pPr>
            <w:r/>
            <w:r>
              <w:rPr>
                <w:rFonts w:ascii="Calibri" w:hAnsi="Calibri" w:cs="Calibri"/>
                <w:sz w:val="16"/>
              </w:rPr>
              <w:t>29,7 fps</w:t>
            </w:r>
          </w:p>
        </w:tc>
      </w:tr>
    </w:tbl>
    <w:p>
      <w:pPr>
        <w:spacing w:before="0" w:after="0"/>
        <w:jc w:val="both"/>
      </w:pPr>
      <w:r>
        <w:rPr>
          <w:rFonts w:ascii="Calibri" w:hAnsi="Calibri" w:cs="Calibri"/>
          <w:sz w:val="20"/>
        </w:rPr>
        <w:t>Keberhasilan tulis FC15 mencapai 99,97% dan pembacaan FC1 99,92% dari 872.640 transaksi (Tabel V). Frame rate stabil di 29,7 fps. Dua masalah ditemukan. Pertama, memori bertambah 12,4 MB selama 24 jam, kemungkinan buffer MediaPipe yang tidak terkoleksi. Kami tidak memverifikasi dengan profiler dan trayektori jangka panjang tidak diketahui. Kedua, MTBF hanya 8,2 jam; koneksi Modbus putus sekitar tiga kali per hari. Deployment produksi memerlukan thread watchdog untuk restart koneksi otomatis pada timeout.</w:t>
      </w:r>
    </w:p>
    <w:p>
      <w:pPr>
        <w:spacing w:before="60" w:after="60"/>
        <w:jc w:val="center"/>
      </w:pPr>
      <w:r>
        <w:rPr>
          <w:rFonts w:ascii="Calibri" w:hAnsi="Calibri" w:cs="Calibri"/>
          <w:i/>
          <w:color w:val="FF0000"/>
          <w:sz w:val="20"/>
        </w:rPr>
        <w:t>[PROMPT UNTUK AI GAMBAR: Tingkat Keberhasilan Modbus 24 Jam. A dual-line time-series chart showing Modbus TCP transaction success rate over a continuous 24-hour endurance test run. The horizontal axis represents elapsed time in hours from 0 to 24, and the vertical axis shows transaction success rate as a percentage on a scale from approximately 95 to 100 percent to magnify any dips. Two lines are plotted: one for FC15 write command success and one for FC1 read polling success, each drawn in a distinct color with a legend. Brief dips below 100 percent at several time points mark communication failure events. A horizontal dashed annotation line or label marks the mean time between failures at 8.2 hours. Background is white, style is clean and publication-ready for an IEEE journal paper result section.]</w:t>
      </w:r>
    </w:p>
    <w:p>
      <w:pPr>
        <w:spacing w:before="60" w:after="120"/>
        <w:jc w:val="center"/>
      </w:pPr>
      <w:r>
        <w:rPr>
          <w:rFonts w:ascii="Calibri" w:hAnsi="Calibri" w:cs="Calibri"/>
          <w:b/>
          <w:sz w:val="16"/>
        </w:rPr>
        <w:t xml:space="preserve">Fig. 14. </w:t>
      </w:r>
      <w:r>
        <w:rPr>
          <w:rFonts w:ascii="Calibri" w:hAnsi="Calibri" w:cs="Calibri"/>
          <w:sz w:val="16"/>
        </w:rPr>
        <w:t>Tingkat Keberhasilan Modbus 24 Jam</w:t>
      </w:r>
    </w:p>
    <w:p>
      <w:pPr>
        <w:spacing w:before="0" w:after="0"/>
        <w:jc w:val="both"/>
      </w:pPr>
      <w:r>
        <w:rPr>
          <w:rFonts w:ascii="Calibri" w:hAnsi="Calibri" w:cs="Calibri"/>
          <w:sz w:val="20"/>
        </w:rPr>
        <w:t>Tingkat keberhasilan (Gbr. 14) bertahan di atas 99,7% untuk FC1 maupun FC15, dengan penurunan di sekitar jam ke-7, 15, dan 22. Ketiga penurunan sesuai dengan tiga kegagalan komunikasi dalam log, konsisten dengan MTBF 8,2 jam.</w:t>
      </w:r>
    </w:p>
    <w:p>
      <w:pPr>
        <w:spacing w:before="120" w:after="60"/>
        <w:jc w:val="left"/>
      </w:pPr>
      <w:r>
        <w:rPr>
          <w:rFonts w:ascii="Calibri" w:hAnsi="Calibri" w:cs="Calibri"/>
          <w:b/>
          <w:sz w:val="20"/>
        </w:rPr>
        <w:t>KESIMPULAN</w:t>
      </w:r>
    </w:p>
    <w:p>
      <w:pPr>
        <w:spacing w:before="120" w:after="60"/>
        <w:jc w:val="left"/>
      </w:pPr>
      <w:r>
        <w:rPr>
          <w:rFonts w:ascii="Calibri" w:hAnsi="Calibri" w:cs="Calibri"/>
          <w:b/>
          <w:sz w:val="20"/>
        </w:rPr>
        <w:t>REFERENCES</w:t>
      </w:r>
    </w:p>
    <w:p>
      <w:pPr>
        <w:spacing w:before="0" w:after="0"/>
        <w:jc w:val="both"/>
        <w:ind w:left="360" w:hanging="360"/>
      </w:pPr>
      <w:r>
        <w:rPr>
          <w:rFonts w:ascii="Calibri" w:hAnsi="Calibri" w:cs="Calibri"/>
          <w:sz w:val="16"/>
        </w:rPr>
        <w:t>[1] C. Lugaresi et al., "MediaPipe: A Framework for Building Perception Pipelines," preprint arXiv:1906.08172, Jun. 2019.</w:t>
      </w:r>
    </w:p>
    <w:p>
      <w:pPr>
        <w:spacing w:before="0" w:after="0"/>
        <w:jc w:val="both"/>
        <w:ind w:left="360" w:hanging="360"/>
      </w:pPr>
      <w:r>
        <w:rPr>
          <w:rFonts w:ascii="Calibri" w:hAnsi="Calibri" w:cs="Calibri"/>
          <w:sz w:val="16"/>
        </w:rPr>
        <w:t>[2] S. Vijayachitra, K. Prabhu, S. Agilan, M. Ahamed Salih, and S. Madhumitha, "Advanced PLC-based Automation for Converging System and Warehousing," in Proc. 5th Int. Conf. Trends Mater. Sci. Invent. Mater. (ICTMIM), 2025, pp. 1–6, doi: 10.1109/ICTMIM65579.2025.10988042.</w:t>
      </w:r>
    </w:p>
    <w:p>
      <w:pPr>
        <w:spacing w:before="0" w:after="0"/>
        <w:jc w:val="both"/>
        <w:ind w:left="360" w:hanging="360"/>
      </w:pPr>
      <w:r>
        <w:rPr>
          <w:rFonts w:ascii="Calibri" w:hAnsi="Calibri" w:cs="Calibri"/>
          <w:sz w:val="16"/>
        </w:rPr>
        <w:t>[3] Yashika, A. Patra, and N. S. Das, "Human-Machine Interaction in Industrial Automation: Gesture-Based PLC Control," in Proc. 15th Int. Conf. Comput. Commun. Netw. Technol. (ICCCNT), 2024, pp. 1–7, doi: 10.1109/ICCCNT61001.2024.10726180.</w:t>
      </w:r>
    </w:p>
    <w:p>
      <w:pPr>
        <w:spacing w:before="0" w:after="0"/>
        <w:jc w:val="both"/>
        <w:ind w:left="360" w:hanging="360"/>
      </w:pPr>
      <w:r>
        <w:rPr>
          <w:rFonts w:ascii="Calibri" w:hAnsi="Calibri" w:cs="Calibri"/>
          <w:sz w:val="16"/>
        </w:rPr>
        <w:t>[4] Y. Li, J. Zhang, Y. Xiong, H. Wu, and F. Yang, "Design of Industrial Equipment Remote Control System Based on Python," in Proc. 8th Int. Conf. Electron. Technol. (ICET), 2025, pp. 1–6, doi: 10.1109/ICET64964.2025.11103226.</w:t>
      </w:r>
    </w:p>
    <w:p>
      <w:pPr>
        <w:spacing w:before="0" w:after="0"/>
        <w:jc w:val="both"/>
        <w:ind w:left="360" w:hanging="360"/>
      </w:pPr>
      <w:r>
        <w:rPr>
          <w:rFonts w:ascii="Calibri" w:hAnsi="Calibri" w:cs="Calibri"/>
          <w:sz w:val="16"/>
        </w:rPr>
        <w:t>[5] M. Jamage, S. Rane, J. Raktate, and N. Chavan, "Real-Time Hand Gesture Recognition Using CNN-LSTM for Gesture-to-Voice and Device Control," in Proc. 9th Int. Conf. Comput. Commun. Control Autom. (ICCUBEA), 2025, pp. 1–7, doi: 10.1109/ICCUBEA65967.2025.11284053.</w:t>
      </w:r>
    </w:p>
    <w:p>
      <w:pPr>
        <w:spacing w:before="0" w:after="0"/>
        <w:jc w:val="both"/>
        <w:ind w:left="360" w:hanging="360"/>
      </w:pPr>
      <w:r>
        <w:rPr>
          <w:rFonts w:ascii="Calibri" w:hAnsi="Calibri" w:cs="Calibri"/>
          <w:sz w:val="16"/>
        </w:rPr>
        <w:t>[6] C. Nikolajew and H. Eichelberger, "Industry 4.0 Connectors – A Performance Experiment with Modbus/TCP," preprint arXiv:2410.15813, Oct. 2024.</w:t>
      </w:r>
    </w:p>
    <w:p>
      <w:pPr>
        <w:spacing w:before="0" w:after="0"/>
        <w:jc w:val="both"/>
        <w:ind w:left="360" w:hanging="360"/>
      </w:pPr>
      <w:r>
        <w:rPr>
          <w:rFonts w:ascii="Calibri" w:hAnsi="Calibri" w:cs="Calibri"/>
          <w:sz w:val="16"/>
        </w:rPr>
        <w:t>[7] E. Tapia, L. Sastoque-Pinilla, U. Lopez-Novoa, I. Bediaga, and N. López de Lacalle, "Assessing Industrial Communication Protocols to Bridge the Gap between Machine Tools and Software Monitoring," Sensors, vol. 23, no. 12, art. 5694, 2023, doi: 10.3390/s23125694.</w:t>
      </w:r>
    </w:p>
    <w:p>
      <w:pPr>
        <w:spacing w:before="0" w:after="0"/>
        <w:jc w:val="both"/>
        <w:ind w:left="360" w:hanging="360"/>
      </w:pPr>
      <w:r>
        <w:rPr>
          <w:rFonts w:ascii="Calibri" w:hAnsi="Calibri" w:cs="Calibri"/>
          <w:sz w:val="16"/>
        </w:rPr>
        <w:t>[8] Y. K. Yep, Y. H. Goh, T. H. Chiew, K. M. Chin, J. J. Ong, and K. S. Eu, "AI-Driven Hand Gesture Recognition for Robotic Arm Control," in Proc. 5th Int. Conf. Artif. Intell. Robot. Commun. (ICAIRC), 2025, pp. 1–5, doi: 10.1109/ICAIRC68035.2025.11384947.</w:t>
      </w:r>
    </w:p>
    <w:p>
      <w:pPr>
        <w:spacing w:before="0" w:after="0"/>
        <w:jc w:val="both"/>
        <w:ind w:left="360" w:hanging="360"/>
      </w:pPr>
      <w:r>
        <w:rPr>
          <w:rFonts w:ascii="Calibri" w:hAnsi="Calibri" w:cs="Calibri"/>
          <w:sz w:val="16"/>
        </w:rPr>
        <w:t>[9] Qurrat-ul-Ain, S. N. Talpur, N. U. Z. Laghari, and M. S. Rattar, "Machine Control Using Hand Gesture Recognition," Gyancity J. Electron. Comput. Sci., vol. 5, no. 1, pp. 19–28, Mar. 2020, doi: 10.21058/gjecs.2020.51003.</w:t>
      </w:r>
    </w:p>
    <w:p>
      <w:pPr>
        <w:spacing w:before="0" w:after="0"/>
        <w:jc w:val="both"/>
        <w:ind w:left="360" w:hanging="360"/>
      </w:pPr>
      <w:r>
        <w:rPr>
          <w:rFonts w:ascii="Calibri" w:hAnsi="Calibri" w:cs="Calibri"/>
          <w:sz w:val="16"/>
        </w:rPr>
        <w:t>[10] P. Nguyen Huu and T. Phung Ngoc, "Hand Gesture Recognition Algorithm Using SVM and HOG Model for Control of Robotic System," J. Robot., vol. 2021, art. 3986497, 2021, doi: 10.1155/2021/3986497.</w:t>
      </w:r>
    </w:p>
    <w:p>
      <w:pPr>
        <w:spacing w:before="0" w:after="0"/>
        <w:jc w:val="both"/>
        <w:ind w:left="360" w:hanging="360"/>
      </w:pPr>
      <w:r>
        <w:rPr>
          <w:rFonts w:ascii="Calibri" w:hAnsi="Calibri" w:cs="Calibri"/>
          <w:sz w:val="16"/>
        </w:rPr>
        <w:t>[11] M. Shaikh, P. Shah, and R. Sekhar, "Communication Protocols in Industry 4.0," in Proc. Int. Conf. Sustain. Emerg. Innov. Eng. Technol. (ICSEIET), 2023, pp. 1–6, doi: 10.1109/ICSEIET58677.2023.10303397.</w:t>
      </w:r>
    </w:p>
    <w:p>
      <w:pPr>
        <w:spacing w:before="0" w:after="0"/>
        <w:jc w:val="both"/>
        <w:ind w:left="360" w:hanging="360"/>
      </w:pPr>
      <w:r>
        <w:rPr>
          <w:rFonts w:ascii="Calibri" w:hAnsi="Calibri" w:cs="Calibri"/>
          <w:sz w:val="16"/>
        </w:rPr>
        <w:t>[12] M. Bensaadallah, N. Ghoggali, L. Saidi, and W. Ghoggali, "Deep Learning-Based Real-Time Hand Landmark Recognition with MediaPipe for R12 Robot Control," in Proc. Int. Conf. Elect. Eng. Adv. Technol. (ICEEAT), 2023, pp. 1–6, doi: 10.1109/ICEEAT60471.2023.10426264.</w:t>
      </w:r>
    </w:p>
    <w:p>
      <w:pPr>
        <w:spacing w:before="0" w:after="0"/>
        <w:jc w:val="both"/>
        <w:ind w:left="360" w:hanging="360"/>
      </w:pPr>
      <w:r>
        <w:rPr>
          <w:rFonts w:ascii="Calibri" w:hAnsi="Calibri" w:cs="Calibri"/>
          <w:sz w:val="16"/>
        </w:rPr>
        <w:t>[13] M. Peral, A. Sanfeliu, and A. Garrell, "Efficient Hand Gesture Recognition for Human-Robot Interaction," IEEE Robot. Autom. Lett., vol. 7, no. 4, pp. 10272–10279, Oct. 2022, doi: 10.1109/LRA.2022.3193251.</w:t>
      </w:r>
    </w:p>
    <w:p>
      <w:pPr>
        <w:spacing w:before="0" w:after="0"/>
        <w:jc w:val="both"/>
        <w:ind w:left="360" w:hanging="360"/>
      </w:pPr>
      <w:r>
        <w:rPr>
          <w:rFonts w:ascii="Calibri" w:hAnsi="Calibri" w:cs="Calibri"/>
          <w:sz w:val="16"/>
        </w:rPr>
        <w:t>[14] Muhtadin, I. W. A. Darmawan, M. H. Rusydiansyah, I. K. E. Purnama, C. Fatichah, and M. H. Purnomo, "Hand Gesture Recognition for Collaborative Robots Using Lightweight Deep Learning in Real-Time Robotic Systems," in Proc. Int. Seminar Intell. Technol. Its Appl. (ISITIA), 2025, pp. 1–6, doi: 10.1109/ISITIA66279.2025.11137561.</w:t>
      </w:r>
    </w:p>
    <w:p>
      <w:pPr>
        <w:spacing w:before="0" w:after="0"/>
        <w:jc w:val="both"/>
        <w:ind w:left="360" w:hanging="360"/>
      </w:pPr>
      <w:r>
        <w:rPr>
          <w:rFonts w:ascii="Calibri" w:hAnsi="Calibri" w:cs="Calibri"/>
          <w:sz w:val="16"/>
        </w:rPr>
        <w:t>[15] B. Kwolek, "Continuous Hand Gesture Recognition for Human-Robot Collaborative Assembly," in Proc. IEEE/CVF Int. Conf. Comput. Vis. Workshops (ICCVW), 2023, pp. 1992–1999, doi: 10.1109/ICCVW60793.2023.00214.</w:t>
      </w:r>
    </w:p>
    <w:p>
      <w:pPr>
        <w:spacing w:before="0" w:after="0"/>
        <w:jc w:val="both"/>
        <w:ind w:left="360" w:hanging="360"/>
      </w:pPr>
      <w:r>
        <w:rPr>
          <w:rFonts w:ascii="Calibri" w:hAnsi="Calibri" w:cs="Calibri"/>
          <w:sz w:val="16"/>
        </w:rPr>
        <w:t>[16] Y. Wang, D. Peng, E. Qi, and H. Wang, "Modbus/TCP Data Acquisition System Based on Industrial Ethernet Technology," in Proc. 4th IEEE Int. Conf. Elect. Eng. Control Technol. (CEECT), 2022, pp. 1–5, doi: 10.1109/CEECT55960.2022.10030131.</w:t>
      </w:r>
    </w:p>
    <w:p>
      <w:pPr>
        <w:spacing w:before="0" w:after="0"/>
        <w:jc w:val="both"/>
        <w:ind w:left="360" w:hanging="360"/>
      </w:pPr>
      <w:r>
        <w:rPr>
          <w:rFonts w:ascii="Calibri" w:hAnsi="Calibri" w:cs="Calibri"/>
          <w:sz w:val="16"/>
        </w:rPr>
        <w:t>[17] H. Benyezza, M. Bouhedda, I. Kratbi, R. Kara, Y. Aniba, and A. Boukhtache, "Automated Fruits Inspection and Sorting Smart System for Industry 4.0 Based on OpenCV and PLC," in Proc. 2nd Int. Conf. Electron. Energy Meas. (IC2EM), 2023, pp. 1–6, doi: 10.1109/IC2EM59347.2023.10419533.</w:t>
      </w:r>
    </w:p>
    <w:p>
      <w:pPr>
        <w:spacing w:before="0" w:after="0"/>
        <w:jc w:val="both"/>
        <w:ind w:left="360" w:hanging="360"/>
      </w:pPr>
      <w:r>
        <w:rPr>
          <w:rFonts w:ascii="Calibri" w:hAnsi="Calibri" w:cs="Calibri"/>
          <w:sz w:val="16"/>
        </w:rPr>
        <w:t>[18] C. D. Sawarkar, V. Vaidya, V. Sharma, S. Sheikh, A. Neware, and P. Chaudhari, "AI Based Real Time Hand Gesture Recognition System," Int. Res. J. Modernization Eng. Technol. Sci., vol. 6, no. 1, pp. 1–8, Jan. 2024, doi: 10.56726/IRJMETS48782.</w:t>
      </w:r>
    </w:p>
    <w:p>
      <w:pPr>
        <w:spacing w:before="0" w:after="0"/>
        <w:jc w:val="both"/>
        <w:ind w:left="360" w:hanging="360"/>
      </w:pPr>
      <w:r>
        <w:rPr>
          <w:rFonts w:ascii="Calibri" w:hAnsi="Calibri" w:cs="Calibri"/>
          <w:sz w:val="16"/>
        </w:rPr>
        <w:t>[19] R. Tchantchane, H. Zhou, S. Zhang, and G. Alici, "A Review of Hand Gesture Recognition Systems Based on Noninvasive Wearable Sensors," Adv. Intell. Syst., vol. 5, no. 2, art. 2300207, 2023, doi: 10.1002/aisy.202300207.</w:t>
      </w:r>
    </w:p>
    <w:p>
      <w:pPr>
        <w:spacing w:before="0" w:after="0"/>
        <w:jc w:val="both"/>
        <w:ind w:left="360" w:hanging="360"/>
      </w:pPr>
      <w:r>
        <w:rPr>
          <w:rFonts w:ascii="Calibri" w:hAnsi="Calibri" w:cs="Calibri"/>
          <w:sz w:val="16"/>
        </w:rPr>
        <w:t>[20] Schneider Electric, "Modicon M221 Logic Controller – Programming Guide," Tech. Rep., ver. 1.7, 2022. [Online]. Available: https://www.schneider-electric.com</w:t>
      </w:r>
    </w:p>
    <w:sectPr>
      <w:type w:val="continuous"/>
      <w:pgSz w:h="15840" w:w="12240" w:orient="portrait"/>
      <w:pgMar w:bottom="950" w:top="720" w:left="1094" w:right="1094"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entury Gothic">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1">
    <w:pPr>
      <w:rPr>
        <w:sz w:val="16"/>
        <w:szCs w:val="16"/>
        <w:vertAlign w:val="baseline"/>
      </w:rPr>
    </w:pPr>
    <w:r w:rsidDel="00000000" w:rsidR="00000000" w:rsidRPr="00000000">
      <w:rPr>
        <w:rtl w:val="0"/>
      </w:rPr>
    </w:r>
  </w:p>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entury Gothic" w:cs="Century Gothic" w:eastAsia="Century Gothic" w:hAnsi="Century Gothic"/>
        <w:b w:val="0"/>
        <w:bCs w:val="0"/>
        <w:i w:val="0"/>
        <w:iCs w:val="0"/>
        <w:smallCaps w:val="0"/>
        <w:strike w:val="0"/>
        <w:color w:val="943634"/>
        <w:sz w:val="16"/>
        <w:szCs w:val="16"/>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943634"/>
        <w:sz w:val="16"/>
        <w:szCs w:val="16"/>
        <w:u w:val="none"/>
        <w:shd w:fill="auto" w:val="clear"/>
        <w:vertAlign w:val="baseline"/>
        <w:rtl w:val="0"/>
      </w:rPr>
      <w:t xml:space="preserve">12:1 (2022) 1–5 | https://journals.utm.my/index.php/aej | eISSN 2586–9159|</w:t>
    </w:r>
    <w:r w:rsidDel="00000000" w:rsidR="00000000" w:rsidRPr="00000000">
      <w:rPr>
        <w:rtl w:val="0"/>
      </w:rPr>
    </w:r>
  </w:p>
  <w:p w:rsidR="00000000" w:rsidDel="00000000" w:rsidP="00000000" w:rsidRDefault="00000000" w:rsidRPr="00000000" w14:paraId="000002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Helvetica Neue" w:cs="Helvetica Neue" w:eastAsia="Helvetica Neue" w:hAnsi="Helvetica Neue"/>
        <w:b w:val="0"/>
        <w:bCs w:val="0"/>
        <w:i w:val="0"/>
        <w:iCs w:val="0"/>
        <w:smallCaps w:val="0"/>
        <w:strike w:val="0"/>
        <w:color w:val="c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4">
    <w:pPr>
      <w:jc w:val="right"/>
      <w:rPr>
        <w:vertAlign w:val="baseline"/>
      </w:rPr>
    </w:pPr>
    <w:r w:rsidDel="00000000" w:rsidR="00000000" w:rsidRPr="00000000">
      <w:rPr>
        <w:vertAlign w:val="baseline"/>
        <w:rtl w:val="0"/>
      </w:rPr>
      <w:t xml:space="preserve">PAGE  2</w:t>
    </w:r>
  </w:p>
  <w:p w:rsidR="00000000" w:rsidDel="00000000" w:rsidP="00000000" w:rsidRDefault="00000000" w:rsidRPr="00000000" w14:paraId="00000215">
    <w:pPr>
      <w:ind w:right="360"/>
      <w:rP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6">
    <w:pPr>
      <w:ind w:right="360"/>
      <w:rP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entury Gothic" w:cs="Century Gothic" w:eastAsia="Century Gothic" w:hAnsi="Century Gothic"/>
        <w:b w:val="0"/>
        <w:bCs w:val="0"/>
        <w:i w:val="0"/>
        <w:iCs w:val="0"/>
        <w:smallCaps w:val="0"/>
        <w:strike w:val="0"/>
        <w:color w:val="943634"/>
        <w:sz w:val="16"/>
        <w:szCs w:val="16"/>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943634"/>
        <w:sz w:val="16"/>
        <w:szCs w:val="16"/>
        <w:u w:val="none"/>
        <w:shd w:fill="auto" w:val="clear"/>
        <w:vertAlign w:val="baseline"/>
      </w:rPr>
      <w:fldChar w:fldCharType="begin"/>
      <w:instrText xml:space="preserve">PAGE</w:instrText>
      <w:fldChar w:fldCharType="separate"/>
      <w:fldChar w:fldCharType="end"/>
    </w:r>
    <w:r w:rsidDel="00000000" w:rsidR="00000000" w:rsidRPr="00000000">
      <w:rPr>
        <w:rFonts w:ascii="Century Gothic" w:cs="Century Gothic" w:eastAsia="Century Gothic" w:hAnsi="Century Gothic"/>
        <w:b w:val="0"/>
        <w:bCs w:val="0"/>
        <w:i w:val="1"/>
        <w:iCs w:val="1"/>
        <w:smallCaps w:val="0"/>
        <w:strike w:val="0"/>
        <w:color w:val="943634"/>
        <w:sz w:val="16"/>
        <w:szCs w:val="16"/>
        <w:u w:val="none"/>
        <w:shd w:fill="auto" w:val="clear"/>
        <w:vertAlign w:val="baseline"/>
        <w:rtl w:val="0"/>
      </w:rPr>
      <w:t xml:space="preserve">  </w:t>
    </w:r>
    <w:r w:rsidDel="00000000" w:rsidR="00000000" w:rsidRPr="00000000">
      <w:rPr>
        <w:rFonts w:ascii="Century Gothic" w:cs="Century Gothic" w:eastAsia="Century Gothic" w:hAnsi="Century Gothic"/>
        <w:b w:val="1"/>
        <w:bCs w:val="1"/>
        <w:i w:val="1"/>
        <w:iCs w:val="1"/>
        <w:smallCaps w:val="0"/>
        <w:strike w:val="0"/>
        <w:color w:val="943634"/>
        <w:sz w:val="16"/>
        <w:szCs w:val="16"/>
        <w:u w:val="none"/>
        <w:shd w:fill="auto" w:val="clear"/>
        <w:vertAlign w:val="baseline"/>
        <w:rtl w:val="0"/>
      </w:rPr>
      <w:t xml:space="preserve">                                </w:t>
      <w:tab/>
      <w:t xml:space="preserve">              Azizul et al. / ASEAN Engineering Journal 12:1 (2022) 1–5</w:t>
    </w:r>
    <w:r w:rsidDel="00000000" w:rsidR="00000000" w:rsidRPr="00000000">
      <w:rPr>
        <w:rtl w:val="0"/>
      </w:rPr>
    </w:r>
  </w:p>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
    <w:lvl w:ilvl="0">
      <w:start w:val="1"/>
      <w:numFmt w:val="decimal"/>
      <w:lvlText w:val="3.%1"/>
      <w:lvlJc w:val="left"/>
      <w:pPr>
        <w:ind w:left="1080" w:hanging="360"/>
      </w:pPr>
      <w:rPr>
        <w:vertAlign w:val="baseline"/>
      </w:rPr>
    </w:lvl>
    <w:lvl w:ilvl="1">
      <w:start w:val="1"/>
      <w:numFmt w:val="lowerLetter"/>
      <w:lvlText w:val="%2."/>
      <w:lvlJc w:val="left"/>
      <w:pPr>
        <w:ind w:left="1800" w:hanging="360"/>
      </w:pPr>
      <w:rPr>
        <w:vertAlign w:val="baseline"/>
      </w:rPr>
    </w:lvl>
    <w:lvl w:ilvl="2">
      <w:start w:val="1"/>
      <w:numFmt w:val="lowerRoman"/>
      <w:lvlText w:val="%3."/>
      <w:lvlJc w:val="right"/>
      <w:pPr>
        <w:ind w:left="2520" w:hanging="180"/>
      </w:pPr>
      <w:rPr>
        <w:vertAlign w:val="baseline"/>
      </w:rPr>
    </w:lvl>
    <w:lvl w:ilvl="3">
      <w:start w:val="1"/>
      <w:numFmt w:val="decimal"/>
      <w:lvlText w:val="%4."/>
      <w:lvlJc w:val="left"/>
      <w:pPr>
        <w:ind w:left="3240" w:hanging="360"/>
      </w:pPr>
      <w:rPr>
        <w:vertAlign w:val="baseline"/>
      </w:rPr>
    </w:lvl>
    <w:lvl w:ilvl="4">
      <w:start w:val="1"/>
      <w:numFmt w:val="lowerLetter"/>
      <w:lvlText w:val="%5."/>
      <w:lvlJc w:val="left"/>
      <w:pPr>
        <w:ind w:left="3960" w:hanging="360"/>
      </w:pPr>
      <w:rPr>
        <w:vertAlign w:val="baseline"/>
      </w:rPr>
    </w:lvl>
    <w:lvl w:ilvl="5">
      <w:start w:val="1"/>
      <w:numFmt w:val="lowerRoman"/>
      <w:lvlText w:val="%6."/>
      <w:lvlJc w:val="right"/>
      <w:pPr>
        <w:ind w:left="4680" w:hanging="180"/>
      </w:pPr>
      <w:rPr>
        <w:vertAlign w:val="baseline"/>
      </w:rPr>
    </w:lvl>
    <w:lvl w:ilvl="6">
      <w:start w:val="1"/>
      <w:numFmt w:val="decimal"/>
      <w:lvlText w:val="%7."/>
      <w:lvlJc w:val="left"/>
      <w:pPr>
        <w:ind w:left="5400" w:hanging="360"/>
      </w:pPr>
      <w:rPr>
        <w:vertAlign w:val="baseline"/>
      </w:rPr>
    </w:lvl>
    <w:lvl w:ilvl="7">
      <w:start w:val="1"/>
      <w:numFmt w:val="lowerLetter"/>
      <w:lvlText w:val="%8."/>
      <w:lvlJc w:val="left"/>
      <w:pPr>
        <w:ind w:left="6120" w:hanging="360"/>
      </w:pPr>
      <w:rPr>
        <w:vertAlign w:val="baseline"/>
      </w:rPr>
    </w:lvl>
    <w:lvl w:ilvl="8">
      <w:start w:val="1"/>
      <w:numFmt w:val="lowerRoman"/>
      <w:lvlText w:val="%9."/>
      <w:lvlJc w:val="right"/>
      <w:pPr>
        <w:ind w:left="6840" w:hanging="180"/>
      </w:pPr>
      <w:rP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2"/>
        <w:szCs w:val="22"/>
        <w:lang w:val="en"/>
      </w:rPr>
    </w:rPrDefault>
    <w:pPrDefault>
      <w:pPr>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spacing w:after="60" w:before="240" w:lineRule="auto"/>
      <w:jc w:val="both"/>
    </w:pPr>
    <w:rPr>
      <w:rFonts w:ascii="Arial" w:cs="Arial" w:eastAsia="Arial" w:hAnsi="Arial"/>
      <w:b w:val="1"/>
      <w:bCs w:val="1"/>
      <w:i w:val="1"/>
      <w:iCs w:val="1"/>
      <w:sz w:val="24"/>
      <w:szCs w:val="24"/>
      <w:vertAlign w:val="baseline"/>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dx.doi.org/10.11113/jt.v79.9987" TargetMode="External"/><Relationship Id="rId22" Type="http://schemas.openxmlformats.org/officeDocument/2006/relationships/hyperlink" Target="http://dx.doi.org/10.11113/jt.v79.9987" TargetMode="External"/><Relationship Id="rId21" Type="http://schemas.openxmlformats.org/officeDocument/2006/relationships/hyperlink" Target="http://dx.doi.org/10.11113/jt.v79.9987" TargetMode="External"/><Relationship Id="rId24" Type="http://schemas.openxmlformats.org/officeDocument/2006/relationships/hyperlink" Target="http://dx.doi.org/10.11113/jt.v79.9987" TargetMode="External"/><Relationship Id="rId23" Type="http://schemas.openxmlformats.org/officeDocument/2006/relationships/hyperlink" Target="http://dx.doi.org/10.11113/jt.v79.9987"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3.xml"/><Relationship Id="rId26" Type="http://schemas.openxmlformats.org/officeDocument/2006/relationships/hyperlink" Target="http://dx.doi.org/10.11113/jt.v79.9987" TargetMode="External"/><Relationship Id="rId25" Type="http://schemas.openxmlformats.org/officeDocument/2006/relationships/hyperlink" Target="http://dx.doi.org/10.11113/jt.v79.9987" TargetMode="External"/><Relationship Id="rId28" Type="http://schemas.openxmlformats.org/officeDocument/2006/relationships/hyperlink" Target="http://dx.doi.org/10.11113/jt.v79.9987" TargetMode="External"/><Relationship Id="rId27" Type="http://schemas.openxmlformats.org/officeDocument/2006/relationships/hyperlink" Target="http://dx.doi.org/10.11113/jt.v79.9987" TargetMode="External"/><Relationship Id="rId5" Type="http://schemas.openxmlformats.org/officeDocument/2006/relationships/styles" Target="styles.xml"/><Relationship Id="rId6" Type="http://schemas.openxmlformats.org/officeDocument/2006/relationships/hyperlink" Target="mailto:maman@uxm.edu.my" TargetMode="External"/><Relationship Id="rId29" Type="http://schemas.openxmlformats.org/officeDocument/2006/relationships/hyperlink" Target="http://dx.doi.org/10.11113/jt.v79.9987" TargetMode="External"/><Relationship Id="rId7" Type="http://schemas.openxmlformats.org/officeDocument/2006/relationships/image" Target="media/image6.jpg"/><Relationship Id="rId8" Type="http://schemas.openxmlformats.org/officeDocument/2006/relationships/header" Target="header1.xml"/><Relationship Id="rId31" Type="http://schemas.openxmlformats.org/officeDocument/2006/relationships/hyperlink" Target="http://dx.doi.org/10.11113/jt.v79.9987" TargetMode="External"/><Relationship Id="rId30" Type="http://schemas.openxmlformats.org/officeDocument/2006/relationships/hyperlink" Target="http://dx.doi.org/10.11113/jt.v79.9987" TargetMode="External"/><Relationship Id="rId11" Type="http://schemas.openxmlformats.org/officeDocument/2006/relationships/footer" Target="footer2.xml"/><Relationship Id="rId33" Type="http://schemas.openxmlformats.org/officeDocument/2006/relationships/hyperlink" Target="http://dx.doi.org/10.11113/jt.v79.9987" TargetMode="External"/><Relationship Id="rId10" Type="http://schemas.openxmlformats.org/officeDocument/2006/relationships/footer" Target="footer1.xml"/><Relationship Id="rId32" Type="http://schemas.openxmlformats.org/officeDocument/2006/relationships/hyperlink" Target="http://dx.doi.org/10.11113/jt.v79.9987" TargetMode="External"/><Relationship Id="rId13" Type="http://schemas.openxmlformats.org/officeDocument/2006/relationships/image" Target="media/image4.png"/><Relationship Id="rId35" Type="http://schemas.openxmlformats.org/officeDocument/2006/relationships/hyperlink" Target="http://dx.doi.org/10.11113/jt.v79.9987" TargetMode="External"/><Relationship Id="rId12" Type="http://schemas.openxmlformats.org/officeDocument/2006/relationships/image" Target="media/image2.png"/><Relationship Id="rId34" Type="http://schemas.openxmlformats.org/officeDocument/2006/relationships/hyperlink" Target="http://dx.doi.org/10.11113/jt.v79.9987" TargetMode="External"/><Relationship Id="rId15" Type="http://schemas.openxmlformats.org/officeDocument/2006/relationships/image" Target="media/image1.png"/><Relationship Id="rId37" Type="http://schemas.openxmlformats.org/officeDocument/2006/relationships/hyperlink" Target="http://dx.doi.org/10.11113/jt.v79.9987" TargetMode="External"/><Relationship Id="rId14" Type="http://schemas.openxmlformats.org/officeDocument/2006/relationships/image" Target="media/image3.png"/><Relationship Id="rId36" Type="http://schemas.openxmlformats.org/officeDocument/2006/relationships/hyperlink" Target="http://dx.doi.org/10.11113/jt.v79.9987" TargetMode="External"/><Relationship Id="rId17" Type="http://schemas.openxmlformats.org/officeDocument/2006/relationships/hyperlink" Target="https://doi.crossref.org/simpleTextQuery" TargetMode="External"/><Relationship Id="rId16" Type="http://schemas.openxmlformats.org/officeDocument/2006/relationships/image" Target="media/image5.jpg"/><Relationship Id="rId19" Type="http://schemas.openxmlformats.org/officeDocument/2006/relationships/hyperlink" Target="http://dx.doi.org/10.11113/jt.v79.9987" TargetMode="External"/><Relationship Id="rId18" Type="http://schemas.openxmlformats.org/officeDocument/2006/relationships/hyperlink" Target="http://dx.doi.org/10.11113/jt.v79.9987"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 Id="rId5" Type="http://schemas.openxmlformats.org/officeDocument/2006/relationships/font" Target="fonts/CenturyGothic-regular.ttf"/><Relationship Id="rId6" Type="http://schemas.openxmlformats.org/officeDocument/2006/relationships/font" Target="fonts/CenturyGothic-bold.ttf"/><Relationship Id="rId7" Type="http://schemas.openxmlformats.org/officeDocument/2006/relationships/font" Target="fonts/CenturyGothic-italic.ttf"/><Relationship Id="rId8"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