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Mechanical Engineering, Diponegoro University; Automation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60" w:after="60"/>
        <w:jc w:val="left"/>
      </w:pPr>
      <w:r>
        <w:rPr>
          <w:rFonts w:ascii="Calibri" w:hAnsi="Calibri" w:cs="Calibri"/>
          <w:b/>
          <w:sz w:val="20"/>
        </w:rPr>
        <w:t>Arsitektur Tiga Thread</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p_i = (x_i, y_i, z_i),   i = 0, 1, 2, , 20    (2)</w:t>
      </w:r>
    </w:p>
    <w:p>
      <w:pPr>
        <w:spacing w:before="0" w:after="0"/>
        <w:jc w:val="both"/>
      </w:pPr>
      <w:r>
        <w:rPr>
          <w:rFonts w:ascii="Calibri" w:hAnsi="Calibri" w:cs="Calibri"/>
          <w:sz w:val="20"/>
        </w:rPr>
        <w:t>Pada persamaan (2), x_i dan y_i berada dalam [0,1] relatif terhadap dimensi gambar, z_i mengkodekan kedalaman relatif terhadap pergelangan tangan. Jarak Euclidean antara dua landmark:</w:t>
      </w:r>
    </w:p>
    <w:p>
      <w:pPr>
        <w:spacing w:before="60" w:after="60"/>
        <w:jc w:val="center"/>
      </w:pPr>
      <w:r>
        <w:rPr>
          <w:rFonts w:ascii="Cambria Math" w:hAnsi="Cambria Math" w:cs="Cambria Math"/>
          <w:i/>
          <w:sz w:val="20"/>
        </w:rPr>
        <w:t>dij = sqrt((x_j - x_i)^2 + (y_j - y_i)^2)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(x_j - x_i,\; y_j - y_i)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sqrt(v_x^2 + v_y^2)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A_x B_x + A_y B_y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(f_i = 1); di bawah θclose maka tertutup (f_i = 0):</w:t>
      </w:r>
    </w:p>
    <w:p>
      <w:pPr>
        <w:spacing w:before="60" w:after="60"/>
        <w:jc w:val="center"/>
      </w:pPr>
      <w:r>
        <w:rPr>
          <w:rFonts w:ascii="Cambria Math" w:hAnsi="Cambria Math" w:cs="Cambria Math"/>
          <w:i/>
          <w:sz w:val="20"/>
        </w:rPr>
        <w:t>f_i =  1, &amp; θ_i &gt; θopen \\ 0, &amp; θ_i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f_i(t) =  1, &amp; θ_i &gt; θhigh \\ 0, &amp; θ_i &lt; θlow \\ f_i(t-1),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F_i = (1/N) =0N-1f_i(t-k)    (11)</w:t>
      </w:r>
    </w:p>
    <w:p>
      <w:pPr>
        <w:spacing w:before="0" w:after="0"/>
        <w:jc w:val="both"/>
      </w:pPr>
      <w:r>
        <w:rPr>
          <w:rFonts w:ascii="Calibri" w:hAnsi="Calibri" w:cs="Calibri"/>
          <w:sz w:val="20"/>
        </w:rPr>
        <w:t>Output biner final f_i bernilai 1 hanya jika lebih dari fraksi T dari frame terbaru menyetujui bahwa jari terektensi:</w:t>
      </w:r>
    </w:p>
    <w:p>
      <w:pPr>
        <w:spacing w:before="60" w:after="60"/>
        <w:jc w:val="center"/>
      </w:pPr>
      <w:r>
        <w:rPr>
          <w:rFonts w:ascii="Cambria Math" w:hAnsi="Cambria Math" w:cs="Cambria Math"/>
          <w:i/>
          <w:sz w:val="20"/>
        </w:rPr>
        <w:t>f_i =  1, &amp; F_i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\bRata-rata Keseluruhan (Makro)\b</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\b96,1\b</w:t>
            </w:r>
          </w:p>
        </w:tc>
        <w:tc>
          <w:tcPr>
            <w:tcW w:type="dxa" w:w="1675"/>
          </w:tcPr>
          <w:p>
            <w:pPr>
              <w:jc w:val="center"/>
            </w:pPr>
            <w:r/>
            <w:r>
              <w:rPr>
                <w:rFonts w:ascii="Calibri" w:hAnsi="Calibri" w:cs="Calibri"/>
                <w:sz w:val="16"/>
              </w:rPr>
              <w:t>\b94,8\b</w:t>
            </w:r>
          </w:p>
        </w:tc>
        <w:tc>
          <w:tcPr>
            <w:tcW w:type="dxa" w:w="1675"/>
          </w:tcPr>
          <w:p>
            <w:pPr>
              <w:jc w:val="center"/>
            </w:pPr>
            <w:r/>
            <w:r>
              <w:rPr>
                <w:rFonts w:ascii="Calibri" w:hAnsi="Calibri" w:cs="Calibri"/>
                <w:sz w:val="16"/>
              </w:rPr>
              <w:t>\b95,4\b</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=05TP_k=05(TP_k + FN_k) × 100\%    (13)</w:t>
      </w:r>
    </w:p>
    <w:p>
      <w:pPr>
        <w:spacing w:before="0" w:after="0"/>
        <w:jc w:val="both"/>
      </w:pPr>
      <w:r>
        <w:rPr>
          <w:rFonts w:ascii="Calibri" w:hAnsi="Calibri" w:cs="Calibri"/>
          <w:sz w:val="20"/>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