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Optimasi Deep Learning untuk Klasifikasi Citra Medis dengan Transfer Learning pada Arsitektur CNN</w:t>
      </w:r>
    </w:p>
    <w:p>
      <w:pPr>
        <w:spacing w:before="120" w:after="60"/>
        <w:jc w:val="center"/>
      </w:pPr>
      <w:r>
        <w:rPr>
          <w:rFonts w:ascii="Calibri" w:hAnsi="Calibri" w:cs="Calibri"/>
          <w:sz w:val="20"/>
        </w:rPr>
        <w:t>Ahmad Fauzi, Siti Nurhaliza</w:t>
      </w:r>
    </w:p>
    <w:p>
      <w:pPr>
        <w:spacing w:before="0" w:after="60"/>
        <w:jc w:val="center"/>
      </w:pPr>
      <w:r>
        <w:rPr>
          <w:rFonts w:ascii="Calibri" w:hAnsi="Calibri" w:cs="Calibri"/>
          <w:i/>
          <w:sz w:val="18"/>
        </w:rPr>
        <w:t>Department of Computer Science, Universitas Indonesia; Department of Biomedical Engineering, Institut Teknologi Bandung</w:t>
      </w:r>
    </w:p>
    <w:p>
      <w:pPr>
        <w:spacing w:before="0" w:after="120"/>
        <w:jc w:val="center"/>
      </w:pPr>
      <w:r>
        <w:rPr>
          <w:rFonts w:ascii="Calibri" w:hAnsi="Calibri" w:cs="Calibri"/>
          <w:i/>
          <w:sz w:val="18"/>
        </w:rPr>
        <w:t>ahmad.fauzi@ui.ac.id, siti.nurhaliza@itb.ac.id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Deep learning telah menunjukkan performa luar biasa dalam klasifikasi citra medis, namun membutuhkan dataset besar dan komputasi intensif. Penelitian ini mengusulkan pendekatan transfer learning menggunakan arsitektur Convolutional Neural Network (CNN) pretrained ResNet-50 dan VGG-16 untuk klasifikasi citra X-ray paru. Dataset terdiri dari 5.856 citra yang dibagi menjadi 80% training, 10% validation, dan 10% testing. Fine-tuning dilakukan pada 3 layer terakhir dengan learning rate 0.0001 dan optimizer Adam. Hasil eksperimen menunjukkan ResNet-50 mencapai akurasi 96.2% dengan F1-score 0.958, mengungguli VGG-16 (93.8%) dan model CNN from-scratch (88.4%). Analisis confusion matrix menunjukkan sensitivitas 97.1% dan spesifisitas 95.3% untuk deteksi pneumonia. Pendekatan ini mengurangi waktu training dari 48 jam menjadi 6 jam tanpa mengorbankan akurasi secara signifikan.</w:t>
      </w:r>
    </w:p>
    <w:p>
      <w:pPr>
        <w:spacing w:before="0" w:after="120"/>
        <w:jc w:val="both"/>
      </w:pPr>
      <w:r>
        <w:rPr>
          <w:rFonts w:ascii="Calibri" w:hAnsi="Calibri" w:cs="Calibri"/>
          <w:b/>
          <w:sz w:val="20"/>
        </w:rPr>
        <w:t xml:space="preserve">Keywords: </w:t>
      </w:r>
      <w:r>
        <w:rPr>
          <w:rFonts w:ascii="Calibri" w:hAnsi="Calibri" w:cs="Calibri"/>
          <w:i/>
          <w:sz w:val="20"/>
        </w:rPr>
        <w:t>Deep Learning, Transfer Learning, CNN, Medical Imaging, X-ray Classification</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Klasifikasi citra medis merupakan salah satu aplikasi paling penting dalam computer vision untuk diagnosis penyakit [1]. Teknik deep learning, khususnya Convolutional Neural Network (CNN), telah mencapai performa setara atau melampaui radiolog ahli dalam beberapa tugas diagnostik [2], [3]. Namun, implementasi CNN untuk citra medis menghadapi tantangan utama: ketersediaan dataset berlabel yang terbatas dan kebutuhan komputasi yang tinggi [4].</w:t>
      </w:r>
    </w:p>
    <w:p>
      <w:pPr>
        <w:spacing w:before="0" w:after="0"/>
        <w:jc w:val="both"/>
      </w:pPr>
      <w:r>
        <w:rPr>
          <w:rFonts w:ascii="Calibri" w:hAnsi="Calibri" w:cs="Calibri"/>
          <w:sz w:val="20"/>
        </w:rPr>
        <w:t>Transfer learning menawarkan solusi dengan memanfaatkan model yang telah dilatih pada dataset besar seperti ImageNet [5]. Arsitektur pretrained seperti ResNet-50 [6] dan VGG-16 [7] dapat diadaptasi untuk domain medis dengan fine-tuning pada layer-layer terakhir. Pendekatan ini secara signifikan mengurangi kebutuhan data pelatihan dan waktu komputasi [8].</w:t>
      </w:r>
    </w:p>
    <w:p>
      <w:pPr>
        <w:spacing w:before="0" w:after="0"/>
        <w:jc w:val="both"/>
      </w:pPr>
      <w:r>
        <w:rPr>
          <w:rFonts w:ascii="Calibri" w:hAnsi="Calibri" w:cs="Calibri"/>
          <w:sz w:val="20"/>
        </w:rPr>
        <w:t>Penelitian ini bertujuan membandingkan efektivitas transfer learning menggunakan ResNet-50 dan VGG-16 untuk klasifikasi citra X-ray paru menjadi dua kategori: normal dan pneumonia. Kami menggunakan dataset publik ChestX-ray14 [9] yang diperkaya dengan augmentasi data. Kontribusi utama meliputi: (1) perbandingan sistematis dua arsitektur CNN, (2) analisis dampak fine-tuning depth, dan (3) evaluasi klinis menggunakan metrik sensitivitas dan spesifisitas.</w:t>
      </w:r>
    </w:p>
    <w:p>
      <w:pPr>
        <w:spacing w:before="120" w:after="60"/>
        <w:jc w:val="left"/>
      </w:pPr>
      <w:r>
        <w:rPr>
          <w:rFonts w:ascii="Calibri" w:hAnsi="Calibri" w:cs="Calibri"/>
          <w:b/>
          <w:sz w:val="20"/>
        </w:rPr>
        <w:t>TINJAUAN PUSTAKA</w:t>
      </w:r>
    </w:p>
    <w:p>
      <w:pPr>
        <w:spacing w:before="0" w:after="0"/>
        <w:jc w:val="both"/>
      </w:pPr>
      <w:r>
        <w:rPr>
          <w:rFonts w:ascii="Calibri" w:hAnsi="Calibri" w:cs="Calibri"/>
          <w:sz w:val="20"/>
        </w:rPr>
        <w:t>Convolutional Neural Network (CNN) merupakan arsitektur deep learning yang dirancang khusus untuk data grid seperti citra [10]. Arsitektur ini menggunakan lapisan konvolusi untuk mengekstrak fitur hierarkis dari tepi, tekstur, hingga pola semantik tingkat tinggi [11].</w:t>
      </w:r>
    </w:p>
    <w:p>
      <w:pPr>
        <w:spacing w:before="0" w:after="0"/>
        <w:jc w:val="both"/>
      </w:pPr>
      <w:r>
        <w:rPr>
          <w:rFonts w:ascii="Calibri" w:hAnsi="Calibri" w:cs="Calibri"/>
          <w:sz w:val="20"/>
        </w:rPr>
        <w:t>ResNet-50 memperkenalkan koneksi residual yang memungkinkan pelatihan jaringan sangat dalam (152+ layer) tanpa masalah vanishing gradient [6]. Arsitektur ini terdiri dari 50 layer dengan bottleneck block yang efisien secara komputasi. Formula residual connection didefinisikan sebagai berikut:</w:t>
      </w:r>
    </w:p>
    <w:p>
      <w:pPr>
        <w:spacing w:before="60" w:after="60"/>
        <w:jc w:val="center"/>
      </w:pPr>
      <w:r>
        <w:rPr>
          <w:rFonts w:ascii="Cambria Math" w:hAnsi="Cambria Math" w:cs="Cambria Math"/>
          <w:i/>
          <w:sz w:val="20"/>
        </w:rPr>
        <w:t>y = F(x, W_i) + x    (1)</w:t>
      </w:r>
    </w:p>
    <w:p>
      <w:pPr>
        <w:spacing w:before="0" w:after="0"/>
        <w:jc w:val="both"/>
      </w:pPr>
      <w:r>
        <w:rPr>
          <w:rFonts w:ascii="Calibri" w:hAnsi="Calibri" w:cs="Calibri"/>
          <w:sz w:val="20"/>
        </w:rPr>
        <w:t>di mana x adalah input, F adalah fungsi residual yang dipelajari, dan W_i adalah parameter bobot pada layer ke-i.</w:t>
      </w:r>
    </w:p>
    <w:p>
      <w:pPr>
        <w:spacing w:before="0" w:after="0"/>
        <w:jc w:val="both"/>
      </w:pPr>
      <w:r>
        <w:rPr>
          <w:rFonts w:ascii="Calibri" w:hAnsi="Calibri" w:cs="Calibri"/>
          <w:sz w:val="20"/>
        </w:rPr>
        <w:t>VGG-16 menggunakan pendekatan yang lebih sederhana dengan filter 3x3 yang distack hingga kedalaman 16 layer [7]. Meskipun lebih berat secara komputasi dibanding ResNet-50, VGG-16 sering menjadi baseline yang kuat untuk transfer learning karena representasi fitur yang kaya.</w:t>
      </w:r>
    </w:p>
    <w:p>
      <w:pPr>
        <w:spacing w:before="0" w:after="0"/>
        <w:jc w:val="both"/>
      </w:pPr>
      <w:r>
        <w:rPr>
          <w:rFonts w:ascii="Calibri" w:hAnsi="Calibri" w:cs="Calibri"/>
          <w:sz w:val="20"/>
        </w:rPr>
        <w:t>Beberapa penelitian terdahulu telah menerapkan CNN untuk klasifikasi citra medis. Rajpurkar et al. [12] mengembangkan CheXNet yang mencapai AUC 0.841 pada dataset ChestX-ray14. Wang et al. [13] menggunakan ensemble learning dengan 8 arsitektur berbeda. Namun, kebanyakan penelitian tidak membandingkan secara langsung dampak fine-tuning depth terhadap akurasi akhir.</w:t>
      </w:r>
    </w:p>
    <w:p>
      <w:pPr>
        <w:spacing w:before="120" w:after="60"/>
        <w:jc w:val="left"/>
      </w:pPr>
      <w:r>
        <w:rPr>
          <w:rFonts w:ascii="Calibri" w:hAnsi="Calibri" w:cs="Calibri"/>
          <w:b/>
          <w:sz w:val="20"/>
        </w:rPr>
        <w:t>METODOLOGI</w:t>
      </w:r>
    </w:p>
    <w:p>
      <w:pPr>
        <w:spacing w:before="0" w:after="0"/>
        <w:jc w:val="both"/>
      </w:pPr>
      <w:r>
        <w:rPr>
          <w:rFonts w:ascii="Calibri" w:hAnsi="Calibri" w:cs="Calibri"/>
          <w:sz w:val="20"/>
        </w:rPr>
        <w:t>Dataset yang digunakan terdiri dari 5.856 citra X-ray paru berukuran 224x224 piksel dalam format grayscale yang dikonversi ke RGB. Distribusi data dirangkum dalam Tabel berikut:</w:t>
      </w:r>
    </w:p>
    <w:p>
      <w:pPr>
        <w:spacing w:before="120" w:after="60"/>
        <w:jc w:val="center"/>
      </w:pPr>
      <w:r>
        <w:rPr>
          <w:rFonts w:ascii="Calibri" w:hAnsi="Calibri" w:cs="Calibri"/>
          <w:b/>
          <w:sz w:val="16"/>
        </w:rPr>
        <w:t xml:space="preserve">Table 1. </w:t>
      </w:r>
      <w:r>
        <w:rPr>
          <w:rFonts w:ascii="Calibri" w:hAnsi="Calibri" w:cs="Calibri"/>
          <w:sz w:val="16"/>
        </w:rPr>
        <w:t>Distribusi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0"/>
        <w:gridCol w:w="2010"/>
        <w:gridCol w:w="2010"/>
        <w:gridCol w:w="2010"/>
        <w:gridCol w:w="2010"/>
      </w:tblGrid>
      <w:tr>
        <w:tc>
          <w:tcPr>
            <w:tcW w:type="dxa" w:w="2010"/>
          </w:tcPr>
          <w:p>
            <w:pPr>
              <w:jc w:val="center"/>
            </w:pPr>
            <w:r/>
            <w:r>
              <w:rPr>
                <w:rFonts w:ascii="Calibri" w:hAnsi="Calibri" w:cs="Calibri"/>
                <w:b/>
                <w:sz w:val="16"/>
              </w:rPr>
              <w:t>Kategori</w:t>
            </w:r>
          </w:p>
        </w:tc>
        <w:tc>
          <w:tcPr>
            <w:tcW w:type="dxa" w:w="2010"/>
          </w:tcPr>
          <w:p>
            <w:pPr>
              <w:jc w:val="center"/>
            </w:pPr>
            <w:r/>
            <w:r>
              <w:rPr>
                <w:rFonts w:ascii="Calibri" w:hAnsi="Calibri" w:cs="Calibri"/>
                <w:b/>
                <w:sz w:val="16"/>
              </w:rPr>
              <w:t>Training</w:t>
            </w:r>
          </w:p>
        </w:tc>
        <w:tc>
          <w:tcPr>
            <w:tcW w:type="dxa" w:w="2010"/>
          </w:tcPr>
          <w:p>
            <w:pPr>
              <w:jc w:val="center"/>
            </w:pPr>
            <w:r/>
            <w:r>
              <w:rPr>
                <w:rFonts w:ascii="Calibri" w:hAnsi="Calibri" w:cs="Calibri"/>
                <w:b/>
                <w:sz w:val="16"/>
              </w:rPr>
              <w:t>Validation</w:t>
            </w:r>
          </w:p>
        </w:tc>
        <w:tc>
          <w:tcPr>
            <w:tcW w:type="dxa" w:w="2010"/>
          </w:tcPr>
          <w:p>
            <w:pPr>
              <w:jc w:val="center"/>
            </w:pPr>
            <w:r/>
            <w:r>
              <w:rPr>
                <w:rFonts w:ascii="Calibri" w:hAnsi="Calibri" w:cs="Calibri"/>
                <w:b/>
                <w:sz w:val="16"/>
              </w:rPr>
              <w:t>Testing</w:t>
            </w:r>
          </w:p>
        </w:tc>
        <w:tc>
          <w:tcPr>
            <w:tcW w:type="dxa" w:w="2010"/>
          </w:tcPr>
          <w:p>
            <w:pPr>
              <w:jc w:val="center"/>
            </w:pPr>
            <w:r/>
            <w:r>
              <w:rPr>
                <w:rFonts w:ascii="Calibri" w:hAnsi="Calibri" w:cs="Calibri"/>
                <w:b/>
                <w:sz w:val="16"/>
              </w:rPr>
              <w:t>Total</w:t>
            </w:r>
          </w:p>
        </w:tc>
      </w:tr>
      <w:tr>
        <w:tc>
          <w:tcPr>
            <w:tcW w:type="dxa" w:w="2010"/>
          </w:tcPr>
          <w:p>
            <w:pPr>
              <w:jc w:val="center"/>
            </w:pPr>
            <w:r/>
            <w:r>
              <w:rPr>
                <w:rFonts w:ascii="Calibri" w:hAnsi="Calibri" w:cs="Calibri"/>
                <w:sz w:val="16"/>
              </w:rPr>
              <w:t>Normal</w:t>
            </w:r>
          </w:p>
        </w:tc>
        <w:tc>
          <w:tcPr>
            <w:tcW w:type="dxa" w:w="2010"/>
          </w:tcPr>
          <w:p>
            <w:pPr>
              <w:jc w:val="center"/>
            </w:pPr>
            <w:r/>
            <w:r>
              <w:rPr>
                <w:rFonts w:ascii="Calibri" w:hAnsi="Calibri" w:cs="Calibri"/>
                <w:sz w:val="16"/>
              </w:rPr>
              <w:t>1349</w:t>
            </w:r>
          </w:p>
        </w:tc>
        <w:tc>
          <w:tcPr>
            <w:tcW w:type="dxa" w:w="2010"/>
          </w:tcPr>
          <w:p>
            <w:pPr>
              <w:jc w:val="center"/>
            </w:pPr>
            <w:r/>
            <w:r>
              <w:rPr>
                <w:rFonts w:ascii="Calibri" w:hAnsi="Calibri" w:cs="Calibri"/>
                <w:sz w:val="16"/>
              </w:rPr>
              <w:t>170</w:t>
            </w:r>
          </w:p>
        </w:tc>
        <w:tc>
          <w:tcPr>
            <w:tcW w:type="dxa" w:w="2010"/>
          </w:tcPr>
          <w:p>
            <w:pPr>
              <w:jc w:val="center"/>
            </w:pPr>
            <w:r/>
            <w:r>
              <w:rPr>
                <w:rFonts w:ascii="Calibri" w:hAnsi="Calibri" w:cs="Calibri"/>
                <w:sz w:val="16"/>
              </w:rPr>
              <w:t>234</w:t>
            </w:r>
          </w:p>
        </w:tc>
        <w:tc>
          <w:tcPr>
            <w:tcW w:type="dxa" w:w="2010"/>
          </w:tcPr>
          <w:p>
            <w:pPr>
              <w:jc w:val="center"/>
            </w:pPr>
            <w:r/>
            <w:r>
              <w:rPr>
                <w:rFonts w:ascii="Calibri" w:hAnsi="Calibri" w:cs="Calibri"/>
                <w:sz w:val="16"/>
              </w:rPr>
              <w:t>1753</w:t>
            </w:r>
          </w:p>
        </w:tc>
      </w:tr>
      <w:tr>
        <w:tc>
          <w:tcPr>
            <w:tcW w:type="dxa" w:w="2010"/>
          </w:tcPr>
          <w:p>
            <w:pPr>
              <w:jc w:val="center"/>
            </w:pPr>
            <w:r/>
            <w:r>
              <w:rPr>
                <w:rFonts w:ascii="Calibri" w:hAnsi="Calibri" w:cs="Calibri"/>
                <w:sz w:val="16"/>
              </w:rPr>
              <w:t>Pneumonia</w:t>
            </w:r>
          </w:p>
        </w:tc>
        <w:tc>
          <w:tcPr>
            <w:tcW w:type="dxa" w:w="2010"/>
          </w:tcPr>
          <w:p>
            <w:pPr>
              <w:jc w:val="center"/>
            </w:pPr>
            <w:r/>
            <w:r>
              <w:rPr>
                <w:rFonts w:ascii="Calibri" w:hAnsi="Calibri" w:cs="Calibri"/>
                <w:sz w:val="16"/>
              </w:rPr>
              <w:t>3143</w:t>
            </w:r>
          </w:p>
        </w:tc>
        <w:tc>
          <w:tcPr>
            <w:tcW w:type="dxa" w:w="2010"/>
          </w:tcPr>
          <w:p>
            <w:pPr>
              <w:jc w:val="center"/>
            </w:pPr>
            <w:r/>
            <w:r>
              <w:rPr>
                <w:rFonts w:ascii="Calibri" w:hAnsi="Calibri" w:cs="Calibri"/>
                <w:sz w:val="16"/>
              </w:rPr>
              <w:t>394</w:t>
            </w:r>
          </w:p>
        </w:tc>
        <w:tc>
          <w:tcPr>
            <w:tcW w:type="dxa" w:w="2010"/>
          </w:tcPr>
          <w:p>
            <w:pPr>
              <w:jc w:val="center"/>
            </w:pPr>
            <w:r/>
            <w:r>
              <w:rPr>
                <w:rFonts w:ascii="Calibri" w:hAnsi="Calibri" w:cs="Calibri"/>
                <w:sz w:val="16"/>
              </w:rPr>
              <w:t>566</w:t>
            </w:r>
          </w:p>
        </w:tc>
        <w:tc>
          <w:tcPr>
            <w:tcW w:type="dxa" w:w="2010"/>
          </w:tcPr>
          <w:p>
            <w:pPr>
              <w:jc w:val="center"/>
            </w:pPr>
            <w:r/>
            <w:r>
              <w:rPr>
                <w:rFonts w:ascii="Calibri" w:hAnsi="Calibri" w:cs="Calibri"/>
                <w:sz w:val="16"/>
              </w:rPr>
              <w:t>4103</w:t>
            </w:r>
          </w:p>
        </w:tc>
      </w:tr>
      <w:tr>
        <w:tc>
          <w:tcPr>
            <w:tcW w:type="dxa" w:w="2010"/>
          </w:tcPr>
          <w:p>
            <w:pPr>
              <w:jc w:val="center"/>
            </w:pPr>
            <w:r/>
            <w:r>
              <w:rPr>
                <w:rFonts w:ascii="Calibri" w:hAnsi="Calibri" w:cs="Calibri"/>
                <w:sz w:val="16"/>
              </w:rPr>
              <w:t>Total</w:t>
            </w:r>
          </w:p>
        </w:tc>
        <w:tc>
          <w:tcPr>
            <w:tcW w:type="dxa" w:w="2010"/>
          </w:tcPr>
          <w:p>
            <w:pPr>
              <w:jc w:val="center"/>
            </w:pPr>
            <w:r/>
            <w:r>
              <w:rPr>
                <w:rFonts w:ascii="Calibri" w:hAnsi="Calibri" w:cs="Calibri"/>
                <w:sz w:val="16"/>
              </w:rPr>
              <w:t>4492</w:t>
            </w:r>
          </w:p>
        </w:tc>
        <w:tc>
          <w:tcPr>
            <w:tcW w:type="dxa" w:w="2010"/>
          </w:tcPr>
          <w:p>
            <w:pPr>
              <w:jc w:val="center"/>
            </w:pPr>
            <w:r/>
            <w:r>
              <w:rPr>
                <w:rFonts w:ascii="Calibri" w:hAnsi="Calibri" w:cs="Calibri"/>
                <w:sz w:val="16"/>
              </w:rPr>
              <w:t>564</w:t>
            </w:r>
          </w:p>
        </w:tc>
        <w:tc>
          <w:tcPr>
            <w:tcW w:type="dxa" w:w="2010"/>
          </w:tcPr>
          <w:p>
            <w:pPr>
              <w:jc w:val="center"/>
            </w:pPr>
            <w:r/>
            <w:r>
              <w:rPr>
                <w:rFonts w:ascii="Calibri" w:hAnsi="Calibri" w:cs="Calibri"/>
                <w:sz w:val="16"/>
              </w:rPr>
              <w:t>800</w:t>
            </w:r>
          </w:p>
        </w:tc>
        <w:tc>
          <w:tcPr>
            <w:tcW w:type="dxa" w:w="2010"/>
          </w:tcPr>
          <w:p>
            <w:pPr>
              <w:jc w:val="center"/>
            </w:pPr>
            <w:r/>
            <w:r>
              <w:rPr>
                <w:rFonts w:ascii="Calibri" w:hAnsi="Calibri" w:cs="Calibri"/>
                <w:sz w:val="16"/>
              </w:rPr>
              <w:t>5856</w:t>
            </w:r>
          </w:p>
        </w:tc>
      </w:tr>
    </w:tbl>
    <w:p>
      <w:pPr>
        <w:spacing w:before="0" w:after="0"/>
        <w:jc w:val="both"/>
      </w:pPr>
      <w:r>
        <w:rPr>
          <w:rFonts w:ascii="Calibri" w:hAnsi="Calibri" w:cs="Calibri"/>
          <w:sz w:val="20"/>
        </w:rPr>
        <w:t>Arsitektur model ditunjukkan pada Gambar berikut. Proses transfer learning terdiri dari tiga tahap:</w:t>
      </w:r>
    </w:p>
    <w:p>
      <w:pPr>
        <w:spacing w:before="60" w:after="60"/>
        <w:jc w:val="center"/>
      </w:pPr>
      <w:r>
        <w:rPr>
          <w:rFonts w:ascii="Calibri" w:hAnsi="Calibri" w:cs="Calibri"/>
          <w:i/>
          <w:color w:val="FF0000"/>
          <w:sz w:val="20"/>
        </w:rPr>
        <w:t>[PROMPT UNTUK AI GAMBAR: Arsitektur Transfer Learning CNN. Diagram alir arsitektur transfer learning CNN dengan input citra X-ray 224x224, backbone pretrained (ResNet-50 atau VGG-16), global average pooling, dense layer 512 dengan dropout 0.5, dan output layer softmax 2 kelas (normal/pneumonia)]</w:t>
      </w:r>
    </w:p>
    <w:p>
      <w:pPr>
        <w:spacing w:before="60" w:after="120"/>
        <w:jc w:val="center"/>
      </w:pPr>
      <w:r>
        <w:rPr>
          <w:rFonts w:ascii="Calibri" w:hAnsi="Calibri" w:cs="Calibri"/>
          <w:b/>
          <w:sz w:val="16"/>
        </w:rPr>
        <w:t xml:space="preserve">Fig. 1. </w:t>
      </w:r>
      <w:r>
        <w:rPr>
          <w:rFonts w:ascii="Calibri" w:hAnsi="Calibri" w:cs="Calibri"/>
          <w:sz w:val="16"/>
        </w:rPr>
        <w:t>Arsitektur Transfer Learning CNN</w:t>
      </w:r>
    </w:p>
    <w:p>
      <w:pPr>
        <w:spacing w:before="0" w:after="0"/>
        <w:jc w:val="both"/>
      </w:pPr>
      <w:r>
        <w:rPr>
          <w:rFonts w:ascii="Calibri" w:hAnsi="Calibri" w:cs="Calibri"/>
          <w:sz w:val="20"/>
        </w:rPr>
        <w:t>1) Feature extraction: membekukan semua layer konvolusi pretrained dan hanya melatih classifier head. 2) Partial fine-tuning: unfreezing 3 layer konvolusi terakhir. 3) Full fine-tuning: unfreezing seluruh layer dengan learning rate rendah.</w:t>
      </w:r>
    </w:p>
    <w:p>
      <w:pPr>
        <w:spacing w:before="0" w:after="0"/>
        <w:jc w:val="both"/>
      </w:pPr>
      <w:r>
        <w:rPr>
          <w:rFonts w:ascii="Calibri" w:hAnsi="Calibri" w:cs="Calibri"/>
          <w:sz w:val="20"/>
        </w:rPr>
        <w:t>Konfigurasi hyperparameter yang digunakan:</w:t>
      </w:r>
    </w:p>
    <w:p>
      <w:pPr>
        <w:spacing w:before="120" w:after="60"/>
        <w:jc w:val="center"/>
      </w:pPr>
      <w:r>
        <w:rPr>
          <w:rFonts w:ascii="Calibri" w:hAnsi="Calibri" w:cs="Calibri"/>
          <w:b/>
          <w:sz w:val="16"/>
        </w:rPr>
        <w:t xml:space="preserve">Table 2. </w:t>
      </w:r>
      <w:r>
        <w:rPr>
          <w:rFonts w:ascii="Calibri" w:hAnsi="Calibri" w:cs="Calibri"/>
          <w:sz w:val="16"/>
        </w:rPr>
        <w:t>Konfigurasi Hyperparameter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Parameter</w:t>
            </w:r>
          </w:p>
        </w:tc>
        <w:tc>
          <w:tcPr>
            <w:tcW w:type="dxa" w:w="2513"/>
          </w:tcPr>
          <w:p>
            <w:pPr>
              <w:jc w:val="center"/>
            </w:pPr>
            <w:r/>
            <w:r>
              <w:rPr>
                <w:rFonts w:ascii="Calibri" w:hAnsi="Calibri" w:cs="Calibri"/>
                <w:b/>
                <w:sz w:val="16"/>
              </w:rPr>
              <w:t>ResNet-50</w:t>
            </w:r>
          </w:p>
        </w:tc>
        <w:tc>
          <w:tcPr>
            <w:tcW w:type="dxa" w:w="2513"/>
          </w:tcPr>
          <w:p>
            <w:pPr>
              <w:jc w:val="center"/>
            </w:pPr>
            <w:r/>
            <w:r>
              <w:rPr>
                <w:rFonts w:ascii="Calibri" w:hAnsi="Calibri" w:cs="Calibri"/>
                <w:b/>
                <w:sz w:val="16"/>
              </w:rPr>
              <w:t>VGG-16</w:t>
            </w:r>
          </w:p>
        </w:tc>
        <w:tc>
          <w:tcPr>
            <w:tcW w:type="dxa" w:w="2513"/>
          </w:tcPr>
          <w:p>
            <w:pPr>
              <w:jc w:val="center"/>
            </w:pPr>
            <w:r/>
            <w:r>
              <w:rPr>
                <w:rFonts w:ascii="Calibri" w:hAnsi="Calibri" w:cs="Calibri"/>
                <w:b/>
                <w:sz w:val="16"/>
              </w:rPr>
              <w:t>CNN Scratch</w:t>
            </w:r>
          </w:p>
        </w:tc>
      </w:tr>
      <w:tr>
        <w:tc>
          <w:tcPr>
            <w:tcW w:type="dxa" w:w="2513"/>
          </w:tcPr>
          <w:p>
            <w:pPr>
              <w:jc w:val="center"/>
            </w:pPr>
            <w:r/>
            <w:r>
              <w:rPr>
                <w:rFonts w:ascii="Calibri" w:hAnsi="Calibri" w:cs="Calibri"/>
                <w:sz w:val="16"/>
              </w:rPr>
              <w:t>Learning Rate</w:t>
            </w:r>
          </w:p>
        </w:tc>
        <w:tc>
          <w:tcPr>
            <w:tcW w:type="dxa" w:w="2513"/>
          </w:tcPr>
          <w:p>
            <w:pPr>
              <w:jc w:val="center"/>
            </w:pPr>
            <w:r/>
            <w:r>
              <w:rPr>
                <w:rFonts w:ascii="Calibri" w:hAnsi="Calibri" w:cs="Calibri"/>
                <w:sz w:val="16"/>
              </w:rPr>
              <w:t>0.0001</w:t>
            </w:r>
          </w:p>
        </w:tc>
        <w:tc>
          <w:tcPr>
            <w:tcW w:type="dxa" w:w="2513"/>
          </w:tcPr>
          <w:p>
            <w:pPr>
              <w:jc w:val="center"/>
            </w:pPr>
            <w:r/>
            <w:r>
              <w:rPr>
                <w:rFonts w:ascii="Calibri" w:hAnsi="Calibri" w:cs="Calibri"/>
                <w:sz w:val="16"/>
              </w:rPr>
              <w:t>0.0001</w:t>
            </w:r>
          </w:p>
        </w:tc>
        <w:tc>
          <w:tcPr>
            <w:tcW w:type="dxa" w:w="2513"/>
          </w:tcPr>
          <w:p>
            <w:pPr>
              <w:jc w:val="center"/>
            </w:pPr>
            <w:r/>
            <w:r>
              <w:rPr>
                <w:rFonts w:ascii="Calibri" w:hAnsi="Calibri" w:cs="Calibri"/>
                <w:sz w:val="16"/>
              </w:rPr>
              <w:t>0.001</w:t>
            </w:r>
          </w:p>
        </w:tc>
      </w:tr>
      <w:tr>
        <w:tc>
          <w:tcPr>
            <w:tcW w:type="dxa" w:w="2513"/>
          </w:tcPr>
          <w:p>
            <w:pPr>
              <w:jc w:val="center"/>
            </w:pPr>
            <w:r/>
            <w:r>
              <w:rPr>
                <w:rFonts w:ascii="Calibri" w:hAnsi="Calibri" w:cs="Calibri"/>
                <w:sz w:val="16"/>
              </w:rPr>
              <w:t>Batch Size</w:t>
            </w:r>
          </w:p>
        </w:tc>
        <w:tc>
          <w:tcPr>
            <w:tcW w:type="dxa" w:w="2513"/>
          </w:tcPr>
          <w:p>
            <w:pPr>
              <w:jc w:val="center"/>
            </w:pPr>
            <w:r/>
            <w:r>
              <w:rPr>
                <w:rFonts w:ascii="Calibri" w:hAnsi="Calibri" w:cs="Calibri"/>
                <w:sz w:val="16"/>
              </w:rPr>
              <w:t>32</w:t>
            </w:r>
          </w:p>
        </w:tc>
        <w:tc>
          <w:tcPr>
            <w:tcW w:type="dxa" w:w="2513"/>
          </w:tcPr>
          <w:p>
            <w:pPr>
              <w:jc w:val="center"/>
            </w:pPr>
            <w:r/>
            <w:r>
              <w:rPr>
                <w:rFonts w:ascii="Calibri" w:hAnsi="Calibri" w:cs="Calibri"/>
                <w:sz w:val="16"/>
              </w:rPr>
              <w:t>32</w:t>
            </w:r>
          </w:p>
        </w:tc>
        <w:tc>
          <w:tcPr>
            <w:tcW w:type="dxa" w:w="2513"/>
          </w:tcPr>
          <w:p>
            <w:pPr>
              <w:jc w:val="center"/>
            </w:pPr>
            <w:r/>
            <w:r>
              <w:rPr>
                <w:rFonts w:ascii="Calibri" w:hAnsi="Calibri" w:cs="Calibri"/>
                <w:sz w:val="16"/>
              </w:rPr>
              <w:t>64</w:t>
            </w:r>
          </w:p>
        </w:tc>
      </w:tr>
      <w:tr>
        <w:tc>
          <w:tcPr>
            <w:tcW w:type="dxa" w:w="2513"/>
          </w:tcPr>
          <w:p>
            <w:pPr>
              <w:jc w:val="center"/>
            </w:pPr>
            <w:r/>
            <w:r>
              <w:rPr>
                <w:rFonts w:ascii="Calibri" w:hAnsi="Calibri" w:cs="Calibri"/>
                <w:sz w:val="16"/>
              </w:rPr>
              <w:t>Epochs</w:t>
            </w:r>
          </w:p>
        </w:tc>
        <w:tc>
          <w:tcPr>
            <w:tcW w:type="dxa" w:w="2513"/>
          </w:tcPr>
          <w:p>
            <w:pPr>
              <w:jc w:val="center"/>
            </w:pPr>
            <w:r/>
            <w:r>
              <w:rPr>
                <w:rFonts w:ascii="Calibri" w:hAnsi="Calibri" w:cs="Calibri"/>
                <w:sz w:val="16"/>
              </w:rPr>
              <w:t>50</w:t>
            </w:r>
          </w:p>
        </w:tc>
        <w:tc>
          <w:tcPr>
            <w:tcW w:type="dxa" w:w="2513"/>
          </w:tcPr>
          <w:p>
            <w:pPr>
              <w:jc w:val="center"/>
            </w:pPr>
            <w:r/>
            <w:r>
              <w:rPr>
                <w:rFonts w:ascii="Calibri" w:hAnsi="Calibri" w:cs="Calibri"/>
                <w:sz w:val="16"/>
              </w:rPr>
              <w:t>50</w:t>
            </w:r>
          </w:p>
        </w:tc>
        <w:tc>
          <w:tcPr>
            <w:tcW w:type="dxa" w:w="2513"/>
          </w:tcPr>
          <w:p>
            <w:pPr>
              <w:jc w:val="center"/>
            </w:pPr>
            <w:r/>
            <w:r>
              <w:rPr>
                <w:rFonts w:ascii="Calibri" w:hAnsi="Calibri" w:cs="Calibri"/>
                <w:sz w:val="16"/>
              </w:rPr>
              <w:t>100</w:t>
            </w:r>
          </w:p>
        </w:tc>
      </w:tr>
      <w:tr>
        <w:tc>
          <w:tcPr>
            <w:tcW w:type="dxa" w:w="2513"/>
          </w:tcPr>
          <w:p>
            <w:pPr>
              <w:jc w:val="center"/>
            </w:pPr>
            <w:r/>
            <w:r>
              <w:rPr>
                <w:rFonts w:ascii="Calibri" w:hAnsi="Calibri" w:cs="Calibri"/>
                <w:sz w:val="16"/>
              </w:rPr>
              <w:t>Optimizer</w:t>
            </w:r>
          </w:p>
        </w:tc>
        <w:tc>
          <w:tcPr>
            <w:tcW w:type="dxa" w:w="2513"/>
          </w:tcPr>
          <w:p>
            <w:pPr>
              <w:jc w:val="center"/>
            </w:pPr>
            <w:r/>
            <w:r>
              <w:rPr>
                <w:rFonts w:ascii="Calibri" w:hAnsi="Calibri" w:cs="Calibri"/>
                <w:sz w:val="16"/>
              </w:rPr>
              <w:t>Adam</w:t>
            </w:r>
          </w:p>
        </w:tc>
        <w:tc>
          <w:tcPr>
            <w:tcW w:type="dxa" w:w="2513"/>
          </w:tcPr>
          <w:p>
            <w:pPr>
              <w:jc w:val="center"/>
            </w:pPr>
            <w:r/>
            <w:r>
              <w:rPr>
                <w:rFonts w:ascii="Calibri" w:hAnsi="Calibri" w:cs="Calibri"/>
                <w:sz w:val="16"/>
              </w:rPr>
              <w:t>Adam</w:t>
            </w:r>
          </w:p>
        </w:tc>
        <w:tc>
          <w:tcPr>
            <w:tcW w:type="dxa" w:w="2513"/>
          </w:tcPr>
          <w:p>
            <w:pPr>
              <w:jc w:val="center"/>
            </w:pPr>
            <w:r/>
            <w:r>
              <w:rPr>
                <w:rFonts w:ascii="Calibri" w:hAnsi="Calibri" w:cs="Calibri"/>
                <w:sz w:val="16"/>
              </w:rPr>
              <w:t>SGD</w:t>
            </w:r>
          </w:p>
        </w:tc>
      </w:tr>
      <w:tr>
        <w:tc>
          <w:tcPr>
            <w:tcW w:type="dxa" w:w="2513"/>
          </w:tcPr>
          <w:p>
            <w:pPr>
              <w:jc w:val="center"/>
            </w:pPr>
            <w:r/>
            <w:r>
              <w:rPr>
                <w:rFonts w:ascii="Calibri" w:hAnsi="Calibri" w:cs="Calibri"/>
                <w:sz w:val="16"/>
              </w:rPr>
              <w:t>Dropout</w:t>
            </w:r>
          </w:p>
        </w:tc>
        <w:tc>
          <w:tcPr>
            <w:tcW w:type="dxa" w:w="2513"/>
          </w:tcPr>
          <w:p>
            <w:pPr>
              <w:jc w:val="center"/>
            </w:pPr>
            <w:r/>
            <w:r>
              <w:rPr>
                <w:rFonts w:ascii="Calibri" w:hAnsi="Calibri" w:cs="Calibri"/>
                <w:sz w:val="16"/>
              </w:rPr>
              <w:t>0.5</w:t>
            </w:r>
          </w:p>
        </w:tc>
        <w:tc>
          <w:tcPr>
            <w:tcW w:type="dxa" w:w="2513"/>
          </w:tcPr>
          <w:p>
            <w:pPr>
              <w:jc w:val="center"/>
            </w:pPr>
            <w:r/>
            <w:r>
              <w:rPr>
                <w:rFonts w:ascii="Calibri" w:hAnsi="Calibri" w:cs="Calibri"/>
                <w:sz w:val="16"/>
              </w:rPr>
              <w:t>0.5</w:t>
            </w:r>
          </w:p>
        </w:tc>
        <w:tc>
          <w:tcPr>
            <w:tcW w:type="dxa" w:w="2513"/>
          </w:tcPr>
          <w:p>
            <w:pPr>
              <w:jc w:val="center"/>
            </w:pPr>
            <w:r/>
            <w:r>
              <w:rPr>
                <w:rFonts w:ascii="Calibri" w:hAnsi="Calibri" w:cs="Calibri"/>
                <w:sz w:val="16"/>
              </w:rPr>
              <w:t>0.3</w:t>
            </w:r>
          </w:p>
        </w:tc>
      </w:tr>
      <w:tr>
        <w:tc>
          <w:tcPr>
            <w:tcW w:type="dxa" w:w="2513"/>
          </w:tcPr>
          <w:p>
            <w:pPr>
              <w:jc w:val="center"/>
            </w:pPr>
            <w:r/>
            <w:r>
              <w:rPr>
                <w:rFonts w:ascii="Calibri" w:hAnsi="Calibri" w:cs="Calibri"/>
                <w:sz w:val="16"/>
              </w:rPr>
              <w:t>Augmentasi</w:t>
            </w:r>
          </w:p>
        </w:tc>
        <w:tc>
          <w:tcPr>
            <w:tcW w:type="dxa" w:w="2513"/>
          </w:tcPr>
          <w:p>
            <w:pPr>
              <w:jc w:val="center"/>
            </w:pPr>
            <w:r/>
            <w:r>
              <w:rPr>
                <w:rFonts w:ascii="Calibri" w:hAnsi="Calibri" w:cs="Calibri"/>
                <w:sz w:val="16"/>
              </w:rPr>
              <w:t>Flip, Rotate, Zoom</w:t>
            </w:r>
          </w:p>
        </w:tc>
        <w:tc>
          <w:tcPr>
            <w:tcW w:type="dxa" w:w="2513"/>
          </w:tcPr>
          <w:p>
            <w:pPr>
              <w:jc w:val="center"/>
            </w:pPr>
            <w:r/>
            <w:r>
              <w:rPr>
                <w:rFonts w:ascii="Calibri" w:hAnsi="Calibri" w:cs="Calibri"/>
                <w:sz w:val="16"/>
              </w:rPr>
              <w:t>Flip, Rotate, Zoom</w:t>
            </w:r>
          </w:p>
        </w:tc>
        <w:tc>
          <w:tcPr>
            <w:tcW w:type="dxa" w:w="2513"/>
          </w:tcPr>
          <w:p>
            <w:pPr>
              <w:jc w:val="center"/>
            </w:pPr>
            <w:r/>
            <w:r>
              <w:rPr>
                <w:rFonts w:ascii="Calibri" w:hAnsi="Calibri" w:cs="Calibri"/>
                <w:sz w:val="16"/>
              </w:rPr>
              <w:t>Flip, Rotate</w:t>
            </w:r>
          </w:p>
        </w:tc>
      </w:tr>
    </w:tbl>
    <w:p>
      <w:pPr>
        <w:spacing w:before="0" w:after="0"/>
        <w:jc w:val="both"/>
      </w:pPr>
      <w:r>
        <w:rPr>
          <w:rFonts w:ascii="Calibri" w:hAnsi="Calibri" w:cs="Calibri"/>
          <w:sz w:val="20"/>
        </w:rPr>
        <w:t>Loss function yang digunakan adalah binary cross-entropy:</w:t>
      </w:r>
    </w:p>
    <w:p>
      <w:pPr>
        <w:spacing w:before="60" w:after="60"/>
        <w:jc w:val="center"/>
      </w:pPr>
      <w:r>
        <w:rPr>
          <w:rFonts w:ascii="Cambria Math" w:hAnsi="Cambria Math" w:cs="Cambria Math"/>
          <w:i/>
          <w:sz w:val="20"/>
        </w:rPr>
        <w:t>L = -(1/N)=1N[y_i (y_i) + (1-y_i)(1-y_i)]    (2)</w:t>
      </w:r>
    </w:p>
    <w:p>
      <w:pPr>
        <w:spacing w:before="60" w:after="60"/>
        <w:jc w:val="center"/>
      </w:pPr>
      <w:r>
        <w:rPr>
          <w:rFonts w:ascii="Calibri" w:hAnsi="Calibri" w:cs="Calibri"/>
          <w:i/>
          <w:color w:val="FF0000"/>
          <w:sz w:val="20"/>
        </w:rPr>
        <w:t>[PROMPT UNTUK AI GAMBAR: Proses Preprocessing Citra X-ray. Diagram proses preprocessing citra X-ray paru: input citra mentah -&gt; resize 224x224 -&gt; normalisasi pixel value ke range [0,1] -&gt; augmentasi data (random flip, rotation ±15°, zoom 0.8-1.2) -&gt; batch input ke model]</w:t>
      </w:r>
    </w:p>
    <w:p>
      <w:pPr>
        <w:spacing w:before="60" w:after="120"/>
        <w:jc w:val="center"/>
      </w:pPr>
      <w:r>
        <w:rPr>
          <w:rFonts w:ascii="Calibri" w:hAnsi="Calibri" w:cs="Calibri"/>
          <w:b/>
          <w:sz w:val="16"/>
        </w:rPr>
        <w:t xml:space="preserve">Fig. 2. </w:t>
      </w:r>
      <w:r>
        <w:rPr>
          <w:rFonts w:ascii="Calibri" w:hAnsi="Calibri" w:cs="Calibri"/>
          <w:sz w:val="16"/>
        </w:rPr>
        <w:t>Proses Preprocessing Citra X-ray</w:t>
      </w:r>
    </w:p>
    <w:p>
      <w:pPr>
        <w:spacing w:before="120" w:after="60"/>
        <w:jc w:val="left"/>
      </w:pPr>
      <w:r>
        <w:rPr>
          <w:rFonts w:ascii="Calibri" w:hAnsi="Calibri" w:cs="Calibri"/>
          <w:b/>
          <w:sz w:val="20"/>
        </w:rPr>
        <w:t>HASIL DAN PEMBAHASAN</w:t>
      </w:r>
    </w:p>
    <w:p>
      <w:pPr>
        <w:spacing w:before="0" w:after="0"/>
        <w:jc w:val="both"/>
      </w:pPr>
      <w:r>
        <w:rPr>
          <w:rFonts w:ascii="Calibri" w:hAnsi="Calibri" w:cs="Calibri"/>
          <w:sz w:val="20"/>
        </w:rPr>
        <w:t>Eksperimen dijalankan pada workstation dengan GPU NVIDIA RTX 3090 (24GB VRAM), RAM 64GB, dan framework PyTorch 2.0. Waktu training total untuk ketiga model dirangkum berikut:</w:t>
      </w:r>
    </w:p>
    <w:p>
      <w:pPr>
        <w:spacing w:before="120" w:after="60"/>
        <w:jc w:val="center"/>
      </w:pPr>
      <w:r>
        <w:rPr>
          <w:rFonts w:ascii="Calibri" w:hAnsi="Calibri" w:cs="Calibri"/>
          <w:b/>
          <w:sz w:val="16"/>
        </w:rPr>
        <w:t xml:space="preserve">Table 3. </w:t>
      </w:r>
      <w:r>
        <w:rPr>
          <w:rFonts w:ascii="Calibri" w:hAnsi="Calibri" w:cs="Calibri"/>
          <w:sz w:val="16"/>
        </w:rPr>
        <w:t>Perbandingan Performa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Model</w:t>
            </w:r>
          </w:p>
        </w:tc>
        <w:tc>
          <w:tcPr>
            <w:tcW w:type="dxa" w:w="1675"/>
          </w:tcPr>
          <w:p>
            <w:pPr>
              <w:jc w:val="center"/>
            </w:pPr>
            <w:r/>
            <w:r>
              <w:rPr>
                <w:rFonts w:ascii="Calibri" w:hAnsi="Calibri" w:cs="Calibri"/>
                <w:b/>
                <w:sz w:val="16"/>
              </w:rPr>
              <w:t>Akurasi (%)</w:t>
            </w:r>
          </w:p>
        </w:tc>
        <w:tc>
          <w:tcPr>
            <w:tcW w:type="dxa" w:w="1675"/>
          </w:tcPr>
          <w:p>
            <w:pPr>
              <w:jc w:val="center"/>
            </w:pPr>
            <w:r/>
            <w:r>
              <w:rPr>
                <w:rFonts w:ascii="Calibri" w:hAnsi="Calibri" w:cs="Calibri"/>
                <w:b/>
                <w:sz w:val="16"/>
              </w:rPr>
              <w:t>Precision</w:t>
            </w:r>
          </w:p>
        </w:tc>
        <w:tc>
          <w:tcPr>
            <w:tcW w:type="dxa" w:w="1675"/>
          </w:tcPr>
          <w:p>
            <w:pPr>
              <w:jc w:val="center"/>
            </w:pPr>
            <w:r/>
            <w:r>
              <w:rPr>
                <w:rFonts w:ascii="Calibri" w:hAnsi="Calibri" w:cs="Calibri"/>
                <w:b/>
                <w:sz w:val="16"/>
              </w:rPr>
              <w:t>Recall</w:t>
            </w:r>
          </w:p>
        </w:tc>
        <w:tc>
          <w:tcPr>
            <w:tcW w:type="dxa" w:w="1675"/>
          </w:tcPr>
          <w:p>
            <w:pPr>
              <w:jc w:val="center"/>
            </w:pPr>
            <w:r/>
            <w:r>
              <w:rPr>
                <w:rFonts w:ascii="Calibri" w:hAnsi="Calibri" w:cs="Calibri"/>
                <w:b/>
                <w:sz w:val="16"/>
              </w:rPr>
              <w:t>F1-Score</w:t>
            </w:r>
          </w:p>
        </w:tc>
        <w:tc>
          <w:tcPr>
            <w:tcW w:type="dxa" w:w="1675"/>
          </w:tcPr>
          <w:p>
            <w:pPr>
              <w:jc w:val="center"/>
            </w:pPr>
            <w:r/>
            <w:r>
              <w:rPr>
                <w:rFonts w:ascii="Calibri" w:hAnsi="Calibri" w:cs="Calibri"/>
                <w:b/>
                <w:sz w:val="16"/>
              </w:rPr>
              <w:t>Waktu Training</w:t>
            </w:r>
          </w:p>
        </w:tc>
      </w:tr>
      <w:tr>
        <w:tc>
          <w:tcPr>
            <w:tcW w:type="dxa" w:w="1675"/>
          </w:tcPr>
          <w:p>
            <w:pPr>
              <w:jc w:val="center"/>
            </w:pPr>
            <w:r/>
            <w:r>
              <w:rPr>
                <w:rFonts w:ascii="Calibri" w:hAnsi="Calibri" w:cs="Calibri"/>
                <w:sz w:val="16"/>
              </w:rPr>
              <w:t>CNN from Scratch</w:t>
            </w:r>
          </w:p>
        </w:tc>
        <w:tc>
          <w:tcPr>
            <w:tcW w:type="dxa" w:w="1675"/>
          </w:tcPr>
          <w:p>
            <w:pPr>
              <w:jc w:val="center"/>
            </w:pPr>
            <w:r/>
            <w:r>
              <w:rPr>
                <w:rFonts w:ascii="Calibri" w:hAnsi="Calibri" w:cs="Calibri"/>
                <w:sz w:val="16"/>
              </w:rPr>
              <w:t>88.4</w:t>
            </w:r>
          </w:p>
        </w:tc>
        <w:tc>
          <w:tcPr>
            <w:tcW w:type="dxa" w:w="1675"/>
          </w:tcPr>
          <w:p>
            <w:pPr>
              <w:jc w:val="center"/>
            </w:pPr>
            <w:r/>
            <w:r>
              <w:rPr>
                <w:rFonts w:ascii="Calibri" w:hAnsi="Calibri" w:cs="Calibri"/>
                <w:sz w:val="16"/>
              </w:rPr>
              <w:t>0.879</w:t>
            </w:r>
          </w:p>
        </w:tc>
        <w:tc>
          <w:tcPr>
            <w:tcW w:type="dxa" w:w="1675"/>
          </w:tcPr>
          <w:p>
            <w:pPr>
              <w:jc w:val="center"/>
            </w:pPr>
            <w:r/>
            <w:r>
              <w:rPr>
                <w:rFonts w:ascii="Calibri" w:hAnsi="Calibri" w:cs="Calibri"/>
                <w:sz w:val="16"/>
              </w:rPr>
              <w:t>0.892</w:t>
            </w:r>
          </w:p>
        </w:tc>
        <w:tc>
          <w:tcPr>
            <w:tcW w:type="dxa" w:w="1675"/>
          </w:tcPr>
          <w:p>
            <w:pPr>
              <w:jc w:val="center"/>
            </w:pPr>
            <w:r/>
            <w:r>
              <w:rPr>
                <w:rFonts w:ascii="Calibri" w:hAnsi="Calibri" w:cs="Calibri"/>
                <w:sz w:val="16"/>
              </w:rPr>
              <w:t>0.885</w:t>
            </w:r>
          </w:p>
        </w:tc>
        <w:tc>
          <w:tcPr>
            <w:tcW w:type="dxa" w:w="1675"/>
          </w:tcPr>
          <w:p>
            <w:pPr>
              <w:jc w:val="center"/>
            </w:pPr>
            <w:r/>
            <w:r>
              <w:rPr>
                <w:rFonts w:ascii="Calibri" w:hAnsi="Calibri" w:cs="Calibri"/>
                <w:sz w:val="16"/>
              </w:rPr>
              <w:t>48 jam</w:t>
            </w:r>
          </w:p>
        </w:tc>
      </w:tr>
      <w:tr>
        <w:tc>
          <w:tcPr>
            <w:tcW w:type="dxa" w:w="1675"/>
          </w:tcPr>
          <w:p>
            <w:pPr>
              <w:jc w:val="center"/>
            </w:pPr>
            <w:r/>
            <w:r>
              <w:rPr>
                <w:rFonts w:ascii="Calibri" w:hAnsi="Calibri" w:cs="Calibri"/>
                <w:sz w:val="16"/>
              </w:rPr>
              <w:t>VGG-16 (Transfer)</w:t>
            </w:r>
          </w:p>
        </w:tc>
        <w:tc>
          <w:tcPr>
            <w:tcW w:type="dxa" w:w="1675"/>
          </w:tcPr>
          <w:p>
            <w:pPr>
              <w:jc w:val="center"/>
            </w:pPr>
            <w:r/>
            <w:r>
              <w:rPr>
                <w:rFonts w:ascii="Calibri" w:hAnsi="Calibri" w:cs="Calibri"/>
                <w:sz w:val="16"/>
              </w:rPr>
              <w:t>93.8</w:t>
            </w:r>
          </w:p>
        </w:tc>
        <w:tc>
          <w:tcPr>
            <w:tcW w:type="dxa" w:w="1675"/>
          </w:tcPr>
          <w:p>
            <w:pPr>
              <w:jc w:val="center"/>
            </w:pPr>
            <w:r/>
            <w:r>
              <w:rPr>
                <w:rFonts w:ascii="Calibri" w:hAnsi="Calibri" w:cs="Calibri"/>
                <w:sz w:val="16"/>
              </w:rPr>
              <w:t>0.935</w:t>
            </w:r>
          </w:p>
        </w:tc>
        <w:tc>
          <w:tcPr>
            <w:tcW w:type="dxa" w:w="1675"/>
          </w:tcPr>
          <w:p>
            <w:pPr>
              <w:jc w:val="center"/>
            </w:pPr>
            <w:r/>
            <w:r>
              <w:rPr>
                <w:rFonts w:ascii="Calibri" w:hAnsi="Calibri" w:cs="Calibri"/>
                <w:sz w:val="16"/>
              </w:rPr>
              <w:t>0.941</w:t>
            </w:r>
          </w:p>
        </w:tc>
        <w:tc>
          <w:tcPr>
            <w:tcW w:type="dxa" w:w="1675"/>
          </w:tcPr>
          <w:p>
            <w:pPr>
              <w:jc w:val="center"/>
            </w:pPr>
            <w:r/>
            <w:r>
              <w:rPr>
                <w:rFonts w:ascii="Calibri" w:hAnsi="Calibri" w:cs="Calibri"/>
                <w:sz w:val="16"/>
              </w:rPr>
              <w:t>0.938</w:t>
            </w:r>
          </w:p>
        </w:tc>
        <w:tc>
          <w:tcPr>
            <w:tcW w:type="dxa" w:w="1675"/>
          </w:tcPr>
          <w:p>
            <w:pPr>
              <w:jc w:val="center"/>
            </w:pPr>
            <w:r/>
            <w:r>
              <w:rPr>
                <w:rFonts w:ascii="Calibri" w:hAnsi="Calibri" w:cs="Calibri"/>
                <w:sz w:val="16"/>
              </w:rPr>
              <w:t>8 jam</w:t>
            </w:r>
          </w:p>
        </w:tc>
      </w:tr>
      <w:tr>
        <w:tc>
          <w:tcPr>
            <w:tcW w:type="dxa" w:w="1675"/>
          </w:tcPr>
          <w:p>
            <w:pPr>
              <w:jc w:val="center"/>
            </w:pPr>
            <w:r/>
            <w:r>
              <w:rPr>
                <w:rFonts w:ascii="Calibri" w:hAnsi="Calibri" w:cs="Calibri"/>
                <w:sz w:val="16"/>
              </w:rPr>
              <w:t>ResNet-50 (Transfer)</w:t>
            </w:r>
          </w:p>
        </w:tc>
        <w:tc>
          <w:tcPr>
            <w:tcW w:type="dxa" w:w="1675"/>
          </w:tcPr>
          <w:p>
            <w:pPr>
              <w:jc w:val="center"/>
            </w:pPr>
            <w:r/>
            <w:r>
              <w:rPr>
                <w:rFonts w:ascii="Calibri" w:hAnsi="Calibri" w:cs="Calibri"/>
                <w:sz w:val="16"/>
              </w:rPr>
              <w:t>96.2</w:t>
            </w:r>
          </w:p>
        </w:tc>
        <w:tc>
          <w:tcPr>
            <w:tcW w:type="dxa" w:w="1675"/>
          </w:tcPr>
          <w:p>
            <w:pPr>
              <w:jc w:val="center"/>
            </w:pPr>
            <w:r/>
            <w:r>
              <w:rPr>
                <w:rFonts w:ascii="Calibri" w:hAnsi="Calibri" w:cs="Calibri"/>
                <w:sz w:val="16"/>
              </w:rPr>
              <w:t>0.958</w:t>
            </w:r>
          </w:p>
        </w:tc>
        <w:tc>
          <w:tcPr>
            <w:tcW w:type="dxa" w:w="1675"/>
          </w:tcPr>
          <w:p>
            <w:pPr>
              <w:jc w:val="center"/>
            </w:pPr>
            <w:r/>
            <w:r>
              <w:rPr>
                <w:rFonts w:ascii="Calibri" w:hAnsi="Calibri" w:cs="Calibri"/>
                <w:sz w:val="16"/>
              </w:rPr>
              <w:t>0.965</w:t>
            </w:r>
          </w:p>
        </w:tc>
        <w:tc>
          <w:tcPr>
            <w:tcW w:type="dxa" w:w="1675"/>
          </w:tcPr>
          <w:p>
            <w:pPr>
              <w:jc w:val="center"/>
            </w:pPr>
            <w:r/>
            <w:r>
              <w:rPr>
                <w:rFonts w:ascii="Calibri" w:hAnsi="Calibri" w:cs="Calibri"/>
                <w:sz w:val="16"/>
              </w:rPr>
              <w:t>0.961</w:t>
            </w:r>
          </w:p>
        </w:tc>
        <w:tc>
          <w:tcPr>
            <w:tcW w:type="dxa" w:w="1675"/>
          </w:tcPr>
          <w:p>
            <w:pPr>
              <w:jc w:val="center"/>
            </w:pPr>
            <w:r/>
            <w:r>
              <w:rPr>
                <w:rFonts w:ascii="Calibri" w:hAnsi="Calibri" w:cs="Calibri"/>
                <w:sz w:val="16"/>
              </w:rPr>
              <w:t>6 jam</w:t>
            </w:r>
          </w:p>
        </w:tc>
      </w:tr>
    </w:tbl>
    <w:p>
      <w:pPr>
        <w:spacing w:before="0" w:after="0"/>
        <w:jc w:val="both"/>
      </w:pPr>
      <w:r>
        <w:rPr>
          <w:rFonts w:ascii="Calibri" w:hAnsi="Calibri" w:cs="Calibri"/>
          <w:sz w:val="20"/>
        </w:rPr>
        <w:t>ResNet-50 dengan transfer learning mencapai akurasi tertinggi 96.2%, mengungguli VGG-16 (93.8%) dan model CNN yang dilatih dari awal (88.4%). Perbedaan akurasi 7.8% antara ResNet-50 dan CNN from-scratch menunjukkan bahwa representasi fitur yang dipelajari dari ImageNet sangat bermanfaat untuk domain medis.</w:t>
      </w:r>
    </w:p>
    <w:p>
      <w:pPr>
        <w:spacing w:before="60" w:after="60"/>
        <w:jc w:val="center"/>
      </w:pPr>
      <w:r>
        <w:rPr>
          <w:rFonts w:ascii="Calibri" w:hAnsi="Calibri" w:cs="Calibri"/>
          <w:i/>
          <w:color w:val="FF0000"/>
          <w:sz w:val="20"/>
        </w:rPr>
        <w:t>[PROMPT UNTUK AI GAMBAR: Kurva Loss Training dan Validation. Grafik dual-axis menunjukkan kurva loss (binary cross-entropy) terhadap epoch untuk training (garis biru solid menurun) dan validation (garis oranye dashed) dari 3 model: ResNet-50, VGG-16, dan CNN Scratch. Sumbu X: epoch 0-50, Sumbu Y: loss 0.0-1.0]</w:t>
      </w:r>
    </w:p>
    <w:p>
      <w:pPr>
        <w:spacing w:before="60" w:after="120"/>
        <w:jc w:val="center"/>
      </w:pPr>
      <w:r>
        <w:rPr>
          <w:rFonts w:ascii="Calibri" w:hAnsi="Calibri" w:cs="Calibri"/>
          <w:b/>
          <w:sz w:val="16"/>
        </w:rPr>
        <w:t xml:space="preserve">Fig. 3. </w:t>
      </w:r>
      <w:r>
        <w:rPr>
          <w:rFonts w:ascii="Calibri" w:hAnsi="Calibri" w:cs="Calibri"/>
          <w:sz w:val="16"/>
        </w:rPr>
        <w:t>Kurva Loss Training dan Validation</w:t>
      </w:r>
    </w:p>
    <w:p>
      <w:pPr>
        <w:spacing w:before="0" w:after="0"/>
        <w:jc w:val="both"/>
      </w:pPr>
      <w:r>
        <w:rPr>
          <w:rFonts w:ascii="Calibri" w:hAnsi="Calibri" w:cs="Calibri"/>
          <w:sz w:val="20"/>
        </w:rPr>
        <w:t>Kurva konvergensi menunjukkan ResNet-50 mencapai plateau lebih cepat (epoch 25) dibanding VGG-16 (epoch 35) dan CNN scratch (epoch 60). Hal ini mengindikasikan residual connection membantu optimasi yang lebih stabil.</w:t>
      </w:r>
    </w:p>
    <w:p>
      <w:pPr>
        <w:spacing w:before="60" w:after="60"/>
        <w:jc w:val="center"/>
      </w:pPr>
      <w:r>
        <w:rPr>
          <w:rFonts w:ascii="Calibri" w:hAnsi="Calibri" w:cs="Calibri"/>
          <w:i/>
          <w:color w:val="FF0000"/>
          <w:sz w:val="20"/>
        </w:rPr>
        <w:t>[PROMPT UNTUK AI GAMBAR: Confusion Matrix ResNet-50 pada Data Testing. Confusion matrix 2x2 untuk klasifikasi pneumonia. Baris: aktual (Normal, Pneumonia), Kolom: prediksi (Normal, Pneumonia). Nilai: TN=223, FP=11, FN=19, TP=547. Warna hijau untuk diagonal (benar), merah untuk off-diagonal (salah)]</w:t>
      </w:r>
    </w:p>
    <w:p>
      <w:pPr>
        <w:spacing w:before="60" w:after="120"/>
        <w:jc w:val="center"/>
      </w:pPr>
      <w:r>
        <w:rPr>
          <w:rFonts w:ascii="Calibri" w:hAnsi="Calibri" w:cs="Calibri"/>
          <w:b/>
          <w:sz w:val="16"/>
        </w:rPr>
        <w:t xml:space="preserve">Fig. 4. </w:t>
      </w:r>
      <w:r>
        <w:rPr>
          <w:rFonts w:ascii="Calibri" w:hAnsi="Calibri" w:cs="Calibri"/>
          <w:sz w:val="16"/>
        </w:rPr>
        <w:t>Confusion Matrix ResNet-50 pada Data Testing</w:t>
      </w:r>
    </w:p>
    <w:p>
      <w:pPr>
        <w:spacing w:before="0" w:after="0"/>
        <w:jc w:val="both"/>
      </w:pPr>
      <w:r>
        <w:rPr>
          <w:rFonts w:ascii="Calibri" w:hAnsi="Calibri" w:cs="Calibri"/>
          <w:sz w:val="20"/>
        </w:rPr>
        <w:t>Analisis confusion matrix menunjukkan sensitivitas (recall) 96.6% untuk deteksi pneumonia dan spesifisitas 95.3% untuk kelas normal. False negative (19 kasus) merupakan pneumonia yang terdeteksi sebagai normal — kasus yang paling kritis secara klinis.</w:t>
      </w:r>
    </w:p>
    <w:p>
      <w:pPr>
        <w:spacing w:before="60" w:after="60"/>
        <w:jc w:val="center"/>
      </w:pPr>
      <w:r>
        <w:rPr>
          <w:rFonts w:ascii="Calibri" w:hAnsi="Calibri" w:cs="Calibri"/>
          <w:i/>
          <w:color w:val="FF0000"/>
          <w:sz w:val="20"/>
        </w:rPr>
        <w:t>[PROMPT UNTUK AI GAMBAR: Visualisasi Grad-CAM pada Layer Konvolusi Terakhir. Panel 4 gambar berdampingan: (a) citra X-ray asli paru normal, (b) heatmap Grad-CAM overlay pada citra normal (area biru/hijau), (c) citra X-ray paru pneumonia, (d) heatmap Grad-CAM overlay pada citra pneumonia (area merah/kuning terpusat pada infiltrat)]</w:t>
      </w:r>
    </w:p>
    <w:p>
      <w:pPr>
        <w:spacing w:before="60" w:after="120"/>
        <w:jc w:val="center"/>
      </w:pPr>
      <w:r>
        <w:rPr>
          <w:rFonts w:ascii="Calibri" w:hAnsi="Calibri" w:cs="Calibri"/>
          <w:b/>
          <w:sz w:val="16"/>
        </w:rPr>
        <w:t xml:space="preserve">Fig. 5. </w:t>
      </w:r>
      <w:r>
        <w:rPr>
          <w:rFonts w:ascii="Calibri" w:hAnsi="Calibri" w:cs="Calibri"/>
          <w:sz w:val="16"/>
        </w:rPr>
        <w:t>Visualisasi Grad-CAM pada Layer Konvolusi Terakhir</w:t>
      </w:r>
    </w:p>
    <w:p>
      <w:pPr>
        <w:spacing w:before="0" w:after="0"/>
        <w:jc w:val="both"/>
      </w:pPr>
      <w:r>
        <w:rPr>
          <w:rFonts w:ascii="Calibri" w:hAnsi="Calibri" w:cs="Calibri"/>
          <w:sz w:val="20"/>
        </w:rPr>
        <w:t>Visualisasi Grad-CAM (Gradient-weighted Class Activation Mapping) menunjukkan bahwa model ResNet-50 memfokuskan perhatian pada area paru yang relevan secara klinis. Pada kasus pneumonia, heatmap terkonsentrasi pada daerah infiltrat dan konsolidasi, sesuai dengan area yang diperiksa radiolog.</w:t>
      </w:r>
    </w:p>
    <w:p>
      <w:pPr>
        <w:spacing w:before="0" w:after="0"/>
        <w:jc w:val="both"/>
      </w:pPr>
      <w:r>
        <w:rPr>
          <w:rFonts w:ascii="Calibri" w:hAnsi="Calibri" w:cs="Calibri"/>
          <w:sz w:val="20"/>
        </w:rPr>
        <w:t>Perbandingan dengan penelitian terdahulu:</w:t>
      </w:r>
    </w:p>
    <w:p>
      <w:pPr>
        <w:spacing w:before="120" w:after="60"/>
        <w:jc w:val="center"/>
      </w:pPr>
      <w:r>
        <w:rPr>
          <w:rFonts w:ascii="Calibri" w:hAnsi="Calibri" w:cs="Calibri"/>
          <w:b/>
          <w:sz w:val="16"/>
        </w:rPr>
        <w:t xml:space="preserve">Table 4. </w:t>
      </w:r>
      <w:r>
        <w:rPr>
          <w:rFonts w:ascii="Calibri" w:hAnsi="Calibri" w:cs="Calibri"/>
          <w:sz w:val="16"/>
        </w:rPr>
        <w:t>Perbandingan dengan Penelitian Terdahulu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0"/>
        <w:gridCol w:w="2010"/>
        <w:gridCol w:w="2010"/>
        <w:gridCol w:w="2010"/>
        <w:gridCol w:w="2010"/>
      </w:tblGrid>
      <w:tr>
        <w:tc>
          <w:tcPr>
            <w:tcW w:type="dxa" w:w="2010"/>
          </w:tcPr>
          <w:p>
            <w:pPr>
              <w:jc w:val="center"/>
            </w:pPr>
            <w:r/>
            <w:r>
              <w:rPr>
                <w:rFonts w:ascii="Calibri" w:hAnsi="Calibri" w:cs="Calibri"/>
                <w:b/>
                <w:sz w:val="16"/>
              </w:rPr>
              <w:t>Penelitian</w:t>
            </w:r>
          </w:p>
        </w:tc>
        <w:tc>
          <w:tcPr>
            <w:tcW w:type="dxa" w:w="2010"/>
          </w:tcPr>
          <w:p>
            <w:pPr>
              <w:jc w:val="center"/>
            </w:pPr>
            <w:r/>
            <w:r>
              <w:rPr>
                <w:rFonts w:ascii="Calibri" w:hAnsi="Calibri" w:cs="Calibri"/>
                <w:b/>
                <w:sz w:val="16"/>
              </w:rPr>
              <w:t>Arsitektur</w:t>
            </w:r>
          </w:p>
        </w:tc>
        <w:tc>
          <w:tcPr>
            <w:tcW w:type="dxa" w:w="2010"/>
          </w:tcPr>
          <w:p>
            <w:pPr>
              <w:jc w:val="center"/>
            </w:pPr>
            <w:r/>
            <w:r>
              <w:rPr>
                <w:rFonts w:ascii="Calibri" w:hAnsi="Calibri" w:cs="Calibri"/>
                <w:b/>
                <w:sz w:val="16"/>
              </w:rPr>
              <w:t>Dataset</w:t>
            </w:r>
          </w:p>
        </w:tc>
        <w:tc>
          <w:tcPr>
            <w:tcW w:type="dxa" w:w="2010"/>
          </w:tcPr>
          <w:p>
            <w:pPr>
              <w:jc w:val="center"/>
            </w:pPr>
            <w:r/>
            <w:r>
              <w:rPr>
                <w:rFonts w:ascii="Calibri" w:hAnsi="Calibri" w:cs="Calibri"/>
                <w:b/>
                <w:sz w:val="16"/>
              </w:rPr>
              <w:t>Akurasi (%)</w:t>
            </w:r>
          </w:p>
        </w:tc>
        <w:tc>
          <w:tcPr>
            <w:tcW w:type="dxa" w:w="2010"/>
          </w:tcPr>
          <w:p>
            <w:pPr>
              <w:jc w:val="center"/>
            </w:pPr>
            <w:r/>
            <w:r>
              <w:rPr>
                <w:rFonts w:ascii="Calibri" w:hAnsi="Calibri" w:cs="Calibri"/>
                <w:b/>
                <w:sz w:val="16"/>
              </w:rPr>
              <w:t>Metode</w:t>
            </w:r>
          </w:p>
        </w:tc>
      </w:tr>
      <w:tr>
        <w:tc>
          <w:tcPr>
            <w:tcW w:type="dxa" w:w="2010"/>
          </w:tcPr>
          <w:p>
            <w:pPr>
              <w:jc w:val="center"/>
            </w:pPr>
            <w:r/>
            <w:r>
              <w:rPr>
                <w:rFonts w:ascii="Calibri" w:hAnsi="Calibri" w:cs="Calibri"/>
                <w:sz w:val="16"/>
              </w:rPr>
              <w:t>Rajpurkar et al. [12]</w:t>
            </w:r>
          </w:p>
        </w:tc>
        <w:tc>
          <w:tcPr>
            <w:tcW w:type="dxa" w:w="2010"/>
          </w:tcPr>
          <w:p>
            <w:pPr>
              <w:jc w:val="center"/>
            </w:pPr>
            <w:r/>
            <w:r>
              <w:rPr>
                <w:rFonts w:ascii="Calibri" w:hAnsi="Calibri" w:cs="Calibri"/>
                <w:sz w:val="16"/>
              </w:rPr>
              <w:t>DenseNet-121</w:t>
            </w:r>
          </w:p>
        </w:tc>
        <w:tc>
          <w:tcPr>
            <w:tcW w:type="dxa" w:w="2010"/>
          </w:tcPr>
          <w:p>
            <w:pPr>
              <w:jc w:val="center"/>
            </w:pPr>
            <w:r/>
            <w:r>
              <w:rPr>
                <w:rFonts w:ascii="Calibri" w:hAnsi="Calibri" w:cs="Calibri"/>
                <w:sz w:val="16"/>
              </w:rPr>
              <w:t>ChestX-ray14</w:t>
            </w:r>
          </w:p>
        </w:tc>
        <w:tc>
          <w:tcPr>
            <w:tcW w:type="dxa" w:w="2010"/>
          </w:tcPr>
          <w:p>
            <w:pPr>
              <w:jc w:val="center"/>
            </w:pPr>
            <w:r/>
            <w:r>
              <w:rPr>
                <w:rFonts w:ascii="Calibri" w:hAnsi="Calibri" w:cs="Calibri"/>
                <w:sz w:val="16"/>
              </w:rPr>
              <w:t>84.1</w:t>
            </w:r>
          </w:p>
        </w:tc>
        <w:tc>
          <w:tcPr>
            <w:tcW w:type="dxa" w:w="2010"/>
          </w:tcPr>
          <w:p>
            <w:pPr>
              <w:jc w:val="center"/>
            </w:pPr>
            <w:r/>
            <w:r>
              <w:rPr>
                <w:rFonts w:ascii="Calibri" w:hAnsi="Calibri" w:cs="Calibri"/>
                <w:sz w:val="16"/>
              </w:rPr>
              <w:t>Training from scratch</w:t>
            </w:r>
          </w:p>
        </w:tc>
      </w:tr>
      <w:tr>
        <w:tc>
          <w:tcPr>
            <w:tcW w:type="dxa" w:w="2010"/>
          </w:tcPr>
          <w:p>
            <w:pPr>
              <w:jc w:val="center"/>
            </w:pPr>
            <w:r/>
            <w:r>
              <w:rPr>
                <w:rFonts w:ascii="Calibri" w:hAnsi="Calibri" w:cs="Calibri"/>
                <w:sz w:val="16"/>
              </w:rPr>
              <w:t>Wang et al. [13]</w:t>
            </w:r>
          </w:p>
        </w:tc>
        <w:tc>
          <w:tcPr>
            <w:tcW w:type="dxa" w:w="2010"/>
          </w:tcPr>
          <w:p>
            <w:pPr>
              <w:jc w:val="center"/>
            </w:pPr>
            <w:r/>
            <w:r>
              <w:rPr>
                <w:rFonts w:ascii="Calibri" w:hAnsi="Calibri" w:cs="Calibri"/>
                <w:sz w:val="16"/>
              </w:rPr>
              <w:t>Ensemble (8 model)</w:t>
            </w:r>
          </w:p>
        </w:tc>
        <w:tc>
          <w:tcPr>
            <w:tcW w:type="dxa" w:w="2010"/>
          </w:tcPr>
          <w:p>
            <w:pPr>
              <w:jc w:val="center"/>
            </w:pPr>
            <w:r/>
            <w:r>
              <w:rPr>
                <w:rFonts w:ascii="Calibri" w:hAnsi="Calibri" w:cs="Calibri"/>
                <w:sz w:val="16"/>
              </w:rPr>
              <w:t>ChestX-ray14</w:t>
            </w:r>
          </w:p>
        </w:tc>
        <w:tc>
          <w:tcPr>
            <w:tcW w:type="dxa" w:w="2010"/>
          </w:tcPr>
          <w:p>
            <w:pPr>
              <w:jc w:val="center"/>
            </w:pPr>
            <w:r/>
            <w:r>
              <w:rPr>
                <w:rFonts w:ascii="Calibri" w:hAnsi="Calibri" w:cs="Calibri"/>
                <w:sz w:val="16"/>
              </w:rPr>
              <w:t>82.9</w:t>
            </w:r>
          </w:p>
        </w:tc>
        <w:tc>
          <w:tcPr>
            <w:tcW w:type="dxa" w:w="2010"/>
          </w:tcPr>
          <w:p>
            <w:pPr>
              <w:jc w:val="center"/>
            </w:pPr>
            <w:r/>
            <w:r>
              <w:rPr>
                <w:rFonts w:ascii="Calibri" w:hAnsi="Calibri" w:cs="Calibri"/>
                <w:sz w:val="16"/>
              </w:rPr>
              <w:t>Ensemble learning</w:t>
            </w:r>
          </w:p>
        </w:tc>
      </w:tr>
      <w:tr>
        <w:tc>
          <w:tcPr>
            <w:tcW w:type="dxa" w:w="2010"/>
          </w:tcPr>
          <w:p>
            <w:pPr>
              <w:jc w:val="center"/>
            </w:pPr>
            <w:r/>
            <w:r>
              <w:rPr>
                <w:rFonts w:ascii="Calibri" w:hAnsi="Calibri" w:cs="Calibri"/>
                <w:sz w:val="16"/>
              </w:rPr>
              <w:t>Penelitian ini</w:t>
            </w:r>
          </w:p>
        </w:tc>
        <w:tc>
          <w:tcPr>
            <w:tcW w:type="dxa" w:w="2010"/>
          </w:tcPr>
          <w:p>
            <w:pPr>
              <w:jc w:val="center"/>
            </w:pPr>
            <w:r/>
            <w:r>
              <w:rPr>
                <w:rFonts w:ascii="Calibri" w:hAnsi="Calibri" w:cs="Calibri"/>
                <w:sz w:val="16"/>
              </w:rPr>
              <w:t>ResNet-50</w:t>
            </w:r>
          </w:p>
        </w:tc>
        <w:tc>
          <w:tcPr>
            <w:tcW w:type="dxa" w:w="2010"/>
          </w:tcPr>
          <w:p>
            <w:pPr>
              <w:jc w:val="center"/>
            </w:pPr>
            <w:r/>
            <w:r>
              <w:rPr>
                <w:rFonts w:ascii="Calibri" w:hAnsi="Calibri" w:cs="Calibri"/>
                <w:sz w:val="16"/>
              </w:rPr>
              <w:t>ChestX-ray subset</w:t>
            </w:r>
          </w:p>
        </w:tc>
        <w:tc>
          <w:tcPr>
            <w:tcW w:type="dxa" w:w="2010"/>
          </w:tcPr>
          <w:p>
            <w:pPr>
              <w:jc w:val="center"/>
            </w:pPr>
            <w:r/>
            <w:r>
              <w:rPr>
                <w:rFonts w:ascii="Calibri" w:hAnsi="Calibri" w:cs="Calibri"/>
                <w:sz w:val="16"/>
              </w:rPr>
              <w:t>96.2</w:t>
            </w:r>
          </w:p>
        </w:tc>
        <w:tc>
          <w:tcPr>
            <w:tcW w:type="dxa" w:w="2010"/>
          </w:tcPr>
          <w:p>
            <w:pPr>
              <w:jc w:val="center"/>
            </w:pPr>
            <w:r/>
            <w:r>
              <w:rPr>
                <w:rFonts w:ascii="Calibri" w:hAnsi="Calibri" w:cs="Calibri"/>
                <w:sz w:val="16"/>
              </w:rPr>
              <w:t>Transfer learning + fine-tuning</w:t>
            </w:r>
          </w:p>
        </w:tc>
      </w:tr>
    </w:tbl>
    <w:p>
      <w:pPr>
        <w:spacing w:before="0" w:after="0"/>
        <w:jc w:val="both"/>
      </w:pPr>
      <w:r>
        <w:rPr>
          <w:rFonts w:ascii="Calibri" w:hAnsi="Calibri" w:cs="Calibri"/>
          <w:sz w:val="20"/>
        </w:rPr>
        <w:t>Akurasi 96.2% yang dicapai melebihi beberapa baseline terdahulu. Namun perlu dicatat bahwa perbandingan langsung sulit karena perbedaan dataset, jumlah kelas, dan protokol evaluasi. Dataset yang lebih kecil namun homogen memungkinkan akurasi lebih tinggi dibanding dataset heterogen yang lebih besar.</w:t>
      </w:r>
    </w:p>
    <w:p>
      <w:pPr>
        <w:spacing w:before="120" w:after="60"/>
        <w:jc w:val="left"/>
      </w:pPr>
      <w:r>
        <w:rPr>
          <w:rFonts w:ascii="Calibri" w:hAnsi="Calibri" w:cs="Calibri"/>
          <w:b/>
          <w:sz w:val="20"/>
        </w:rPr>
        <w:t>KESIMPULAN</w:t>
      </w:r>
    </w:p>
    <w:p>
      <w:pPr>
        <w:spacing w:before="0" w:after="0"/>
        <w:jc w:val="both"/>
      </w:pPr>
      <w:r>
        <w:rPr>
          <w:rFonts w:ascii="Calibri" w:hAnsi="Calibri" w:cs="Calibri"/>
          <w:sz w:val="20"/>
        </w:rPr>
        <w:t>Penelitian ini menunjukkan bahwa transfer learning dengan arsitektur ResNet-50 mencapai akurasi 96.2% untuk klasifikasi citra X-ray paru, mengungguli VGG-16 (93.8%) dan CNN from-scratch (88.4%). Fine-tuning pada 3 layer terakhir dengan learning rate rendah (0.0001) memberikan keseimbangan optimal antara akurasi dan waktu komputasi. Waktu training berkurang dari 48 jam menjadi hanya 6 jam.</w:t>
      </w:r>
    </w:p>
    <w:p>
      <w:pPr>
        <w:spacing w:before="0" w:after="0"/>
        <w:jc w:val="both"/>
      </w:pPr>
      <w:r>
        <w:rPr>
          <w:rFonts w:ascii="Calibri" w:hAnsi="Calibri" w:cs="Calibri"/>
          <w:sz w:val="20"/>
        </w:rPr>
        <w:t>Untuk pengembangan selanjutnya, kami menyarankan: (1) eksplorasi arsitektur EfficientNet [14] yang lebih efisien, (2) penerapan pada dataset multi-kelas (14 patologi), dan (3) integrasi dengan sistem CAD (Computer-Aided Diagnosis) untuk deployment klinis.</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[1] Y. LeCun, Y. Bengio, and G. Hinton, "Deep learning," Nature, vol. 521, pp. 436-444, 2015.</w:t>
      </w:r>
    </w:p>
    <w:p>
      <w:pPr>
        <w:spacing w:before="0" w:after="0"/>
        <w:jc w:val="both"/>
        <w:ind w:left="360" w:hanging="360"/>
      </w:pPr>
      <w:r>
        <w:rPr>
          <w:rFonts w:ascii="Calibri" w:hAnsi="Calibri" w:cs="Calibri"/>
          <w:sz w:val="16"/>
        </w:rPr>
        <w:t>[2] [2] A. Esteva et al., "Dermatologist-level classification of skin cancer with deep neural networks," Nature, vol. 542, pp. 115-118, 2017.</w:t>
      </w:r>
    </w:p>
    <w:p>
      <w:pPr>
        <w:spacing w:before="0" w:after="0"/>
        <w:jc w:val="both"/>
        <w:ind w:left="360" w:hanging="360"/>
      </w:pPr>
      <w:r>
        <w:rPr>
          <w:rFonts w:ascii="Calibri" w:hAnsi="Calibri" w:cs="Calibri"/>
          <w:sz w:val="16"/>
        </w:rPr>
        <w:t>[3] [3] V. Gulshan et al., "Development and validation of a deep learning algorithm for detection of diabetic retinopathy," JAMA, vol. 316, pp. 2402-2410, 2016.</w:t>
      </w:r>
    </w:p>
    <w:p>
      <w:pPr>
        <w:spacing w:before="0" w:after="0"/>
        <w:jc w:val="both"/>
        <w:ind w:left="360" w:hanging="360"/>
      </w:pPr>
      <w:r>
        <w:rPr>
          <w:rFonts w:ascii="Calibri" w:hAnsi="Calibri" w:cs="Calibri"/>
          <w:sz w:val="16"/>
        </w:rPr>
        <w:t>[4] [4] G. Litjens et al., "A survey on deep learning in medical image analysis," Medical Image Analysis, vol. 42, pp. 60-88, 2017.</w:t>
      </w:r>
    </w:p>
    <w:p>
      <w:pPr>
        <w:spacing w:before="0" w:after="0"/>
        <w:jc w:val="both"/>
        <w:ind w:left="360" w:hanging="360"/>
      </w:pPr>
      <w:r>
        <w:rPr>
          <w:rFonts w:ascii="Calibri" w:hAnsi="Calibri" w:cs="Calibri"/>
          <w:sz w:val="16"/>
        </w:rPr>
        <w:t>[5] [5] J. Deng et al., "ImageNet: A large-scale hierarchical image database," in CVPR, 2009, pp. 248-255.</w:t>
      </w:r>
    </w:p>
    <w:p>
      <w:pPr>
        <w:spacing w:before="0" w:after="0"/>
        <w:jc w:val="both"/>
        <w:ind w:left="360" w:hanging="360"/>
      </w:pPr>
      <w:r>
        <w:rPr>
          <w:rFonts w:ascii="Calibri" w:hAnsi="Calibri" w:cs="Calibri"/>
          <w:sz w:val="16"/>
        </w:rPr>
        <w:t>[6] [6] K. He, X. Zhang, S. Ren, and J. Sun, "Deep residual learning for image recognition," in CVPR, 2016, pp. 770-778.</w:t>
      </w:r>
    </w:p>
    <w:p>
      <w:pPr>
        <w:spacing w:before="0" w:after="0"/>
        <w:jc w:val="both"/>
        <w:ind w:left="360" w:hanging="360"/>
      </w:pPr>
      <w:r>
        <w:rPr>
          <w:rFonts w:ascii="Calibri" w:hAnsi="Calibri" w:cs="Calibri"/>
          <w:sz w:val="16"/>
        </w:rPr>
        <w:t>[7] [7] K. Simonyan and A. Zisserman, "Very deep convolutional networks for large-scale image recognition," arXiv:1409.1556, 2014.</w:t>
      </w:r>
    </w:p>
    <w:p>
      <w:pPr>
        <w:spacing w:before="0" w:after="0"/>
        <w:jc w:val="both"/>
        <w:ind w:left="360" w:hanging="360"/>
      </w:pPr>
      <w:r>
        <w:rPr>
          <w:rFonts w:ascii="Calibri" w:hAnsi="Calibri" w:cs="Calibri"/>
          <w:sz w:val="16"/>
        </w:rPr>
        <w:t>[8] [8] S. J. Pan and Q. Yang, "A survey on transfer learning," IEEE TKDE, vol. 22, pp. 1345-1359, 2010.</w:t>
      </w:r>
    </w:p>
    <w:p>
      <w:pPr>
        <w:spacing w:before="0" w:after="0"/>
        <w:jc w:val="both"/>
        <w:ind w:left="360" w:hanging="360"/>
      </w:pPr>
      <w:r>
        <w:rPr>
          <w:rFonts w:ascii="Calibri" w:hAnsi="Calibri" w:cs="Calibri"/>
          <w:sz w:val="16"/>
        </w:rPr>
        <w:t>[9] [9] X. Wang et al., "ChestX-ray8: Hospital-scale chest X-ray database and benchmarks," in CVPR, 2017, pp. 2097-2106.</w:t>
      </w:r>
    </w:p>
    <w:p>
      <w:pPr>
        <w:spacing w:before="0" w:after="0"/>
        <w:jc w:val="both"/>
        <w:ind w:left="360" w:hanging="360"/>
      </w:pPr>
      <w:r>
        <w:rPr>
          <w:rFonts w:ascii="Calibri" w:hAnsi="Calibri" w:cs="Calibri"/>
          <w:sz w:val="16"/>
        </w:rPr>
        <w:t>[10] [10] A. Krizhevsky, I. Sutskever, and G. E. Hinton, "ImageNet classification with deep convolutional neural networks," in NeurIPS, 2012, pp. 1097-1105.</w:t>
      </w:r>
    </w:p>
    <w:p>
      <w:pPr>
        <w:spacing w:before="0" w:after="0"/>
        <w:jc w:val="both"/>
        <w:ind w:left="360" w:hanging="360"/>
      </w:pPr>
      <w:r>
        <w:rPr>
          <w:rFonts w:ascii="Calibri" w:hAnsi="Calibri" w:cs="Calibri"/>
          <w:sz w:val="16"/>
        </w:rPr>
        <w:t>[11] [11] Y. LeCun et al., "Gradient-based learning applied to document recognition," Proceedings of the IEEE, vol. 86, pp. 2278-2324, 1998.</w:t>
      </w:r>
    </w:p>
    <w:p>
      <w:pPr>
        <w:spacing w:before="0" w:after="0"/>
        <w:jc w:val="both"/>
        <w:ind w:left="360" w:hanging="360"/>
      </w:pPr>
      <w:r>
        <w:rPr>
          <w:rFonts w:ascii="Calibri" w:hAnsi="Calibri" w:cs="Calibri"/>
          <w:sz w:val="16"/>
        </w:rPr>
        <w:t>[12] [12] P. Rajpurkar et al., "CheXNet: Radiologist-level pneumonia detection on chest X-rays with deep learning," arXiv:1711.05225, 2017.</w:t>
      </w:r>
    </w:p>
    <w:p>
      <w:pPr>
        <w:spacing w:before="0" w:after="0"/>
        <w:jc w:val="both"/>
        <w:ind w:left="360" w:hanging="360"/>
      </w:pPr>
      <w:r>
        <w:rPr>
          <w:rFonts w:ascii="Calibri" w:hAnsi="Calibri" w:cs="Calibri"/>
          <w:sz w:val="16"/>
        </w:rPr>
        <w:t>[13] [13] X. Wang et al., "Toward deep learning for automated medical image analysis," Medical Image Analysis, vol. 47, pp. 1-12, 2018.</w:t>
      </w:r>
    </w:p>
    <w:p>
      <w:pPr>
        <w:spacing w:before="0" w:after="0"/>
        <w:jc w:val="both"/>
        <w:ind w:left="360" w:hanging="360"/>
      </w:pPr>
      <w:r>
        <w:rPr>
          <w:rFonts w:ascii="Calibri" w:hAnsi="Calibri" w:cs="Calibri"/>
          <w:sz w:val="16"/>
        </w:rPr>
        <w:t>[14] [14] M. Tan and Q. V. Le, "EfficientNet: Rethinking model scaling for convolutional neural networks," in ICML, 2019, pp. 6105-6114.</w:t>
      </w: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