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Schoolbook-bold.ttf" ContentType="application/x-font-ttf"/>
  <Override PartName="/word/fonts/CenturySchoolbook-boldItalic.ttf" ContentType="application/x-font-ttf"/>
  <Override PartName="/word/fonts/CenturySchoolbook-italic.ttf" ContentType="application/x-font-ttf"/>
  <Override PartName="/word/fonts/CenturySchoolbook-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spacing w:after="0" w:before="0" w:line="240" w:lineRule="auto"/>
        <w:jc w:val="center"/>
        <w:rPr>
          <w:rFonts w:ascii="Times New Roman" w:cs="Times New Roman" w:eastAsia="Times New Roman" w:hAnsi="Times New Roman"/>
          <w:sz w:val="28"/>
          <w:szCs w:val="28"/>
        </w:rPr>
      </w:pPr>
      <w:r>
        <w:rPr>
          <w:rFonts w:ascii="Times New Roman" w:cs="Times New Roman" w:eastAsia="Times New Roman" w:hAnsi="Times New Roman"/>
          <w:sz w:val="28"/>
          <w:szCs w:val="28"/>
          <w:rtl w:val="0"/>
        </w:rPr>
        <w:t>GestPLC: Real-Time Hand Gesture Recognition for PLC Control using MediaPipe and Modbus TCP for Industry 4.0 Applications</w:t>
      </w:r>
    </w:p>
    <w:p>
      <w:pPr>
        <w:spacing w:after="0" w:before="0" w:line="240" w:lineRule="auto"/>
        <w:jc w:val="center"/>
        <w:rPr>
          <w:b w:val="1"/>
          <w:bCs w:val="1"/>
          <w:color w:val="000000"/>
          <w:sz w:val="28"/>
          <w:szCs w:val="28"/>
        </w:rPr>
      </w:pPr>
    </w:p>
    <w:p>
      <w:pPr>
        <w:pStyle w:val="Heading1"/>
        <w:spacing w:after="0" w:before="0" w:line="240" w:lineRule="auto"/>
        <w:jc w:val="center"/>
        <w:rPr>
          <w:rFonts w:ascii="Times New Roman" w:cs="Times New Roman" w:eastAsia="Times New Roman" w:hAnsi="Times New Roman"/>
          <w:i w:val="1"/>
          <w:iCs w:val="1"/>
          <w:sz w:val="28"/>
          <w:szCs w:val="28"/>
        </w:rPr>
      </w:pPr>
      <w:r>
        <w:rPr>
          <w:rFonts w:ascii="Times New Roman" w:cs="Times New Roman" w:eastAsia="Times New Roman" w:hAnsi="Times New Roman"/>
          <w:i w:val="1"/>
          <w:iCs w:val="1"/>
          <w:sz w:val="28"/>
          <w:szCs w:val="28"/>
          <w:rtl w:val="0"/>
        </w:rPr>
        <w:t>GestPLC: Real-Time Hand Gesture Recognition for PLC Control using MediaPipe and Modbus TCP for Industry 4.0 Applications</w:t>
      </w:r>
    </w:p>
    <w:p>
      <w:pPr>
        <w:spacing w:after="0" w:before="0" w:line="240" w:lineRule="auto"/>
        <w:jc w:val="center"/>
        <w:rPr>
          <w:b w:val="1"/>
          <w:bCs w:val="1"/>
          <w:color w:val="000000"/>
          <w:sz w:val="28"/>
          <w:szCs w:val="28"/>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Rofiq Cahyo Prayogo</w:t>
      </w:r>
      <w:r>
        <w:rPr>
          <w:rFonts w:ascii="Times New Roman" w:cs="Times New Roman" w:eastAsia="Times New Roman" w:hAnsi="Times New Roman"/>
          <w:b w:val="1"/>
          <w:bCs w:val="1"/>
          <w:i w:val="0"/>
          <w:iCs w:val="0"/>
          <w:smallCaps w:val="0"/>
          <w:strike w:val="0"/>
          <w:color w:val="000000"/>
          <w:sz w:val="22"/>
          <w:szCs w:val="22"/>
          <w:u w:val="none"/>
          <w:shd w:fill="auto" w:val="clear"/>
          <w:vertAlign w:val="superscript"/>
          <w:rtl w:val="0"/>
        </w:rPr>
        <w:t>1</w:t>
      </w: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Ahmad Ridlo Hanifudin Tahier</w:t>
      </w:r>
      <w:r>
        <w:rPr>
          <w:rFonts w:ascii="Times New Roman" w:cs="Times New Roman" w:eastAsia="Times New Roman" w:hAnsi="Times New Roman"/>
          <w:b w:val="1"/>
          <w:bCs w:val="1"/>
          <w:i w:val="0"/>
          <w:iCs w:val="0"/>
          <w:smallCaps w:val="0"/>
          <w:strike w:val="0"/>
          <w:color w:val="000000"/>
          <w:sz w:val="22"/>
          <w:szCs w:val="22"/>
          <w:u w:val="none"/>
          <w:shd w:fill="auto" w:val="clear"/>
          <w:vertAlign w:val="superscript"/>
          <w:rtl w:val="0"/>
        </w:rPr>
        <w:t>2</w:t>
      </w: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Munadi</w:t>
      </w:r>
      <w:r>
        <w:rPr>
          <w:rFonts w:ascii="Times New Roman" w:cs="Times New Roman" w:eastAsia="Times New Roman" w:hAnsi="Times New Roman"/>
          <w:b w:val="1"/>
          <w:bCs w:val="1"/>
          <w:i w:val="0"/>
          <w:iCs w:val="0"/>
          <w:smallCaps w:val="0"/>
          <w:strike w:val="0"/>
          <w:color w:val="000000"/>
          <w:sz w:val="22"/>
          <w:szCs w:val="22"/>
          <w:u w:val="none"/>
          <w:shd w:fill="auto" w:val="clear"/>
          <w:vertAlign w:val="superscript"/>
          <w:rtl w:val="0"/>
        </w:rPr>
        <w:t>3</w:t>
      </w:r>
    </w:p>
    <w:p>
      <w:pPr>
        <w:spacing w:after="0" w:before="0" w:line="240" w:lineRule="auto"/>
        <w:jc w:val="center"/>
        <w:rPr>
          <w:sz w:val="20"/>
          <w:szCs w:val="20"/>
        </w:rPr>
      </w:pPr>
      <w:r>
        <w:rPr>
          <w:sz w:val="20"/>
          <w:szCs w:val="20"/>
          <w:vertAlign w:val="superscript"/>
          <w:rtl w:val="0"/>
        </w:rPr>
        <w:t>1,2</w:t>
      </w:r>
      <w:r>
        <w:rPr>
          <w:sz w:val="20"/>
          <w:szCs w:val="20"/>
          <w:vertAlign w:val="superscript"/>
          <w:rtl w:val="0"/>
        </w:rPr>
        <w:t xml:space="preserve"> </w:t>
      </w:r>
      <w:r>
        <w:rPr>
          <w:sz w:val="20"/>
          <w:szCs w:val="20"/>
          <w:rtl w:val="0"/>
        </w:rPr>
        <w:t>Automation Engineering, Diponegoro University, Semarang, Indonesia</w:t>
      </w:r>
    </w:p>
    <w:p>
      <w:pPr>
        <w:spacing w:after="0" w:before="0" w:line="240" w:lineRule="auto"/>
        <w:jc w:val="center"/>
        <w:rPr>
          <w:sz w:val="20"/>
          <w:szCs w:val="20"/>
        </w:rPr>
      </w:pPr>
      <w:r>
        <w:rPr>
          <w:sz w:val="20"/>
          <w:szCs w:val="20"/>
          <w:vertAlign w:val="superscript"/>
          <w:rtl w:val="0"/>
        </w:rPr>
        <w:t>3</w:t>
      </w:r>
      <w:r>
        <w:rPr>
          <w:sz w:val="20"/>
          <w:szCs w:val="20"/>
          <w:vertAlign w:val="superscript"/>
          <w:rtl w:val="0"/>
        </w:rPr>
        <w:t xml:space="preserve"> </w:t>
      </w:r>
      <w:r>
        <w:rPr>
          <w:sz w:val="20"/>
          <w:szCs w:val="20"/>
          <w:rtl w:val="0"/>
        </w:rPr>
        <w:t>Mechanical Engineering, Diponegoro University, Semarang, Indonesia</w:t>
      </w:r>
    </w:p>
    <w:p>
      <w:pPr>
        <w:spacing w:after="0" w:before="0" w:line="240" w:lineRule="auto"/>
        <w:jc w:val="center"/>
        <w:rPr>
          <w:sz w:val="20"/>
          <w:szCs w:val="20"/>
        </w:rPr>
      </w:pPr>
      <w:r>
        <w:rPr>
          <w:sz w:val="20"/>
          <w:szCs w:val="20"/>
          <w:rtl w:val="0"/>
        </w:rPr>
        <w:t>rofiqotomasi@lecturer.undip.ac.id; ridlohanifudin@lecturer.undip.ac.id; munadi@lecturer.undip.ac.id</w:t>
      </w:r>
    </w:p>
    <w:p>
      <w:pPr>
        <w:spacing w:after="0" w:before="0" w:line="240" w:lineRule="auto"/>
        <w:jc w:val="center"/>
        <w:rPr>
          <w:b w:val="1"/>
          <w:bCs w:val="1"/>
          <w:color w:val="000000"/>
          <w:sz w:val="28"/>
          <w:szCs w:val="28"/>
        </w:rPr>
      </w:pPr>
    </w:p>
    <w:p>
      <w:pPr>
        <w:spacing w:after="0" w:before="0" w:line="240" w:lineRule="auto"/>
        <w:jc w:val="center"/>
        <w:rPr>
          <w:b w:val="1"/>
          <w:bCs w:val="1"/>
          <w:smallCaps w:val="1"/>
        </w:rPr>
      </w:pPr>
      <w:r>
        <w:rPr>
          <w:b/>
          <w:bCs w:val="1"/>
          <w:smallCaps w:val="1"/>
          <w:rtl w:val="0"/>
        </w:rPr>
        <w:t>ABSTRAK</w:t>
      </w:r>
    </w:p>
    <w:p>
      <w:pPr>
        <w:spacing w:after="0" w:before="0" w:line="240" w:lineRule="auto"/>
        <w:jc w:val="center"/>
        <w:rPr>
          <w:b w:val="1"/>
          <w:bCs w:val="1"/>
          <w:color w:val="000000"/>
          <w:sz w:val="28"/>
          <w:szCs w:val="28"/>
        </w:rPr>
      </w:pPr>
    </w:p>
    <w:p>
      <w:pPr>
        <w:pStyle w:val="Heading2"/>
        <w:spacing w:after="0" w:before="0" w:line="240" w:lineRule="auto"/>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color w:val="ff0000"/>
          <w:sz w:val="20"/>
          <w:szCs w:val="20"/>
          <w:rtl w:val="0"/>
        </w:rPr>
        <w:t>(</w:t>
      </w:r>
      <w:r>
        <w:rPr>
          <w:rFonts w:ascii="Times New Roman" w:cs="Times New Roman" w:eastAsia="Times New Roman" w:hAnsi="Times New Roman"/>
          <w:color w:val="ff0000"/>
          <w:sz w:val="20"/>
          <w:szCs w:val="20"/>
          <w:rtl w:val="0"/>
        </w:rPr>
        <w:t>Abstrak</w:t>
      </w:r>
      <w:r>
        <w:rPr>
          <w:rFonts w:ascii="Times New Roman" w:cs="Times New Roman" w:eastAsia="Times New Roman" w:hAnsi="Times New Roman"/>
          <w:color w:val="ff0000"/>
          <w:sz w:val="20"/>
          <w:szCs w:val="20"/>
          <w:rtl w:val="0"/>
        </w:rPr>
        <w:t xml:space="preserve">). </w:t>
      </w:r>
      <w:r>
        <w:rPr>
          <w:rFonts w:ascii="Times New Roman" w:cs="Times New Roman" w:eastAsia="Times New Roman" w:hAnsi="Times New Roman"/>
          <w:b w:val="0"/>
          <w:i w:val="0"/>
          <w:color w:val="000000"/>
          <w:sz w:val="20"/>
          <w:szCs w:val="20"/>
          <w:u w:val="none"/>
          <w:rtl w:val="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Heading3"/>
        <w:spacing w:after="0" w:before="200" w:line="240" w:lineRule="auto"/>
        <w:rPr>
          <w:rFonts w:ascii="Times New Roman" w:cs="Times New Roman" w:eastAsia="Times New Roman" w:hAnsi="Times New Roman"/>
          <w:color w:val="000000"/>
          <w:sz w:val="20"/>
          <w:szCs w:val="20"/>
        </w:rPr>
      </w:pPr>
      <w:r>
        <w:rPr>
          <w:rFonts w:ascii="Times New Roman" w:cs="Times New Roman" w:eastAsia="Times New Roman" w:hAnsi="Times New Roman"/>
          <w:color w:val="000000"/>
          <w:sz w:val="20"/>
          <w:szCs w:val="20"/>
          <w:rtl w:val="0"/>
        </w:rPr>
        <w:t>Kata kunci</w:t>
      </w:r>
      <w:r>
        <w:rPr>
          <w:rFonts w:ascii="Times New Roman" w:cs="Times New Roman" w:eastAsia="Times New Roman" w:hAnsi="Times New Roman"/>
          <w:color w:val="000000"/>
          <w:sz w:val="20"/>
          <w:szCs w:val="20"/>
          <w:rtl w:val="0"/>
        </w:rPr>
        <w:t xml:space="preserve">: </w:t>
      </w:r>
      <w:r>
        <w:rPr>
          <w:rFonts w:ascii="Times New Roman" w:cs="Times New Roman" w:eastAsia="Times New Roman" w:hAnsi="Times New Roman"/>
          <w:b w:val="0"/>
          <w:i w:val="0"/>
          <w:color w:val="000000"/>
          <w:sz w:val="20"/>
          <w:szCs w:val="20"/>
          <w:u w:val="none"/>
          <w:rtl w:val="0"/>
        </w:rPr>
        <w:t>Hand Gesture Recognition, PLC Control, MediaPipe, Modbus TCP, Industry 4.0, Threading</w:t>
      </w:r>
    </w:p>
    <w:p>
      <w:pPr>
        <w:spacing w:after="0" w:before="0" w:line="240" w:lineRule="auto"/>
        <w:jc w:val="center"/>
        <w:rPr>
          <w:b w:val="1"/>
          <w:bCs w:val="1"/>
          <w:color w:val="000000"/>
          <w:sz w:val="28"/>
          <w:szCs w:val="28"/>
        </w:rPr>
      </w:pP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1"/>
          <w:iCs w:val="1"/>
          <w:smallCaps w:val="1"/>
          <w:strike w:val="0"/>
          <w:color w:val="000000"/>
          <w:sz w:val="24"/>
          <w:szCs w:val="24"/>
          <w:u w:val="none"/>
          <w:shd w:fill="auto" w:val="clear"/>
          <w:vertAlign w:val="baseline"/>
        </w:rPr>
      </w:pPr>
      <w:r>
        <w:rPr>
          <w:rFonts w:ascii="Times New Roman" w:cs="Times New Roman" w:eastAsia="Times New Roman" w:hAnsi="Times New Roman"/>
          <w:b/>
          <w:bCs w:val="1"/>
          <w:i/>
          <w:iCs w:val="1"/>
          <w:smallCaps w:val="1"/>
          <w:strike w:val="0"/>
          <w:color w:val="000000"/>
          <w:sz w:val="24"/>
          <w:szCs w:val="24"/>
          <w:u w:val="none"/>
          <w:shd w:fill="auto" w:val="clear"/>
          <w:vertAlign w:val="baseline"/>
          <w:rtl w:val="0"/>
        </w:rPr>
        <w:t>ABSTRACT</w:t>
      </w:r>
    </w:p>
    <w:p>
      <w:pPr>
        <w:spacing w:after="0" w:before="0" w:line="240" w:lineRule="auto"/>
        <w:jc w:val="center"/>
        <w:rPr>
          <w:b w:val="1"/>
          <w:bCs w:val="1"/>
          <w:color w:val="000000"/>
          <w:sz w:val="28"/>
          <w:szCs w:val="28"/>
        </w:rPr>
      </w:pPr>
    </w:p>
    <w:p>
      <w:pPr>
        <w:pStyle w:val="Heading2"/>
        <w:spacing w:after="0" w:before="0" w:line="240" w:lineRule="auto"/>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i w:val="1"/>
          <w:iCs w:val="1"/>
          <w:color w:val="ff0000"/>
          <w:sz w:val="20"/>
          <w:szCs w:val="20"/>
          <w:rtl w:val="0"/>
        </w:rPr>
        <w:t>(</w:t>
      </w:r>
      <w:r>
        <w:rPr>
          <w:rFonts w:ascii="Times New Roman" w:cs="Times New Roman" w:eastAsia="Times New Roman" w:hAnsi="Times New Roman"/>
          <w:i w:val="1"/>
          <w:iCs w:val="1"/>
          <w:color w:val="ff0000"/>
          <w:sz w:val="20"/>
          <w:szCs w:val="20"/>
          <w:rtl w:val="0"/>
        </w:rPr>
        <w:t>Abstract</w:t>
      </w:r>
      <w:r>
        <w:rPr>
          <w:rFonts w:ascii="Times New Roman" w:cs="Times New Roman" w:eastAsia="Times New Roman" w:hAnsi="Times New Roman"/>
          <w:i w:val="1"/>
          <w:iCs w:val="1"/>
          <w:color w:val="ff0000"/>
          <w:sz w:val="20"/>
          <w:szCs w:val="20"/>
          <w:rtl w:val="0"/>
        </w:rPr>
        <w:t xml:space="preserve">). </w:t>
      </w:r>
      <w:r>
        <w:rPr>
          <w:rFonts w:ascii="Times New Roman" w:cs="Times New Roman" w:eastAsia="Times New Roman" w:hAnsi="Times New Roman"/>
          <w:b w:val="0"/>
          <w:i w:val="0"/>
          <w:iCs w:val="1"/>
          <w:color w:val="000000"/>
          <w:sz w:val="20"/>
          <w:szCs w:val="20"/>
          <w:u w:val="none"/>
          <w:rtl w:val="0"/>
        </w:rPr>
        <w:t>Panel kontrol bersama pada lini produksi menciptakan risiko kontaminasi di lingkungan food-grade dan cleanroom. Kami membangun GestPLC untuk menguji apakah webcam USB biasa yang dipasangkan dengan classifier berbasis aturan geometris mampu mengendalikan PLC Schneider Modicon M221 tanpa GPU maupun jaringan saraf terlatih. MediaPipe mengekstrak 21 landmark tangan per frame pada CPU Intel Core i7; mesin threshold sudut kemudian mengkonversi landmark tersebut menjadi perintah tulis coil Modbus TCP melalui FC15. Penangkapan kamera, klasifikasi gestur, dan I/O Modbus masing-masing berjalan pada thread Python tersendiri sehingga balasan jaringan lambat tidak menghentikan loop visi. Pada pencahayaan 300 lux, classifier mencapai skor F1 makro 95,4% dan round-trip rata-rata Modbus 12,3 ms. Uji ketahanan 24 jam mencatat 872.640 transaksi dengan tingkat keberhasilan tulis 99,97%, meskipun mean time between failures komunikasi hanya 8,2 jam. Geometri landmark, bukan deep learning, terbukti memadai untuk kontrol PLC enam gestur pada hardware komoditas.</w:t>
      </w:r>
    </w:p>
    <w:p>
      <w:pPr>
        <w:pStyle w:val="Heading2"/>
        <w:spacing w:after="0" w:before="200" w:line="240" w:lineRule="auto"/>
        <w:ind w:right="65"/>
        <w:jc w:val="both"/>
        <w:rPr>
          <w:rFonts w:ascii="Times New Roman" w:cs="Times New Roman" w:eastAsia="Times New Roman" w:hAnsi="Times New Roman"/>
          <w:i w:val="1"/>
          <w:iCs w:val="1"/>
          <w:color w:val="000000"/>
          <w:sz w:val="20"/>
          <w:szCs w:val="20"/>
        </w:rPr>
      </w:pPr>
      <w:r>
        <w:rPr>
          <w:rFonts w:ascii="Times New Roman" w:cs="Times New Roman" w:eastAsia="Times New Roman" w:hAnsi="Times New Roman"/>
          <w:i/>
          <w:iCs w:val="1"/>
          <w:color w:val="000000"/>
          <w:sz w:val="20"/>
          <w:szCs w:val="20"/>
          <w:rtl w:val="0"/>
        </w:rPr>
        <w:t>Keywords</w:t>
      </w:r>
      <w:r>
        <w:rPr>
          <w:rFonts w:ascii="Times New Roman" w:cs="Times New Roman" w:eastAsia="Times New Roman" w:hAnsi="Times New Roman"/>
          <w:i/>
          <w:iCs w:val="1"/>
          <w:color w:val="000000"/>
          <w:sz w:val="20"/>
          <w:szCs w:val="20"/>
          <w:rtl w:val="0"/>
        </w:rPr>
        <w:t xml:space="preserve">: </w:t>
      </w:r>
      <w:r>
        <w:rPr>
          <w:rFonts w:ascii="Times New Roman" w:cs="Times New Roman" w:eastAsia="Times New Roman" w:hAnsi="Times New Roman"/>
          <w:b w:val="0"/>
          <w:i w:val="0"/>
          <w:iCs w:val="1"/>
          <w:color w:val="000000"/>
          <w:sz w:val="20"/>
          <w:szCs w:val="20"/>
          <w:u w:val="none"/>
          <w:rtl w:val="0"/>
        </w:rPr>
        <w:t>Hand Gesture Recognition, PLC Control, MediaPipe, Modbus TCP, Industry 4.0, Threading</w:t>
      </w:r>
    </w:p>
    <w:p>
      <w:pPr>
        <w:pStyle w:val="Heading3"/>
        <w:spacing w:after="0" w:before="0" w:line="240" w:lineRule="auto"/>
        <w:rPr>
          <w:rFonts w:ascii="Times New Roman" w:cs="Times New Roman" w:eastAsia="Times New Roman" w:hAnsi="Times New Roman"/>
          <w:color w:val="000000"/>
          <w:sz w:val="20"/>
          <w:szCs w:val="20"/>
        </w:rPr>
        <w:sectPr>
          <w:headerReference r:id="rId10" w:type="default"/>
          <w:headerReference r:id="rId11" w:type="first"/>
          <w:headerReference r:id="rId12" w:type="even"/>
          <w:footerReference r:id="rId13" w:type="default"/>
          <w:footerReference r:id="rId14" w:type="first"/>
          <w:footerReference r:id="rId15" w:type="even"/>
          <w:pgSz w:h="16840" w:w="11907" w:orient="portrait"/>
          <w:pgMar w:bottom="1418" w:top="1418" w:left="1701" w:right="1701" w:header="851" w:footer="851"/>
          <w:pgNumType w:start="1"/>
        </w:sectPr>
      </w:pP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PENDAHULUAN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Jutaan mesin di seluruh dunia masih beroperasi melalui PLC untuk sortasi konveyor hingga dosing bahan kimia [2], [3]. Industry 4.0 mendorong kamera, modul suara, dan sensor gestur ke daftar input PLC yang diterima [9], [11], namun antarmuka manusia-mesin di sebagian besar pabrik masih berupa panel fisik. Di lingkungan food-grade dan cleanroom, menyentuh panel setelah menangani produk atau memakai sarung tangan merupakan jalur kontaminasi yang terdokumentasi [3], [17]. Satu pertanyaan yang muncul: bisakah webcam USB biasa dengan classifier CPU-only menggantikan sentuhan panel tanpa hardware khusus?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Pelacakan landmark tangan belum bisa dipakai secara praktis di lantai pabrik sebelum MediaPipe muncul pada 2019 [1]. Pendekatan lebih awal menggunakan HOG dengan SVM [10] atau arsitektur CNN dan CNN-LSTM [5], [14]; keduanya memerlukan pencahayaan terkontrol atau GPU diskret. Workstation pabrik jarang memiliki GPU, sehingga model-model tersebut jarang di-deploy di lapangan [4], [14]. MediaPipe mengekstrak 21 landmark skeletal per frame pada CPU biasa. Outputnya berupa vektor koordinat, bukan label kelas, sehingga aturan geometris sederhana bisa mengubahnya menjadi perintah gestur tanpa data pelatihan.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Modbus TCP, beroperasi sejak 1990-an, berjalan pada sekitar tujuh juta node industri [6], [11]. Protokol ini menggunakan model polling: master mengirim query, slave membalas, dan thread pemanggil terblokir hingga jawaban tiba. Round-trip berkisar 1-15 ms pada LAN senggang, namun bisa membengkak hingga ratusan milidetik di bawah beban CPU atau jaringan [6], [16]. Jika loop kamera dan Modbus berbagi thread yang sama, respons lambat membekukan frame grabber. Kami menempatkan Modbus pada thread tersendiri. Setelah meninjau sistem gestur-PLC yang dipublikasikan, tidak satupun secara eksplisit membahas arsitektur threading [3], [4].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Publikasi gestur-PLC yang ada mengikuti pola tertentu: penulis menerima frame drop akibat blocking I/O, atau memindahkan klasifikasi ke model lebih dalam dengan akselerasi GPU [5], [8]. Kami tidak menemukan studi yang menggabungkan ketiga elemen sekaligus: arsitektur threading penuh, classifier tanpa pelatihan, dan uji reliabilitas 24 jam pada hardware PLC sesungguhnya.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GestPLC mengisi celah tersebut. Kamera berjalan di satu thread tanpa menunggu kondisi jaringan. Thread kedua menangani MediaPipe dan filter debounce gestur. Thread ketiga melakukan polling PLC via FC1 dan menulis perintah dengan FC15. Peta register ganda memisahkan pembacaan status PLC (M100-M115, FC1) dari penulisan perintah gestur (M200-M215, FC15) untuk mencegah tabrakan memori. Pengujian dilakukan pada tiga tingkat pencahayaan, tiga tingkat beban CPU, dan uji ketahanan 24 jam mencatat 872.640 transaksi Modbus.</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TINJAUAN PUSTAKA</w:t>
      </w:r>
    </w:p>
    <w:p>
      <w:pPr>
        <w:pStyle w:val="Title"/>
        <w:spacing w:after="0" w:before="0" w:line="240" w:lineRule="auto"/>
        <w:jc w:val="both"/>
        <w:rPr>
          <w:sz w:val="20"/>
          <w:szCs w:val="20"/>
        </w:rPr>
      </w:pPr>
      <w:r>
        <w:rPr>
          <w:sz w:val="20"/>
          <w:szCs w:val="20"/>
          <w:rtl w:val="0"/>
        </w:rPr>
        <w:t xml:space="preserve">A. </w:t>
      </w:r>
      <w:r>
        <w:rPr>
          <w:i/>
          <w:iCs w:val="1"/>
          <w:sz w:val="20"/>
          <w:szCs w:val="20"/>
          <w:rtl w:val="0"/>
        </w:rPr>
        <w:t>Metode Pengenalan Gestur Tangan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Metode pengenalan gestur tangan terbagi menjadi deskriptor buatan tangan dan deep learning. Nguyen dan Phung [10] menggunakan HOG dengan SVM untuk gestur statis pada kontrol robot, melaporkan akurasi 99% pada pencahayaan terkontrol, namun turun saat latar belakang berubah. Tchantchane et al. [19] meninjau sistem gestur berbasis sensor wearable dan menemukan ketahanan lintas kondisi masih menjadi masalah terbuka. Wang et al. [5] menggabungkan CNN-LSTM untuk translasi gestur-ke-suara dan mencapai 93%, namun memerlukan GPU. Muhtadin et al. [14] membangun model 1.103 parameter dikuantisasi 7 KB untuk kontrol UR5 dengan akurasi 93,5%, tetapi harus dilatih ulang setiap set gestur berubah.</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Timeline Evolusi Teknologi Pengenalan Gestur Tangan. A clean, academic-style horizontal timeline infographic illustrating the evolution of hand gesture recognition technology from 1990 to 2024. The timeline flows left to right with labeled milestones at roughly 1990 for HOG and SVM handcrafted descriptors, 2005 for SIFT feature matching, 2012 for the deep CNN revolution, 2018 for LSTM temporal gesture models, and 2019 onward for MediaPipe lightweight landmark tracking. Each era features a small illustrative icon suggesting its dominant method. The background is white or light gray, typography is clean sans-serif, and color accents distinguish each technology generation. Style is consistent with IEEE conference paper figures, professional, readable, and uncluttered, with no decorative flourishes.]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 </w:t>
      </w:r>
      <w:r>
        <w:rPr>
          <w:sz w:val="16"/>
          <w:szCs w:val="16"/>
          <w:rtl w:val="0"/>
        </w:rPr>
        <w:t>Timeline Evolusi Teknologi Pengenalan Gestur Tangan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Google merilis MediaPipe pada 2019 [1], melacak 21 titik skeletal per tangan pada CPU tanpa GPU (Gbr. 1). Bensaadallah et al. [12] menggunakan landmark MediaPipe untuk mengendalikan lengan robot R12 dengan terminal berbiaya rendah. Kwolek [15] menambahkan spatio-temporal graph convolution network di atas MediaPipe untuk pengenalan gestur perakitan, mengungguli baseline RNN dan ST-GCN. Dalam paper ini, vektor koordinat </w:t>
      </w:r>
      <m:oMath xmlns:mml="http://www.w3.org/1998/Math/MathML">
        <m:sSub>
          <m:e>
            <m:r>
              <w:rPr>
                <w:rFonts w:ascii="Cambria Math" w:hAnsi="Cambria Math" w:eastAsia="Cambria Math" w:cs="Cambria Math"/>
                <w:sz w:val="20"/>
                <w:szCs w:val="20"/>
                <w:lang w:val="en-US"/>
              </w:rPr>
              <m:t>P</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z</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diumpankan ke mesin aturan geometris yang berjalan di bawah satu milidetik tanpa data pelatihan. Perubahan set gestur hanya memerlukan penyesuaian threshold sudut.</w:t>
      </w:r>
    </w:p>
    <w:p>
      <w:pPr>
        <w:pStyle w:val="Title"/>
        <w:spacing w:after="0" w:before="0" w:line="240" w:lineRule="auto"/>
        <w:jc w:val="both"/>
        <w:rPr>
          <w:sz w:val="20"/>
          <w:szCs w:val="20"/>
        </w:rPr>
      </w:pPr>
      <w:r>
        <w:rPr>
          <w:sz w:val="20"/>
          <w:szCs w:val="20"/>
          <w:rtl w:val="0"/>
        </w:rPr>
        <w:t xml:space="preserve">B. </w:t>
      </w:r>
      <w:r>
        <w:rPr>
          <w:i/>
          <w:iCs w:val="1"/>
          <w:sz w:val="20"/>
          <w:szCs w:val="20"/>
          <w:rtl w:val="0"/>
        </w:rPr>
        <w:t>Protokol Komunikasi PLC dan Modbus TCP</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Modbus TCP digunakan sejak 1990-an pada sekitar tujuh juta node industri [6], [11]. Shaikh et al. [11] mensurvei protokol Industry 4.0 termasuk RS-485, PROFINET, EtherCAT, dan MQTT; Modbus masih mendominasi di pabrik legacy karena integrasi sederhana. Tapia et al. [7] membandingkan OPC-UA, Modbus, dan Ethernet/IP pada tiga machine tool; Modbus memiliki latensi terendah. Protokol ini menggunakan model polling: master mengirim query, slave membalas, thread terblokir. Nikolajew dan Eichelberger [6] mengukur round-trip 1-15 ms pada LAN senggang, namun membengkak hingga ratusan milidetik di bawah beban. Wang et al. [16] mengukur pola serupa. Dalam paper ini, PC membaca coil PLC M100-M115 via FC1 dan menulis perintah gestur ke M200-M215 via FC15 pada Schneider Modicon M221 [20]. Kabel Cat-5e langsung digunakan tanpa switch untuk menghilangkan jitter.</w:t>
      </w:r>
    </w:p>
    <w:p>
      <w:pPr>
        <w:pStyle w:val="Title"/>
        <w:spacing w:after="0" w:before="0" w:line="240" w:lineRule="auto"/>
        <w:jc w:val="both"/>
        <w:rPr>
          <w:sz w:val="20"/>
          <w:szCs w:val="20"/>
        </w:rPr>
      </w:pPr>
      <w:r>
        <w:rPr>
          <w:sz w:val="20"/>
          <w:szCs w:val="20"/>
          <w:rtl w:val="0"/>
        </w:rPr>
        <w:t xml:space="preserve">C. </w:t>
      </w:r>
      <w:r>
        <w:rPr>
          <w:i/>
          <w:iCs w:val="1"/>
          <w:sz w:val="20"/>
          <w:szCs w:val="20"/>
          <w:rtl w:val="0"/>
        </w:rPr>
        <w:t>Antarmuka Manusia-Mesin Tanpa Sentuhan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Yashika et al. [3] mengusulkan kontrol PLC berbasis gestur untuk lingkungan higienis. Sawarkar et al. [18] membangun sistem gestur AI untuk aksesibilitas namun tanpa koneksi PLC industri. Benyezza et al. [17] menggabungkan OpenCV dengan Siemens S7-1200 untuk sortasi buah otomatis. Peral et al. [13] menggunakan pipeline ringan untuk gestur pada interaksi manusia-robot tanpa integrasi Modbus. Sebagian besar sistem menggunakan hardware depth RGB-D atau classifier GPU [4], [14]. Masalah utama: panggilan Modbus berjalan di thread yang sama dengan loop kamera [3], [4], sehingga delay jaringan menghentikan penangkapan frame. Dalam paper ini, Modbus berjalan pada thread terpisah.</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METODOLOGI</w:t>
      </w:r>
    </w:p>
    <w:p>
      <w:pPr>
        <w:pStyle w:val="Title"/>
        <w:spacing w:after="0" w:before="0" w:line="240" w:lineRule="auto"/>
        <w:jc w:val="both"/>
        <w:rPr>
          <w:sz w:val="20"/>
          <w:szCs w:val="20"/>
        </w:rPr>
      </w:pPr>
      <w:r>
        <w:rPr>
          <w:sz w:val="20"/>
          <w:szCs w:val="20"/>
          <w:rtl w:val="0"/>
        </w:rPr>
        <w:t xml:space="preserve">A. </w:t>
      </w:r>
      <w:r>
        <w:rPr>
          <w:i/>
          <w:iCs w:val="1"/>
          <w:sz w:val="20"/>
          <w:szCs w:val="20"/>
          <w:rtl w:val="0"/>
        </w:rPr>
        <w:t>Arsitektur Tiga Thread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Webcam USB terhubung ke desktop Intel Core i7 tanpa GPU diskret, dan PC berkomunikasi dengan PLC Schneider Modicon M221 melalui tautan Cat-5e langsung. Frame visi disalurkan dari webcam ke MediaPipe pada CPU, lalu kode gestur dikirim ke PLC sebagai permintaan tulis Modbus FC15 yang menargetkan coil M200-M215. Program ladder PLC memetakan coil tersebut ke output fisik Q0-Q15.</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Arsitektur Sistem GestPLC. A clear block-diagram of the GestPLC system architecture showing three main components connected in sequence: a USB webcam on the left, a personal computer in the center, and a Schneider Modicon M221 PLC on the right. Inside the PC block, three labeled thread boxes are shown: Thread 1 for frame capture via OpenCV, Thread 2 for MediaPipe gesture classification, and Thread 3 for Modbus TCP communication. Directional arrows indicate data flow from the webcam through the CPU threads to the PLC over a Cat-5e Ethernet link. Modbus FC1 read and FC15 write labels appear on the connecting line. Background is white, style is clean and minimal, suitable for an IEEE conference paper.]</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2. </w:t>
      </w:r>
      <w:r>
        <w:rPr>
          <w:sz w:val="16"/>
          <w:szCs w:val="16"/>
          <w:rtl w:val="0"/>
        </w:rPr>
        <w:t>Arsitektur Sistem GestPLC</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Panggilan Modbus terblokir hingga 15 ms pada kondisi normal, dan ratusan milidetik saat CPU terbebani [6]. Jika loop kamera dan loop Modbus berbagi satu thread, frame rate turun setiap ada delay koneksi. Kami menempatkan setiap fungsi di thread-nya sendiri (Gbr. 2). OpenCV dan MediaPipe, diimplementasikan dalam C++, melepas GIL Python selama komputasi sehingga ketiga thread berjalan paralel sejati. Thread 1 menangkap frame kamera tanpa kondisi blocking apapun. Thread 2 menjalankan inferensi MediaPipe, menghitung sudut sendi, dan memasukkan kode gestur ke queue bersama. Thread 3 membaca M100-M115 via FC1 dan menulis isi queue ke M200-M215 dengan FC15. Spike Modbus 300 ms tidak menyentuh frame rate kamera. Delay end-to-end dibatasi oleh:</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total</m:t>
            </m:r>
          </m:sub>
        </m:sSub>
        <m:r>
          <w:rPr>
            <w:rFonts w:ascii="Cambria Math" w:hAnsi="Cambria Math" w:eastAsia="Cambria Math" w:cs="Cambria Math"/>
            <w:sz w:val="20"/>
            <w:szCs w:val="20"/>
            <w:lang w:val="en-US"/>
          </w:rPr>
          <m:t>≈max(</m:t>
        </m:r>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cap</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inf</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modbus</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queue</m:t>
            </m:r>
          </m:sub>
        </m:sSub>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 sini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cap</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waktu penangkapan kamera,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inf</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waktu inferensi MediaPipe,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modbus</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satu round-trip Modbus, dan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queue</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overhead antar-thread. Dalam pengukuran kami,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queue</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konsisten di bawah 0,5 ms. Karena ketiga thread tumpang tindih, total delay sama dengan thread paling lambat ditambah overhead queue. Ini hanya berlaku karena backend C++ melepas GIL.</w:t>
      </w:r>
    </w:p>
    <w:p>
      <w:pPr>
        <w:pStyle w:val="Title"/>
        <w:spacing w:after="0" w:before="0" w:line="240" w:lineRule="auto"/>
        <w:jc w:val="both"/>
        <w:rPr>
          <w:sz w:val="20"/>
          <w:szCs w:val="20"/>
        </w:rPr>
      </w:pPr>
      <w:r>
        <w:rPr>
          <w:sz w:val="20"/>
          <w:szCs w:val="20"/>
          <w:rtl w:val="0"/>
        </w:rPr>
        <w:t xml:space="preserve">B. </w:t>
      </w:r>
      <w:r>
        <w:rPr>
          <w:i/>
          <w:iCs w:val="1"/>
          <w:sz w:val="20"/>
          <w:szCs w:val="20"/>
          <w:rtl w:val="0"/>
        </w:rPr>
        <w:t>Konfigurasi Hardware dan Setup PC-PLC</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Rig pengujian dibatasi pada desktop Intel Core i7-10700, RAM 16 GB, tanpa GPU diskret, untuk membuktikan bahwa stack software berjalan pada hardware standar pabrik. PC (192.168.1.2/24) dan PLC (192.168.1.50/24) dihubungkan point-to-point dengan kabel Cat-5e, menghilangkan sekitar 1-2 ms jitter.</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Konfigurasi Jaringan PC dan PLC. A clean network configuration diagram showing two devices connected point-to-point via a Cat-5e Ethernet cable. The left device represents a desktop PC with static IP address 192.168.1.2 and subnet mask 255.255.255.0 labeled in a neat rectangular callout box. The right device represents a Schneider Modicon M221 PLC with IP address 192.168.1.50 on the same subnet displayed similarly. A simple Ethernet cable symbol bridges both nodes directly without any switch in between. Both device icons are clearly labeled with their roles. Background is white, layout is symmetrical and horizontally balanced, and the style matches technical network topology figures used in IEEE automation and control papers.]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3. </w:t>
      </w:r>
      <w:r>
        <w:rPr>
          <w:sz w:val="16"/>
          <w:szCs w:val="16"/>
          <w:rtl w:val="0"/>
        </w:rPr>
        <w:t>Konfigurasi Jaringan PC dan PLC</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Pengkabelan ditunjukkan pada Gbr. 3. Di sisi PLC, memori dibagi menjadi dua blok. Register M100-M115 bersifat read-only dari perspektif PC, mencerminkan state input fisik I0-I15. Register M200-M215 adalah target tulis; PC menulis perintah gestur menggunakan FC15, dan program ladder PLC membacanya setiap siklus scan untuk menggerakkan output Q0-Q3. Register baca (M100-M115) dan register tulis (M200-M215) tidak tumpang tindih. FC1 dan FC15 tidak bisa bertabrakan.</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Diagram Ladder Pemetaan M200-M203 ke Q0-Q3. A simplified PLC ladder logic diagram showing four parallel rungs that map internal memory registers M200, M201, M202, and M203 to physical output coils Q0, Q1, Q2, and Q3 respectively. Each rung contains a normally-open contact symbol on the left referencing one M-register, connected by a horizontal line to a coil output symbol on the right referencing the corresponding Q-output. Labels are printed cleanly next to each contact and coil. Two vertical power rail lines bound the ladder on both sides. Background is white, lines are thin and precise, notation follows IEC 61131-3 ladder diagram standards, and the figure is compact and publication-ready for an IEEE conference methodology section.]</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4. </w:t>
      </w:r>
      <w:r>
        <w:rPr>
          <w:sz w:val="16"/>
          <w:szCs w:val="16"/>
          <w:rtl w:val="0"/>
        </w:rPr>
        <w:t>Diagram Ladder Pemetaan M200-M203 ke Q0-Q3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Logika ladder (Gbr. 4): M200 M203 sebagai kontak normally-open menggerakkan coil output Q0 Q3.</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Function Block Pembacaan M200-M203. A PLC function block diagram showing a structured FBD-style program block responsible for reading internal memory array M200 through M203 each scan cycle and forwarding values to physical output block Q0 through Q3. The block rectangle has labeled input pins on the left side connected to M-register addresses and output pins on the right side driving Q-output channels, with short wires exiting each pin. The function block name and scan-cycle behavior are labeled inside or above the block body. Background is white, layout is neat and compact, wiring connections are thin lines with right-angle bends, and the style resembles a SoMachine or Unity Pro FBD screenshot adapted for clear IEEE paper reproduction.]</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5. </w:t>
      </w:r>
      <w:r>
        <w:rPr>
          <w:sz w:val="16"/>
          <w:szCs w:val="16"/>
          <w:rtl w:val="0"/>
        </w:rPr>
        <w:t>Function Block Pembacaan M200-M203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Function block (Gbr. 5) membaca array coil M200 M203 setiap siklus scan dan meneruskan nilainya ke output Q0 Q3. Pada scan rate default (~1 ms), perintah gestur baru ditangkap dalam satu siklus dan output fisik langsung mengikuti.</w:t>
      </w:r>
    </w:p>
    <w:p>
      <w:pPr>
        <w:pStyle w:val="Title"/>
        <w:spacing w:after="0" w:before="0" w:line="240" w:lineRule="auto"/>
        <w:jc w:val="both"/>
        <w:rPr>
          <w:sz w:val="20"/>
          <w:szCs w:val="20"/>
        </w:rPr>
      </w:pPr>
      <w:r>
        <w:rPr>
          <w:sz w:val="20"/>
          <w:szCs w:val="20"/>
          <w:rtl w:val="0"/>
        </w:rPr>
        <w:t xml:space="preserve">C. </w:t>
      </w:r>
      <w:r>
        <w:rPr>
          <w:i/>
          <w:iCs w:val="1"/>
          <w:sz w:val="20"/>
          <w:szCs w:val="20"/>
          <w:rtl w:val="0"/>
        </w:rPr>
        <w:t>Pengenalan Gestur Geometris MediaPipe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Setiap frame RGB dari OpenCV dilewatkan ke model hand-landmark MediaPipe [1], yang mengembalikan 21 titik per tangan: pergelangan tangan, sendi MCP, PIP, DIP untuk setiap jari, plus empat ujung jari.</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21 Landmark Tangan MediaPipe. A technical diagram of a human right hand viewed palm-side facing the viewer, with 21 skeletal landmark points numbered 0 through 20 overlaid at anatomically correct positions. Landmark 0 marks the wrist, landmarks 1 through 4 trace the thumb from MCP joint to fingertip, landmarks 5 through 8 trace the index finger, 9 through 12 the middle finger, 13 through 16 the ring finger, and 17 through 20 the little finger. Thin straight connector lines link adjacent landmarks along each finger and across the palm. Each landmark is drawn as a small filled circle with a numeric label nearby. Background is white or pale, line color is blue or teal, and style matches official MediaPipe documentation adapted for academic paper figures.]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6. </w:t>
      </w:r>
      <w:r>
        <w:rPr>
          <w:sz w:val="16"/>
          <w:szCs w:val="16"/>
          <w:rtl w:val="0"/>
        </w:rPr>
        <w:t>21 Landmark Tangan MediaPipe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Ke-21 landmark (bernomor 0 20) ditunjukkan pada Gbr. 6. Prototipe awal memverifikasi bahwa output MediaPipe stabil dalam kisaran ~30 derajat dari sumbu kamera.</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Prototipe Python untuk Validasi MediaPipe. A screenshot-style illustration of a Python desktop application window displaying a live webcam video feed of a human hand with MediaPipe landmark skeleton overlaid on it. Twenty-one landmark points appear as small colored dots connected by thin lines tracing all five fingers and the palm structure. A status label or overlay text shows the currently detected gesture class name and live frame rate. The application window uses a neutral dark or gray frame with the video pane centered. The hand in the frame is shown in an open-palm or single-finger gesture, well-lit against a plain background. Style resembles a PyQt5 desktop GUI window screenshot suitable for inclusion in an academic methodology section.]</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7. </w:t>
      </w:r>
      <w:r>
        <w:rPr>
          <w:sz w:val="16"/>
          <w:szCs w:val="16"/>
          <w:rtl w:val="0"/>
        </w:rPr>
        <w:t>Prototipe Python untuk Validasi MediaPipe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Jendela diagnostik PyQt5 (Gbr. 7) menampilkan landmark dan garis penghubung pada feed webcam langsung, mengonfirmasi konsistensi output MediaPipe selama kemiringan dalam ~30 derajat. Setiap landmark berupa koordinat 3-D ternormalisasi: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𝐩</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z</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r>
          <w:rPr>
            <w:rFonts w:ascii="Cambria Math" w:hAnsi="Cambria Math" w:eastAsia="Cambria Math" w:cs="Cambria Math"/>
            <w:sz w:val="20"/>
            <w:szCs w:val="20"/>
            <w:lang w:val="en-US"/>
          </w:rPr>
          <m:t>i=0,1,2,…,20</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Pada persamaan (2), </w:t>
      </w:r>
      <m:oMath xmlns:mml="http://www.w3.org/1998/Math/MathML">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t>
      </w:r>
      <m:oMath xmlns:mml="http://www.w3.org/1998/Math/MathML">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berada dalam </w:t>
      </w:r>
      <m:oMath xmlns:mml="http://www.w3.org/1998/Math/MathML">
        <m:r>
          <w:rPr>
            <w:rFonts w:ascii="Cambria Math" w:hAnsi="Cambria Math" w:eastAsia="Cambria Math" w:cs="Cambria Math"/>
            <w:sz w:val="20"/>
            <w:szCs w:val="20"/>
            <w:lang w:val="en-US"/>
          </w:rPr>
          <m:t>[0,1]</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relatif terhadap dimensi gambar, </w:t>
      </w:r>
      <m:oMath xmlns:mml="http://www.w3.org/1998/Math/MathML">
        <m:sSub>
          <m:e>
            <m:r>
              <w:rPr>
                <w:rFonts w:ascii="Cambria Math" w:hAnsi="Cambria Math" w:eastAsia="Cambria Math" w:cs="Cambria Math"/>
                <w:sz w:val="20"/>
                <w:szCs w:val="20"/>
                <w:lang w:val="en-US"/>
              </w:rPr>
              <m:t>z</m:t>
            </m:r>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mengkodekan kedalaman relatif terhadap pergelangan tangan. Jarak Euclidean antara dua landmark:</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t>ij</m:t>
            </m:r>
          </m:sub>
        </m:sSub>
        <m:r>
          <w:rPr>
            <w:rFonts w:ascii="Cambria Math" w:hAnsi="Cambria Math" w:eastAsia="Cambria Math" w:cs="Cambria Math"/>
            <w:sz w:val="20"/>
            <w:szCs w:val="20"/>
            <w:lang w:val="en-US"/>
          </w:rPr>
          <m:t>=</m:t>
        </m:r>
        <m:rad>
          <m:radPr>
            <m:degHide m:val="on"/>
          </m:radPr>
          <m:deg/>
          <m:e>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j</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i</m:t>
                </m:r>
              </m:sub>
            </m:sSub>
            <m:sSup>
              <m:e>
                <m:r>
                  <w:rPr>
                    <w:rFonts w:ascii="Cambria Math" w:hAnsi="Cambria Math" w:eastAsia="Cambria Math" w:cs="Cambria Math"/>
                    <w:sz w:val="20"/>
                    <w:szCs w:val="20"/>
                    <w:lang w:val="en-US"/>
                  </w:rPr>
                  <m:t>)</m:t>
                </m:r>
              </m:e>
              <m:sup>
                <m:r>
                  <w:rPr>
                    <w:rFonts w:ascii="Cambria Math" w:hAnsi="Cambria Math" w:eastAsia="Cambria Math" w:cs="Cambria Math"/>
                    <w:sz w:val="20"/>
                    <w:szCs w:val="20"/>
                    <w:lang w:val="en-US"/>
                  </w:rPr>
                  <m:t>2</m:t>
                </m:r>
              </m:sup>
            </m:sSup>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j</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i</m:t>
                </m:r>
              </m:sub>
            </m:sSub>
            <m:sSup>
              <m:e>
                <m:r>
                  <w:rPr>
                    <w:rFonts w:ascii="Cambria Math" w:hAnsi="Cambria Math" w:eastAsia="Cambria Math" w:cs="Cambria Math"/>
                    <w:sz w:val="20"/>
                    <w:szCs w:val="20"/>
                    <w:lang w:val="en-US"/>
                  </w:rPr>
                  <m:t>)</m:t>
                </m:r>
              </m:e>
              <m:sup>
                <m:r>
                  <w:rPr>
                    <w:rFonts w:ascii="Cambria Math" w:hAnsi="Cambria Math" w:eastAsia="Cambria Math" w:cs="Cambria Math"/>
                    <w:sz w:val="20"/>
                    <w:szCs w:val="20"/>
                    <w:lang w:val="en-US"/>
                  </w:rPr>
                  <m:t>2</m:t>
                </m:r>
              </m:sup>
            </m:sSup>
          </m:e>
        </m:rad>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Jarak piksel mentah berubah tergantung jarak tangan dari kamera. Untuk menghilangkan ketergantungan skala, dibagi dengan </w:t>
      </w:r>
      <m:oMath xmlns:mml="http://www.w3.org/1998/Math/MathML">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t>0,9</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(jarak pergelangan tangan ke middle-MCP):</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rPr>
                <m:sty m:val="p"/>
              </m:rPr>
              <m:t>norm</m:t>
            </m:r>
            <m:r>
              <w:rPr>
                <w:rFonts w:ascii="Cambria Math" w:hAnsi="Cambria Math" w:eastAsia="Cambria Math" w:cs="Cambria Math"/>
                <w:sz w:val="20"/>
                <w:szCs w:val="20"/>
                <w:lang w:val="en-US"/>
              </w:rPr>
              <m:t>,ij</m:t>
            </m:r>
          </m:sub>
        </m:sSub>
        <m:r>
          <w:rPr>
            <w:rFonts w:ascii="Cambria Math" w:hAnsi="Cambria Math" w:eastAsia="Cambria Math" w:cs="Cambria Math"/>
            <w:sz w:val="20"/>
            <w:szCs w:val="20"/>
            <w:lang w:val="en-US"/>
          </w:rPr>
          <m:t>=</m:t>
        </m:r>
        <m:f>
          <m:fPr>
            <m:type m:val="bar"/>
          </m:fPr>
          <m:num>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t>ij</m:t>
                </m:r>
              </m:sub>
            </m:sSub>
          </m:num>
          <m:den>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t>0,9</m:t>
                </m:r>
              </m:sub>
            </m:sSub>
          </m:den>
        </m:f>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Setelah normalisasi, </w:t>
      </w:r>
      <m:oMath xmlns:mml="http://www.w3.org/1998/Math/MathML">
        <m:sSub>
          <m:e>
            <m:r>
              <w:rPr>
                <w:rFonts w:ascii="Cambria Math" w:hAnsi="Cambria Math" w:eastAsia="Cambria Math" w:cs="Cambria Math"/>
                <w:sz w:val="20"/>
                <w:szCs w:val="20"/>
                <w:lang w:val="en-US"/>
              </w:rPr>
              <m:t>d</m:t>
            </m:r>
          </m:e>
          <m:sub>
            <m:r>
              <w:rPr>
                <w:rFonts w:ascii="Cambria Math" w:hAnsi="Cambria Math" w:eastAsia="Cambria Math" w:cs="Cambria Math"/>
                <w:sz w:val="20"/>
                <w:szCs w:val="20"/>
                <w:lang w:val="en-US"/>
              </w:rPr>
              <m:rPr>
                <m:sty m:val="p"/>
              </m:rPr>
              <m:t>norm</m:t>
            </m:r>
            <m:r>
              <w:rPr>
                <w:rFonts w:ascii="Cambria Math" w:hAnsi="Cambria Math" w:eastAsia="Cambria Math" w:cs="Cambria Math"/>
                <w:sz w:val="20"/>
                <w:szCs w:val="20"/>
                <w:lang w:val="en-US"/>
              </w:rPr>
              <m:t>,ij</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mencerminkan bentuk tangan independen dari jarak kamera. Untuk ekstensi jari, dibutuhkan sudut sendi. Vektor arah:</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limUpp>
              <m:e>
                <m:r>
                  <w:rPr>
                    <w:rFonts w:ascii="Cambria Math" w:hAnsi="Cambria Math" w:eastAsia="Cambria Math" w:cs="Cambria Math"/>
                    <w:sz w:val="20"/>
                    <w:szCs w:val="20"/>
                    <w:lang w:val="en-US"/>
                  </w:rPr>
                  <m:t>v</m:t>
                </m:r>
              </m:e>
              <m:lim>
                <m:r>
                  <w:rPr>
                    <w:rFonts w:ascii="Cambria Math" w:hAnsi="Cambria Math" w:eastAsia="Cambria Math" w:cs="Cambria Math"/>
                    <w:sz w:val="20"/>
                    <w:szCs w:val="20"/>
                    <w:lang w:val="en-US"/>
                  </w:rPr>
                  <m:t>→</m:t>
                </m:r>
              </m:lim>
            </m:limUpp>
          </m:e>
          <m:sub>
            <m:r>
              <w:rPr>
                <w:rFonts w:ascii="Cambria Math" w:hAnsi="Cambria Math" w:eastAsia="Cambria Math" w:cs="Cambria Math"/>
                <w:sz w:val="20"/>
                <w:szCs w:val="20"/>
                <w:lang w:val="en-US"/>
              </w:rPr>
              <m:t>ij</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j</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x</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j</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y</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Besarnya: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r>
          <w:rPr>
            <w:rFonts w:ascii="Cambria Math" w:hAnsi="Cambria Math" w:eastAsia="Cambria Math" w:cs="Cambria Math"/>
            <w:sz w:val="20"/>
            <w:szCs w:val="20"/>
            <w:lang w:val="en-US"/>
          </w:rPr>
          <m:t>|</m:t>
        </m:r>
        <m:limUpp>
          <m:e>
            <m:r>
              <w:rPr>
                <w:rFonts w:ascii="Cambria Math" w:hAnsi="Cambria Math" w:eastAsia="Cambria Math" w:cs="Cambria Math"/>
                <w:sz w:val="20"/>
                <w:szCs w:val="20"/>
                <w:lang w:val="en-US"/>
              </w:rPr>
              <m:t>v</m:t>
            </m:r>
          </m:e>
          <m:lim>
            <m:r>
              <w:rPr>
                <w:rFonts w:ascii="Cambria Math" w:hAnsi="Cambria Math" w:eastAsia="Cambria Math" w:cs="Cambria Math"/>
                <w:sz w:val="20"/>
                <w:szCs w:val="20"/>
                <w:lang w:val="en-US"/>
              </w:rPr>
              <m:t>→</m:t>
            </m:r>
          </m:lim>
        </m:limUpp>
        <m:r>
          <w:rPr>
            <w:rFonts w:ascii="Cambria Math" w:hAnsi="Cambria Math" w:eastAsia="Cambria Math" w:cs="Cambria Math"/>
            <w:sz w:val="20"/>
            <w:szCs w:val="20"/>
            <w:lang w:val="en-US"/>
          </w:rPr>
          <m:t>|=</m:t>
        </m:r>
        <m:rad>
          <m:radPr>
            <m:degHide m:val="on"/>
          </m:radPr>
          <m:deg/>
          <m:e>
            <m:sSubSup>
              <m:e>
                <m:r>
                  <w:rPr>
                    <w:rFonts w:ascii="Cambria Math" w:hAnsi="Cambria Math" w:eastAsia="Cambria Math" w:cs="Cambria Math"/>
                    <w:sz w:val="20"/>
                    <w:szCs w:val="20"/>
                    <w:lang w:val="en-US"/>
                  </w:rPr>
                  <m:t>v</m:t>
                </m:r>
              </m:e>
              <m:sub>
                <m:r>
                  <w:rPr>
                    <w:rFonts w:ascii="Cambria Math" w:hAnsi="Cambria Math" w:eastAsia="Cambria Math" w:cs="Cambria Math"/>
                    <w:sz w:val="20"/>
                    <w:szCs w:val="20"/>
                    <w:lang w:val="en-US"/>
                  </w:rPr>
                  <m:t>x</m:t>
                </m:r>
              </m:sub>
              <m:sup>
                <m:r>
                  <w:rPr>
                    <w:rFonts w:ascii="Cambria Math" w:hAnsi="Cambria Math" w:eastAsia="Cambria Math" w:cs="Cambria Math"/>
                    <w:sz w:val="20"/>
                    <w:szCs w:val="20"/>
                    <w:lang w:val="en-US"/>
                  </w:rPr>
                  <m:t>2</m:t>
                </m:r>
              </m:sup>
            </m:sSubSup>
            <m:r>
              <w:rPr>
                <w:rFonts w:ascii="Cambria Math" w:hAnsi="Cambria Math" w:eastAsia="Cambria Math" w:cs="Cambria Math"/>
                <w:sz w:val="20"/>
                <w:szCs w:val="20"/>
                <w:lang w:val="en-US"/>
              </w:rPr>
              <m:t>+</m:t>
            </m:r>
            <m:sSubSup>
              <m:e>
                <m:r>
                  <w:rPr>
                    <w:rFonts w:ascii="Cambria Math" w:hAnsi="Cambria Math" w:eastAsia="Cambria Math" w:cs="Cambria Math"/>
                    <w:sz w:val="20"/>
                    <w:szCs w:val="20"/>
                    <w:lang w:val="en-US"/>
                  </w:rPr>
                  <m:t>v</m:t>
                </m:r>
              </m:e>
              <m:sub>
                <m:r>
                  <w:rPr>
                    <w:rFonts w:ascii="Cambria Math" w:hAnsi="Cambria Math" w:eastAsia="Cambria Math" w:cs="Cambria Math"/>
                    <w:sz w:val="20"/>
                    <w:szCs w:val="20"/>
                    <w:lang w:val="en-US"/>
                  </w:rPr>
                  <m:t>y</m:t>
                </m:r>
              </m:sub>
              <m:sup>
                <m:r>
                  <w:rPr>
                    <w:rFonts w:ascii="Cambria Math" w:hAnsi="Cambria Math" w:eastAsia="Cambria Math" w:cs="Cambria Math"/>
                    <w:sz w:val="20"/>
                    <w:szCs w:val="20"/>
                    <w:lang w:val="en-US"/>
                  </w:rPr>
                  <m:t>2</m:t>
                </m:r>
              </m:sup>
            </m:sSubSup>
          </m:e>
        </m:rad>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(6)</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Dot product dari dua vektor segmen tulang yang bersebelahan: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limUpp>
          <m:e>
            <m:r>
              <w:rPr>
                <w:rFonts w:ascii="Cambria Math" w:hAnsi="Cambria Math" w:eastAsia="Cambria Math" w:cs="Cambria Math"/>
                <w:sz w:val="20"/>
                <w:szCs w:val="20"/>
                <w:lang w:val="en-US"/>
              </w:rPr>
              <m:t>A</m:t>
            </m:r>
          </m:e>
          <m:lim>
            <m:r>
              <w:rPr>
                <w:rFonts w:ascii="Cambria Math" w:hAnsi="Cambria Math" w:eastAsia="Cambria Math" w:cs="Cambria Math"/>
                <w:sz w:val="20"/>
                <w:szCs w:val="20"/>
                <w:lang w:val="en-US"/>
              </w:rPr>
              <m:t>→</m:t>
            </m:r>
          </m:lim>
        </m:limUpp>
        <m:r>
          <w:rPr>
            <w:rFonts w:ascii="Cambria Math" w:hAnsi="Cambria Math" w:eastAsia="Cambria Math" w:cs="Cambria Math"/>
            <w:sz w:val="20"/>
            <w:szCs w:val="20"/>
            <w:lang w:val="en-US"/>
          </w:rPr>
          <m:t>·</m:t>
        </m:r>
        <m:limUpp>
          <m:e>
            <m:r>
              <w:rPr>
                <w:rFonts w:ascii="Cambria Math" w:hAnsi="Cambria Math" w:eastAsia="Cambria Math" w:cs="Cambria Math"/>
                <w:sz w:val="20"/>
                <w:szCs w:val="20"/>
                <w:lang w:val="en-US"/>
              </w:rPr>
              <m:t>B</m:t>
            </m:r>
          </m:e>
          <m:lim>
            <m:r>
              <w:rPr>
                <w:rFonts w:ascii="Cambria Math" w:hAnsi="Cambria Math" w:eastAsia="Cambria Math" w:cs="Cambria Math"/>
                <w:sz w:val="20"/>
                <w:szCs w:val="20"/>
                <w:lang w:val="en-US"/>
              </w:rPr>
              <m:t>→</m:t>
            </m:r>
          </m:lim>
        </m:limUpp>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x</m:t>
            </m:r>
          </m:sub>
        </m:sSub>
        <m:sSub>
          <m:e>
            <m:r>
              <w:rPr>
                <w:rFonts w:ascii="Cambria Math" w:hAnsi="Cambria Math" w:eastAsia="Cambria Math" w:cs="Cambria Math"/>
                <w:sz w:val="20"/>
                <w:szCs w:val="20"/>
                <w:lang w:val="en-US"/>
              </w:rPr>
              <m:t>B</m:t>
            </m:r>
          </m:e>
          <m:sub>
            <m:r>
              <w:rPr>
                <w:rFonts w:ascii="Cambria Math" w:hAnsi="Cambria Math" w:eastAsia="Cambria Math" w:cs="Cambria Math"/>
                <w:sz w:val="20"/>
                <w:szCs w:val="20"/>
                <w:lang w:val="en-US"/>
              </w:rPr>
              <m:t>x</m:t>
            </m:r>
          </m:sub>
        </m:sSub>
        <m:r>
          <w:rPr>
            <w:rFonts w:ascii="Cambria Math" w:hAnsi="Cambria Math" w:eastAsia="Cambria Math" w:cs="Cambria Math"/>
            <w:sz w:val="20"/>
            <w:szCs w:val="20"/>
            <w:lang w:val="en-US"/>
          </w:rPr>
          <m: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t>y</m:t>
            </m:r>
          </m:sub>
        </m:sSub>
        <m:sSub>
          <m:e>
            <m:r>
              <w:rPr>
                <w:rFonts w:ascii="Cambria Math" w:hAnsi="Cambria Math" w:eastAsia="Cambria Math" w:cs="Cambria Math"/>
                <w:sz w:val="20"/>
                <w:szCs w:val="20"/>
                <w:lang w:val="en-US"/>
              </w:rPr>
              <m:t>B</m:t>
            </m:r>
          </m:e>
          <m:sub>
            <m:r>
              <w:rPr>
                <w:rFonts w:ascii="Cambria Math" w:hAnsi="Cambria Math" w:eastAsia="Cambria Math" w:cs="Cambria Math"/>
                <w:sz w:val="20"/>
                <w:szCs w:val="20"/>
                <w:lang w:val="en-US"/>
              </w:rPr>
              <m:t>y</m:t>
            </m:r>
          </m:sub>
        </m:sSub>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Sudut antar-sendi, untuk tiga landmark berurutan (</w:t>
      </w:r>
      <m:oMath xmlns:mml="http://www.w3.org/1998/Math/MathML">
        <m:r>
          <w:rPr>
            <w:rFonts w:ascii="Cambria Math" w:hAnsi="Cambria Math" w:eastAsia="Cambria Math" w:cs="Cambria Math"/>
            <w:sz w:val="20"/>
            <w:szCs w:val="20"/>
            <w:lang w:val="en-US"/>
          </w:rPr>
          <m:t>A</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ujung jari, </w:t>
      </w:r>
      <m:oMath xmlns:mml="http://www.w3.org/1998/Math/MathML">
        <m:r>
          <w:rPr>
            <w:rFonts w:ascii="Cambria Math" w:hAnsi="Cambria Math" w:eastAsia="Cambria Math" w:cs="Cambria Math"/>
            <w:sz w:val="20"/>
            <w:szCs w:val="20"/>
            <w:lang w:val="en-US"/>
          </w:rPr>
          <m:t>B</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sendi tengah, </w:t>
      </w:r>
      <m:oMath xmlns:mml="http://www.w3.org/1998/Math/MathML">
        <m:r>
          <w:rPr>
            <w:rFonts w:ascii="Cambria Math" w:hAnsi="Cambria Math" w:eastAsia="Cambria Math" w:cs="Cambria Math"/>
            <w:sz w:val="20"/>
            <w:szCs w:val="20"/>
            <w:lang w:val="en-US"/>
          </w:rPr>
          <m:t>C</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pangkal):</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r>
          <w:rPr>
            <w:rFonts w:ascii="Cambria Math" w:hAnsi="Cambria Math" w:eastAsia="Cambria Math" w:cs="Cambria Math"/>
            <w:sz w:val="20"/>
            <w:szCs w:val="20"/>
            <w:lang w:val="en-US"/>
          </w:rPr>
          <m:t>θ=</m:t>
        </m:r>
        <m:sSup>
          <m:e>
            <m:r>
              <w:rPr>
                <w:rFonts w:ascii="Cambria Math" w:hAnsi="Cambria Math" w:eastAsia="Cambria Math" w:cs="Cambria Math"/>
                <w:sz w:val="20"/>
                <w:szCs w:val="20"/>
                <w:lang w:val="en-US"/>
              </w:rPr>
              <m:rPr>
                <m:sty m:val="p"/>
              </m:rPr>
              <m:t>cos</m:t>
            </m:r>
          </m:e>
          <m:sup>
            <m:r>
              <w:rPr>
                <w:rFonts w:ascii="Cambria Math" w:hAnsi="Cambria Math" w:eastAsia="Cambria Math" w:cs="Cambria Math"/>
                <w:sz w:val="20"/>
                <w:szCs w:val="20"/>
                <w:lang w:val="en-US"/>
              </w:rPr>
              <m:t>−1</m:t>
            </m:r>
          </m:sup>
        </m:sSup>
        <m:r>
          <w:rPr>
            <w:rFonts w:ascii="Cambria Math" w:hAnsi="Cambria Math" w:eastAsia="Cambria Math" w:cs="Cambria Math"/>
            <w:sz w:val="20"/>
            <w:szCs w:val="20"/>
            <w:lang w:val="en-US"/>
          </w:rPr>
          <m:t>(</m:t>
        </m:r>
        <m:f>
          <m:fPr>
            <m:type m:val="bar"/>
          </m:fPr>
          <m:num>
            <m:limUpp>
              <m:e>
                <m:r>
                  <w:rPr>
                    <w:rFonts w:ascii="Cambria Math" w:hAnsi="Cambria Math" w:eastAsia="Cambria Math" w:cs="Cambria Math"/>
                    <w:sz w:val="20"/>
                    <w:szCs w:val="20"/>
                    <w:lang w:val="en-US"/>
                  </w:rPr>
                  <m:t>BA</m:t>
                </m:r>
              </m:e>
              <m:lim>
                <m:r>
                  <w:rPr>
                    <w:rFonts w:ascii="Cambria Math" w:hAnsi="Cambria Math" w:eastAsia="Cambria Math" w:cs="Cambria Math"/>
                    <w:sz w:val="20"/>
                    <w:szCs w:val="20"/>
                    <w:lang w:val="en-US"/>
                  </w:rPr>
                  <m:t>→</m:t>
                </m:r>
              </m:lim>
            </m:limUpp>
            <m:r>
              <w:rPr>
                <w:rFonts w:ascii="Cambria Math" w:hAnsi="Cambria Math" w:eastAsia="Cambria Math" w:cs="Cambria Math"/>
                <w:sz w:val="20"/>
                <w:szCs w:val="20"/>
                <w:lang w:val="en-US"/>
              </w:rPr>
              <m:t>·</m:t>
            </m:r>
            <m:limUpp>
              <m:e>
                <m:r>
                  <w:rPr>
                    <w:rFonts w:ascii="Cambria Math" w:hAnsi="Cambria Math" w:eastAsia="Cambria Math" w:cs="Cambria Math"/>
                    <w:sz w:val="20"/>
                    <w:szCs w:val="20"/>
                    <w:lang w:val="en-US"/>
                  </w:rPr>
                  <m:t>BC</m:t>
                </m:r>
              </m:e>
              <m:lim>
                <m:r>
                  <w:rPr>
                    <w:rFonts w:ascii="Cambria Math" w:hAnsi="Cambria Math" w:eastAsia="Cambria Math" w:cs="Cambria Math"/>
                    <w:sz w:val="20"/>
                    <w:szCs w:val="20"/>
                    <w:lang w:val="en-US"/>
                  </w:rPr>
                  <m:t>→</m:t>
                </m:r>
              </m:lim>
            </m:limUpp>
          </m:num>
          <m:den>
            <m:r>
              <w:rPr>
                <w:rFonts w:ascii="Cambria Math" w:hAnsi="Cambria Math" w:eastAsia="Cambria Math" w:cs="Cambria Math"/>
                <w:sz w:val="20"/>
                <w:szCs w:val="20"/>
                <w:lang w:val="en-US"/>
              </w:rPr>
              <m:t>|</m:t>
            </m:r>
            <m:limUpp>
              <m:e>
                <m:r>
                  <w:rPr>
                    <w:rFonts w:ascii="Cambria Math" w:hAnsi="Cambria Math" w:eastAsia="Cambria Math" w:cs="Cambria Math"/>
                    <w:sz w:val="20"/>
                    <w:szCs w:val="20"/>
                    <w:lang w:val="en-US"/>
                  </w:rPr>
                  <m:t>BA</m:t>
                </m:r>
              </m:e>
              <m:lim>
                <m:r>
                  <w:rPr>
                    <w:rFonts w:ascii="Cambria Math" w:hAnsi="Cambria Math" w:eastAsia="Cambria Math" w:cs="Cambria Math"/>
                    <w:sz w:val="20"/>
                    <w:szCs w:val="20"/>
                    <w:lang w:val="en-US"/>
                  </w:rPr>
                  <m:t>→</m:t>
                </m:r>
              </m:lim>
            </m:limUpp>
            <m:r>
              <w:rPr>
                <w:rFonts w:ascii="Cambria Math" w:hAnsi="Cambria Math" w:eastAsia="Cambria Math" w:cs="Cambria Math"/>
                <w:sz w:val="20"/>
                <w:szCs w:val="20"/>
                <w:lang w:val="en-US"/>
              </w:rPr>
              <m:t>|·|</m:t>
            </m:r>
            <m:limUpp>
              <m:e>
                <m:r>
                  <w:rPr>
                    <w:rFonts w:ascii="Cambria Math" w:hAnsi="Cambria Math" w:eastAsia="Cambria Math" w:cs="Cambria Math"/>
                    <w:sz w:val="20"/>
                    <w:szCs w:val="20"/>
                    <w:lang w:val="en-US"/>
                  </w:rPr>
                  <m:t>BC</m:t>
                </m:r>
              </m:e>
              <m:lim>
                <m:r>
                  <w:rPr>
                    <w:rFonts w:ascii="Cambria Math" w:hAnsi="Cambria Math" w:eastAsia="Cambria Math" w:cs="Cambria Math"/>
                    <w:sz w:val="20"/>
                    <w:szCs w:val="20"/>
                    <w:lang w:val="en-US"/>
                  </w:rPr>
                  <m:t>→</m:t>
                </m:r>
              </m:lim>
            </m:limUpp>
            <m:r>
              <w:rPr>
                <w:rFonts w:ascii="Cambria Math" w:hAnsi="Cambria Math" w:eastAsia="Cambria Math" w:cs="Cambria Math"/>
                <w:sz w:val="20"/>
                <w:szCs w:val="20"/>
                <w:lang w:val="en-US"/>
              </w:rPr>
              <m:t>|</m:t>
            </m:r>
          </m:den>
        </m:f>
        <m:r>
          <w:rPr>
            <w:rFonts w:ascii="Cambria Math" w:hAnsi="Cambria Math" w:eastAsia="Cambria Math" w:cs="Cambria Math"/>
            <w:sz w:val="20"/>
            <w:szCs w:val="20"/>
            <w:lang w:val="en-US"/>
          </w:rPr>
          <m:t>)</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(8)</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Sudut </w:t>
      </w:r>
      <m:oMath xmlns:mml="http://www.w3.org/1998/Math/MathML">
        <m:r>
          <w:rPr>
            <w:rFonts w:ascii="Cambria Math" w:hAnsi="Cambria Math" w:eastAsia="Cambria Math" w:cs="Cambria Math"/>
            <w:sz w:val="20"/>
            <w:szCs w:val="20"/>
            <w:lang w:val="en-US"/>
          </w:rPr>
          <m:t>θ</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menentukan apakah jari terektensi atau tertutup. Setelah kalibrasi, </w:t>
      </w:r>
      <m:oMath xmlns:mml="http://www.w3.org/1998/Math/MathML">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open</m:t>
            </m:r>
          </m:sub>
        </m:sSub>
        <m:r>
          <w:rPr>
            <w:rFonts w:ascii="Cambria Math" w:hAnsi="Cambria Math" w:eastAsia="Cambria Math" w:cs="Cambria Math"/>
            <w:sz w:val="20"/>
            <w:szCs w:val="20"/>
            <w:lang w:val="en-US"/>
          </w:rPr>
          <m:t>≈</m:t>
        </m:r>
        <m:sSup>
          <m:e>
            <m:r>
              <w:rPr>
                <w:rFonts w:ascii="Cambria Math" w:hAnsi="Cambria Math" w:eastAsia="Cambria Math" w:cs="Cambria Math"/>
                <w:sz w:val="20"/>
                <w:szCs w:val="20"/>
                <w:lang w:val="en-US"/>
              </w:rPr>
              <m:t>160</m:t>
            </m:r>
          </m:e>
          <m:sup>
            <m:r>
              <w:rPr>
                <w:rFonts w:ascii="Cambria Math" w:hAnsi="Cambria Math" w:eastAsia="Cambria Math" w:cs="Cambria Math"/>
                <w:sz w:val="20"/>
                <w:szCs w:val="20"/>
                <w:lang w:val="en-US"/>
              </w:rPr>
              <m:t>∘</m:t>
            </m:r>
          </m:sup>
        </m:s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t>
      </w:r>
      <m:oMath xmlns:mml="http://www.w3.org/1998/Math/MathML">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close</m:t>
            </m:r>
          </m:sub>
        </m:sSub>
        <m:r>
          <w:rPr>
            <w:rFonts w:ascii="Cambria Math" w:hAnsi="Cambria Math" w:eastAsia="Cambria Math" w:cs="Cambria Math"/>
            <w:sz w:val="20"/>
            <w:szCs w:val="20"/>
            <w:lang w:val="en-US"/>
          </w:rPr>
          <m:t>≈</m:t>
        </m:r>
        <m:sSup>
          <m:e>
            <m:r>
              <w:rPr>
                <w:rFonts w:ascii="Cambria Math" w:hAnsi="Cambria Math" w:eastAsia="Cambria Math" w:cs="Cambria Math"/>
                <w:sz w:val="20"/>
                <w:szCs w:val="20"/>
                <w:lang w:val="en-US"/>
              </w:rPr>
              <m:t>140</m:t>
            </m:r>
          </m:e>
          <m:sup>
            <m:r>
              <w:rPr>
                <w:rFonts w:ascii="Cambria Math" w:hAnsi="Cambria Math" w:eastAsia="Cambria Math" w:cs="Cambria Math"/>
                <w:sz w:val="20"/>
                <w:szCs w:val="20"/>
                <w:lang w:val="en-US"/>
              </w:rPr>
              <m:t>∘</m:t>
            </m:r>
          </m:sup>
        </m:sSup>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Jika </w:t>
      </w:r>
      <m:oMath xmlns:mml="http://www.w3.org/1998/Math/MathML">
        <m:r>
          <w:rPr>
            <w:rFonts w:ascii="Cambria Math" w:hAnsi="Cambria Math" w:eastAsia="Cambria Math" w:cs="Cambria Math"/>
            <w:sz w:val="20"/>
            <w:szCs w:val="20"/>
            <w:lang w:val="en-US"/>
          </w:rPr>
          <m:t>θ&gt;</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open</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maka jari terektensi (</w:t>
      </w:r>
      <m:oMath xmlns:mml="http://www.w3.org/1998/Math/MathML">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=1</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 bawah </w:t>
      </w:r>
      <m:oMath xmlns:mml="http://www.w3.org/1998/Math/MathML">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close</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maka tertutup (</w:t>
      </w:r>
      <m:oMath xmlns:mml="http://www.w3.org/1998/Math/MathML">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=0</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r>
          <w:rPr>
            <w:rFonts w:ascii="Cambria Math" w:hAnsi="Cambria Math" w:eastAsia="Cambria Math" w:cs="Cambria Math"/>
            <w:sz w:val="20"/>
            <w:szCs w:val="20"/>
            <w:lang w:val="en-US"/>
          </w:rPr>
          <m:t>{</m:t>
        </m:r>
        <m:m>
          <m:mPr>
            <m:baseJc m:val="center"/>
            <m:plcHide m:val="on"/>
            <m:mcs>
              <m:mc>
                <m:mcPr>
                  <m:count m:val="2"/>
                  <m:mcJc m:val="center"/>
                </m:mcPr>
              </m:mc>
            </m:mcs>
          </m:mPr>
          <m:mr>
            <m:e>
              <m:r>
                <w:rPr>
                  <w:rFonts w:ascii="Cambria Math" w:hAnsi="Cambria Math" w:eastAsia="Cambria Math" w:cs="Cambria Math"/>
                  <w:sz w:val="20"/>
                  <w:szCs w:val="20"/>
                  <w:lang w:val="en-US"/>
                </w:rPr>
                <m:t>1,</m:t>
              </m:r>
            </m:e>
            <m:e>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&gt;</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open</m:t>
                  </m:r>
                </m:sub>
              </m:sSub>
            </m:e>
          </m:mr>
          <m:mr>
            <m:e>
              <m:r>
                <w:rPr>
                  <w:rFonts w:ascii="Cambria Math" w:hAnsi="Cambria Math" w:eastAsia="Cambria Math" w:cs="Cambria Math"/>
                  <w:sz w:val="20"/>
                  <w:szCs w:val="20"/>
                  <w:lang w:val="en-US"/>
                </w:rPr>
                <m:t>0,</m:t>
              </m:r>
            </m:e>
            <m:e>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&lt;</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close</m:t>
                  </m:r>
                </m:sub>
              </m:sSub>
            </m:e>
          </m:mr>
        </m:m>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Threshold tunggal menyebabkan toggling cepat di dekat batas saat tangan diputar. Diperbaiki dengan histeresis dua batas terpisah, </w:t>
      </w:r>
      <m:oMath xmlns:mml="http://www.w3.org/1998/Math/MathML">
        <m:r>
          <w:rPr>
            <w:rFonts w:ascii="Cambria Math" w:hAnsi="Cambria Math" w:eastAsia="Cambria Math" w:cs="Cambria Math"/>
            <w:sz w:val="20"/>
            <w:szCs w:val="20"/>
            <w:lang w:val="en-US"/>
          </w:rPr>
          <m:t>het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rPr>
                <m:sty m:val="p"/>
              </m:rPr>
              <m:t>high</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w:t>
      </w:r>
      <m:oMath xmlns:mml="http://www.w3.org/1998/Math/MathML">
        <m:r>
          <w:rPr>
            <w:rFonts w:ascii="Cambria Math" w:hAnsi="Cambria Math" w:eastAsia="Cambria Math" w:cs="Cambria Math"/>
            <w:sz w:val="20"/>
            <w:szCs w:val="20"/>
            <w:lang w:val="en-US"/>
          </w:rPr>
          <m:t>het</m:t>
        </m:r>
        <m:sSub>
          <m:e>
            <m:r>
              <w:rPr>
                <w:rFonts w:ascii="Cambria Math" w:hAnsi="Cambria Math" w:eastAsia="Cambria Math" w:cs="Cambria Math"/>
                <w:sz w:val="20"/>
                <w:szCs w:val="20"/>
                <w:lang w:val="en-US"/>
              </w:rPr>
              <m:t>a</m:t>
            </m:r>
          </m:e>
          <m:sub>
            <m:r>
              <w:rPr>
                <w:rFonts w:ascii="Cambria Math" w:hAnsi="Cambria Math" w:eastAsia="Cambria Math" w:cs="Cambria Math"/>
                <w:sz w:val="20"/>
                <w:szCs w:val="20"/>
                <w:lang w:val="en-US"/>
              </w:rPr>
              <m:rPr>
                <m:sty m:val="p"/>
              </m:rPr>
              <m:t>low</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(t)=</m:t>
        </m:r>
        <m:r>
          <w:rPr>
            <w:rFonts w:ascii="Cambria Math" w:hAnsi="Cambria Math" w:eastAsia="Cambria Math" w:cs="Cambria Math"/>
            <w:sz w:val="20"/>
            <w:szCs w:val="20"/>
            <w:lang w:val="en-US"/>
          </w:rPr>
          <m:t>{</m:t>
        </m:r>
        <m:m>
          <m:mPr>
            <m:baseJc m:val="center"/>
            <m:plcHide m:val="on"/>
            <m:mcs>
              <m:mc>
                <m:mcPr>
                  <m:count m:val="2"/>
                  <m:mcJc m:val="center"/>
                </m:mcPr>
              </m:mc>
            </m:mcs>
          </m:mPr>
          <m:mr>
            <m:e>
              <m:r>
                <w:rPr>
                  <w:rFonts w:ascii="Cambria Math" w:hAnsi="Cambria Math" w:eastAsia="Cambria Math" w:cs="Cambria Math"/>
                  <w:sz w:val="20"/>
                  <w:szCs w:val="20"/>
                  <w:lang w:val="en-US"/>
                </w:rPr>
                <m:t>1,</m:t>
              </m:r>
            </m:e>
            <m:e>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&gt;</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high</m:t>
                  </m:r>
                </m:sub>
              </m:sSub>
            </m:e>
          </m:mr>
          <m:mr>
            <m:e>
              <m:r>
                <w:rPr>
                  <w:rFonts w:ascii="Cambria Math" w:hAnsi="Cambria Math" w:eastAsia="Cambria Math" w:cs="Cambria Math"/>
                  <w:sz w:val="20"/>
                  <w:szCs w:val="20"/>
                  <w:lang w:val="en-US"/>
                </w:rPr>
                <m:t>0,</m:t>
              </m:r>
            </m:e>
            <m:e>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&lt;</m:t>
              </m:r>
              <m:sSub>
                <m:e>
                  <m:r>
                    <w:rPr>
                      <w:rFonts w:ascii="Cambria Math" w:hAnsi="Cambria Math" w:eastAsia="Cambria Math" w:cs="Cambria Math"/>
                      <w:sz w:val="20"/>
                      <w:szCs w:val="20"/>
                      <w:lang w:val="en-US"/>
                    </w:rPr>
                    <m:t>θ</m:t>
                  </m:r>
                </m:e>
                <m:sub>
                  <m:r>
                    <w:rPr>
                      <w:rFonts w:ascii="Cambria Math" w:hAnsi="Cambria Math" w:eastAsia="Cambria Math" w:cs="Cambria Math"/>
                      <w:sz w:val="20"/>
                      <w:szCs w:val="20"/>
                      <w:lang w:val="en-US"/>
                    </w:rPr>
                    <m:rPr>
                      <m:sty m:val="p"/>
                    </m:rPr>
                    <m:t>low</m:t>
                  </m:r>
                </m:sub>
              </m:sSub>
            </m:e>
          </m:mr>
          <m:mr>
            <m:e>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(t−1),</m:t>
              </m:r>
            </m:e>
            <m:e>
              <m:r>
                <w:rPr>
                  <w:rFonts w:ascii="Cambria Math" w:hAnsi="Cambria Math" w:eastAsia="Cambria Math" w:cs="Cambria Math"/>
                  <w:sz w:val="20"/>
                  <w:szCs w:val="20"/>
                  <w:lang w:val="en-US"/>
                </w:rPr>
                <m:rPr>
                  <m:sty m:val="p"/>
                </m:rPr>
                <m:t>otherwise</m:t>
              </m:r>
            </m:e>
          </m:mr>
        </m:m>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 atas histeresis, voting mayoritas sliding-window menghaluskan output di sepanjang </w:t>
      </w:r>
      <m:oMath xmlns:mml="http://www.w3.org/1998/Math/MathML">
        <m:r>
          <w:rPr>
            <w:rFonts w:ascii="Cambria Math" w:hAnsi="Cambria Math" w:eastAsia="Cambria Math" w:cs="Cambria Math"/>
            <w:sz w:val="20"/>
            <w:szCs w:val="20"/>
            <w:lang w:val="en-US"/>
          </w:rPr>
          <m:t>N</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frame terakhir: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f>
          <m:fPr>
            <m:type m:val="bar"/>
          </m:fPr>
          <m:num>
            <m:r>
              <w:rPr>
                <w:rFonts w:ascii="Cambria Math" w:hAnsi="Cambria Math" w:eastAsia="Cambria Math" w:cs="Cambria Math"/>
                <w:sz w:val="20"/>
                <w:szCs w:val="20"/>
                <w:lang w:val="en-US"/>
              </w:rPr>
              <m:t>1</m:t>
            </m:r>
          </m:num>
          <m:den>
            <m:r>
              <w:rPr>
                <w:rFonts w:ascii="Cambria Math" w:hAnsi="Cambria Math" w:eastAsia="Cambria Math" w:cs="Cambria Math"/>
                <w:sz w:val="20"/>
                <w:szCs w:val="20"/>
                <w:lang w:val="en-US"/>
              </w:rPr>
              <m:t>N</m:t>
            </m:r>
          </m:den>
        </m:f>
        <m:nary>
          <m:naryPr>
            <m:chr m:val="∑"/>
            <m:limLoc m:val="subSup"/>
            <m:grow m:val="1"/>
            <m:subHide m:val="off"/>
            <m:supHide m:val="off"/>
          </m:naryPr>
          <m:sub>
            <m:r>
              <w:rPr>
                <w:rFonts w:ascii="Cambria Math" w:hAnsi="Cambria Math" w:eastAsia="Cambria Math" w:cs="Cambria Math"/>
                <w:sz w:val="20"/>
                <w:szCs w:val="20"/>
                <w:lang w:val="en-US"/>
              </w:rPr>
              <m:t>k=0</m:t>
            </m:r>
          </m:sub>
          <m:sup>
            <m:r>
              <w:rPr>
                <w:rFonts w:ascii="Cambria Math" w:hAnsi="Cambria Math" w:eastAsia="Cambria Math" w:cs="Cambria Math"/>
                <w:sz w:val="20"/>
                <w:szCs w:val="20"/>
                <w:lang w:val="en-US"/>
              </w:rPr>
              <m:t>N−1</m:t>
            </m:r>
          </m:sup>
          <m:e>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(t−k)</m:t>
            </m:r>
          </m:e>
        </m:nary>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Output biner final </w:t>
      </w:r>
      <m:oMath xmlns:mml="http://www.w3.org/1998/Math/MathML">
        <m:sSub>
          <m:e>
            <m:acc>
              <m:accPr>
                <m:chr m:val="̂"/>
              </m:accPr>
              <m:e>
                <m:r>
                  <w:rPr>
                    <w:rFonts w:ascii="Cambria Math" w:hAnsi="Cambria Math" w:eastAsia="Cambria Math" w:cs="Cambria Math"/>
                    <w:sz w:val="20"/>
                    <w:szCs w:val="20"/>
                    <w:lang w:val="en-US"/>
                  </w:rPr>
                  <m:t>f</m:t>
                </m:r>
              </m:e>
            </m:acc>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bernilai 1 hanya jika lebih dari fraksi </w:t>
      </w:r>
      <m:oMath xmlns:mml="http://www.w3.org/1998/Math/MathML">
        <m:r>
          <w:rPr>
            <w:rFonts w:ascii="Cambria Math" w:hAnsi="Cambria Math" w:eastAsia="Cambria Math" w:cs="Cambria Math"/>
            <w:sz w:val="20"/>
            <w:szCs w:val="20"/>
            <w:lang w:val="en-US"/>
          </w:rPr>
          <m:t>T</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dari frame terbaru menyetujui bahwa jari terektensi: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sSub>
          <m:e>
            <m:acc>
              <m:accPr>
                <m:chr m:val="̂"/>
              </m:accPr>
              <m:e>
                <m:r>
                  <w:rPr>
                    <w:rFonts w:ascii="Cambria Math" w:hAnsi="Cambria Math" w:eastAsia="Cambria Math" w:cs="Cambria Math"/>
                    <w:sz w:val="20"/>
                    <w:szCs w:val="20"/>
                    <w:lang w:val="en-US"/>
                  </w:rPr>
                  <m:t>f</m:t>
                </m:r>
              </m:e>
            </m:acc>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m:t>
        </m:r>
        <m:r>
          <w:rPr>
            <w:rFonts w:ascii="Cambria Math" w:hAnsi="Cambria Math" w:eastAsia="Cambria Math" w:cs="Cambria Math"/>
            <w:sz w:val="20"/>
            <w:szCs w:val="20"/>
            <w:lang w:val="en-US"/>
          </w:rPr>
          <m:t>{</m:t>
        </m:r>
        <m:m>
          <m:mPr>
            <m:baseJc m:val="center"/>
            <m:plcHide m:val="on"/>
            <m:mcs>
              <m:mc>
                <m:mcPr>
                  <m:count m:val="2"/>
                  <m:mcJc m:val="center"/>
                </m:mcPr>
              </m:mc>
            </m:mcs>
          </m:mPr>
          <m:mr>
            <m:e>
              <m:r>
                <w:rPr>
                  <w:rFonts w:ascii="Cambria Math" w:hAnsi="Cambria Math" w:eastAsia="Cambria Math" w:cs="Cambria Math"/>
                  <w:sz w:val="20"/>
                  <w:szCs w:val="20"/>
                  <w:lang w:val="en-US"/>
                </w:rPr>
                <m:t>1,</m:t>
              </m:r>
            </m:e>
            <m:e>
              <m:sSub>
                <m:e>
                  <m:r>
                    <w:rPr>
                      <w:rFonts w:ascii="Cambria Math" w:hAnsi="Cambria Math" w:eastAsia="Cambria Math" w:cs="Cambria Math"/>
                      <w:sz w:val="20"/>
                      <w:szCs w:val="20"/>
                      <w:lang w:val="en-US"/>
                    </w:rPr>
                    <m:t>F</m:t>
                  </m:r>
                </m:e>
                <m:sub>
                  <m:r>
                    <w:rPr>
                      <w:rFonts w:ascii="Cambria Math" w:hAnsi="Cambria Math" w:eastAsia="Cambria Math" w:cs="Cambria Math"/>
                      <w:sz w:val="20"/>
                      <w:szCs w:val="20"/>
                      <w:lang w:val="en-US"/>
                    </w:rPr>
                    <m:t>i</m:t>
                  </m:r>
                </m:sub>
              </m:sSub>
              <m:r>
                <w:rPr>
                  <w:rFonts w:ascii="Cambria Math" w:hAnsi="Cambria Math" w:eastAsia="Cambria Math" w:cs="Cambria Math"/>
                  <w:sz w:val="20"/>
                  <w:szCs w:val="20"/>
                  <w:lang w:val="en-US"/>
                </w:rPr>
                <m:t>&gt;T</m:t>
              </m:r>
            </m:e>
          </m:mr>
          <m:mr>
            <m:e>
              <m:r>
                <w:rPr>
                  <w:rFonts w:ascii="Cambria Math" w:hAnsi="Cambria Math" w:eastAsia="Cambria Math" w:cs="Cambria Math"/>
                  <w:sz w:val="20"/>
                  <w:szCs w:val="20"/>
                  <w:lang w:val="en-US"/>
                </w:rPr>
                <m:t>0,</m:t>
              </m:r>
            </m:e>
            <m:e>
              <m:r>
                <w:rPr>
                  <w:rFonts w:ascii="Cambria Math" w:hAnsi="Cambria Math" w:eastAsia="Cambria Math" w:cs="Cambria Math"/>
                  <w:sz w:val="20"/>
                  <w:szCs w:val="20"/>
                  <w:lang w:val="en-US"/>
                </w:rPr>
                <m:rPr>
                  <m:sty m:val="p"/>
                </m:rPr>
                <m:t>otherwise</m:t>
              </m:r>
            </m:e>
          </m:mr>
        </m:m>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Histeresis ditambah voting berjendela memangkas false-trigger mendekati nol pada kondisi normal. Trade-off-nya: latensi. Pada </w:t>
      </w:r>
      <m:oMath xmlns:mml="http://www.w3.org/1998/Math/MathML">
        <m:r>
          <w:rPr>
            <w:rFonts w:ascii="Cambria Math" w:hAnsi="Cambria Math" w:eastAsia="Cambria Math" w:cs="Cambria Math"/>
            <w:sz w:val="20"/>
            <w:szCs w:val="20"/>
            <w:lang w:val="en-US"/>
          </w:rPr>
          <m:t>N=5</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dan 30 fps, debounce menambahkan ~83 ms, karena gestur biasanya stabil dalam 2-3 frame. Array biner </w:t>
      </w:r>
      <m:oMath xmlns:mml="http://www.w3.org/1998/Math/MathML">
        <m:sSub>
          <m:e>
            <m:acc>
              <m:accPr>
                <m:chr m:val="̂"/>
              </m:accPr>
              <m:e>
                <m:r>
                  <w:rPr>
                    <w:rFonts w:ascii="Cambria Math" w:hAnsi="Cambria Math" w:eastAsia="Cambria Math" w:cs="Cambria Math"/>
                    <w:sz w:val="20"/>
                    <w:szCs w:val="20"/>
                    <w:lang w:val="en-US"/>
                  </w:rPr>
                  <m:t>f</m:t>
                </m:r>
              </m:e>
            </m:acc>
          </m:e>
          <m:sub>
            <m:r>
              <w:rPr>
                <w:rFonts w:ascii="Cambria Math" w:hAnsi="Cambria Math" w:eastAsia="Cambria Math" w:cs="Cambria Math"/>
                <w:sz w:val="20"/>
                <w:szCs w:val="20"/>
                <w:lang w:val="en-US"/>
              </w:rPr>
              <m:t>i</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kemudian diantrikan untuk penulisan Modbus FC15.</w:t>
      </w:r>
    </w:p>
    <w:p>
      <w:pPr>
        <w:pStyle w:val="Title"/>
        <w:spacing w:after="0" w:before="0" w:line="240" w:lineRule="auto"/>
        <w:jc w:val="both"/>
        <w:rPr>
          <w:sz w:val="20"/>
          <w:szCs w:val="20"/>
        </w:rPr>
      </w:pPr>
      <w:r>
        <w:rPr>
          <w:sz w:val="20"/>
          <w:szCs w:val="20"/>
          <w:rtl w:val="0"/>
        </w:rPr>
        <w:t xml:space="preserve">D. </w:t>
      </w:r>
      <w:r>
        <w:rPr>
          <w:i/>
          <w:iCs w:val="1"/>
          <w:sz w:val="20"/>
          <w:szCs w:val="20"/>
          <w:rtl w:val="0"/>
        </w:rPr>
        <w:t>Integrasi MediaPipe dan Pymodbus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GUI PyQt5 awalnya ditulis untuk diagnostik, namun juga berfungsi sebagai panel kontrol demo. Antarmuka merender webcam langsung dengan landmark MediaPipe ditumpangkan, dan deretan indikator berwarna menunjukkan coil PLC yang aktif. Enam kelas gestur dipetakan ke pola coil Tabel I mencantumkan masing-masing.</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 Pemetaan Gestur ke Coil Modbus</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2125.875"/>
        <w:gridCol w:w="2125.875"/>
        <w:gridCol w:w="2125.875"/>
        <w:gridCol w:w="2125.875"/>
      </w:tblGrid>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Gestur</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Jumlah Jari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State Coil Modbus</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Output PLC</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Kepalan Tangan</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M200=0, M201=0, M202=0, M203=0</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Q0-Q3=OFF</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 Jari (Telunjuk)</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M200=1, M201=0, M202=0, M203=0</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Q0=ON</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 Jari (Peace)</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M200=1, M201=1, M202=0, M203=0</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Q0-Q1=ON</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 Jari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M200=1, M201=1, M202=1, M203=0</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Q0-Q2=ON</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 Jari</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M200=1, M201=1, M202=1, M203=1</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Q0-Q3=ON</w:t>
            </w:r>
          </w:p>
        </w:tc>
      </w:tr>
      <w:tr>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 Jari (Telapak)</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M200=1, M201=1, M202=1, M203=1</w:t>
            </w:r>
          </w:p>
        </w:tc>
        <w:tc>
          <w:tcPr>
            <w:tcW w:type="dxa" w:w="2126"/>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Q0-Q3=ON (Semua)</w:t>
            </w:r>
          </w:p>
        </w:tc>
      </w:tr>
    </w:tbl>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PLCGui menjalankan ketiga thread. Saat gestur dikonfirmasi oleh filter debounce, pola coil ditulis ke PLC via PyModbus dan setiap hasil dicatat dalam log. LED panel depan PLC sesuai dengan indikator GUI setiap penulisan berhasil.</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Setup Hardware Laboratorium Lengkap. A photograph or realistic illustration of a laboratory workbench showing the complete GestPLC hardware deployment in a single wide-angle frame. On the left side, a desktop PC tower with a USB webcam mounted on a small tripod faces a human hand positioned in front of it. A Cat-5e Ethernet cable runs from the PC across the bench to a Schneider Modicon M221 PLC mounted on a DIN rail panel on the right side. The PLC panel shows visible indicator LEDs and wiring terminals. Overhead or side lighting illuminates the scene clearly. The composition resembles a small-scale industrial automation test station and is appropriate for a laboratory photograph in an IEEE journal paper.]</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8. </w:t>
      </w:r>
      <w:r>
        <w:rPr>
          <w:sz w:val="16"/>
          <w:szCs w:val="16"/>
          <w:rtl w:val="0"/>
        </w:rPr>
        <w:t>Setup Hardware Laboratorium Lengkap</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Rig pengujian terlihat pada Gbr. 8. Webcam pada tripod menghadap tangan operator, kabel Cat-5e langsung ke panel PLC.</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HASIL EKSPERIMEN</w:t>
      </w:r>
    </w:p>
    <w:p>
      <w:pPr>
        <w:pStyle w:val="Title"/>
        <w:spacing w:after="0" w:before="0" w:line="240" w:lineRule="auto"/>
        <w:jc w:val="both"/>
        <w:rPr>
          <w:sz w:val="20"/>
          <w:szCs w:val="20"/>
        </w:rPr>
      </w:pPr>
      <w:r>
        <w:rPr>
          <w:sz w:val="20"/>
          <w:szCs w:val="20"/>
          <w:rtl w:val="0"/>
        </w:rPr>
        <w:t xml:space="preserve">A. </w:t>
      </w:r>
      <w:r>
        <w:rPr>
          <w:i/>
          <w:iCs w:val="1"/>
          <w:sz w:val="20"/>
          <w:szCs w:val="20"/>
          <w:rtl w:val="0"/>
        </w:rPr>
        <w:t>Akurasi Deteksi Gestur</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Lima operator masing-masing melakukan 100 repetisi dari keenam kelas gestur di bawah tiga tingkat pencahayaan: rendah (50 lux), kantor standar (300 lux), dan lampu kerja langsung (1000 lux), menghasilkan 9.000 sampel total. Classifier menggunakan nilai threshold yang sama sepanjang pengujian tanpa penyesuaian antar kondisi. Semua partisipan dibriefing mengenai set gestur sebelum pengujian.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II. Performa Klasifikasi Gestur pada 300 Lux</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1417.25"/>
        <w:gridCol w:w="1417.25"/>
        <w:gridCol w:w="1417.25"/>
        <w:gridCol w:w="1417.25"/>
        <w:gridCol w:w="1417.25"/>
        <w:gridCol w:w="1417.25"/>
      </w:tblGrid>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Gestur</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Sampel</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Benar</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Presisi (%)</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Recall (%)</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Skor F1 (%)</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 jari (Kepalan)</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97</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98,0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97,0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97,5</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 jari (Telunjuk)</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95</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96,9</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95,0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95,9</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 jari (Peace)</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94</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95,9</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94,0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94,9</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 jari</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93</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94,9</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93,0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93,9</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 jari</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92</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93,9</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92,0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92,9</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 jari (Telapak Terbuka)</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98</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97,0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98,0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97,5</w:t>
            </w:r>
          </w:p>
        </w:tc>
      </w:tr>
      <w:tr>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Rata-rata Keseluruhan (Makro)</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600</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569</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96,1</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94,8</w:t>
            </w:r>
          </w:p>
        </w:tc>
        <w:tc>
          <w:tcPr>
            <w:tcW w:type="dxa" w:w="1417"/>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95,4</w:t>
            </w:r>
          </w:p>
        </w:tc>
      </w:tr>
    </w:tbl>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Pada 300 lux yang merupakan pencahayaan kantor standar, skor F1 makro mencapai 95,4% (Tabel II). Skor tertinggi diraih kepalan tangan dan telapak terbuka, keduanya di atas 97%, karena geometri kedua pose paling berbeda dari kelas lainnya. Kelas tengah (2, 3, 4 jari) mendapat skor lebih rendah; membedakan tiga dari empat jari sulit ketika tangan miring dari sumbu kamera.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III. Matriks Konfusi pada 300 Lux (n=100 per kelas)</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1214.786"/>
        <w:gridCol w:w="1214.786"/>
        <w:gridCol w:w="1214.786"/>
        <w:gridCol w:w="1214.786"/>
        <w:gridCol w:w="1214.786"/>
        <w:gridCol w:w="1214.786"/>
        <w:gridCol w:w="1214.786"/>
      </w:tblGrid>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Aktual \ Prediksi</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0 (Kepalan)</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1 (Telunjuk)</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2 (Peace)</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3</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4</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5 (Telapak)</w:t>
            </w:r>
          </w:p>
        </w:tc>
      </w:tr>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 (Kepalan)</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97</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w:t>
            </w:r>
          </w:p>
        </w:tc>
      </w:tr>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 (Telunjuk)</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95</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w:t>
            </w:r>
          </w:p>
        </w:tc>
      </w:tr>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 (Peace)</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94</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r>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93</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r>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92</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6</w:t>
            </w:r>
          </w:p>
        </w:tc>
      </w:tr>
      <w:tr>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 (Telapak)</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0</w:t>
            </w:r>
          </w:p>
        </w:tc>
        <w:tc>
          <w:tcPr>
            <w:tcW w:type="dxa" w:w="1215"/>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98</w:t>
            </w:r>
          </w:p>
        </w:tc>
      </w:tr>
    </w:tbl>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Dari matriks konfusi (Tabel III), pola kegagalan menjadi jelas: hampir semua kesalahan terjadi antara kelas jumlah jari bersebelahan. Dua jari salah terbaca sebagai tiga, empat sebagai lima. Akar masalahnya adalah keterbatasan proyeksi 2-D: saat pergelangan tangan miring dari sumbu, landmark jari bersebelahan tumpang tindih dan komputasi sudut tidak bisa membedakan batas antar jari. Misklasifikasi kepalan-ke-telapak (3 dari 100 sampel) juga muncul, kemungkinan akibat pembukaan tangan cepat selama transisi.</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Heatmap Matriks Konfusi. A 6-by-6 confusion matrix heatmap visualizing gesture classification accuracy under 300 lux standard lighting. Row labels on the left represent the six true gesture classes: Fist, Index, Peace, Three, Four, and Open Palm. Column labels across the top represent the six predicted classes with identical names. Cell fill color transitions from white or pale yellow for zero or very low values to dark blue or dark green for high counts near 100. Diagonal cells are the darkest, confirming high correct-classification rates. Each cell displays its numeric integer count. A continuous color scale bar is shown beside the matrix. Axis titles and tick labels use clean sans-serif font. Style matches IEEE conference paper result section figures.]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9. </w:t>
      </w:r>
      <w:r>
        <w:rPr>
          <w:sz w:val="16"/>
          <w:szCs w:val="16"/>
          <w:rtl w:val="0"/>
        </w:rPr>
        <w:t>Heatmap Matriks Konfusi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Heatmap dari data Tabel III (Gbr. 9) membuat dominasi diagonal langsung terlihat. Nilai off-diagonal mengelompok pada sel di samping diagonal, konsisten dengan konfusi kelas bersebelahan. Tiga sampel kepalan salah diklasifikasikan sebagai telapak terbuka, yang secara geometris seharusnya mustahil diduga tertangkap selama gerakan membuka tangan di tengah transisi.</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Skor F1 pada Tiga Kondisi Pencahayaan. A grouped bar chart comparing F1-score performance across six gesture classes under three different lighting conditions: 50 lux low light, 300 lux standard office illumination, and 1000 lux direct worklight. The horizontal axis lists gesture classes labeled Fist, Index, Peace, Three, Four, and Open Palm. The vertical axis shows F1-score as a percentage ranging from 0 to 100. Three side-by-side bars per gesture group are color-coded distinctly by lighting condition with a clear legend positioned in the upper right corner. Numeric value labels or subtle grid lines aid readability. Background is white, bar colors are flat and professional, font is clean sans-serif, and the overall style is consistent with IEEE paper result section chart conventions.]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10. </w:t>
      </w:r>
      <w:r>
        <w:rPr>
          <w:sz w:val="16"/>
          <w:szCs w:val="16"/>
          <w:rtl w:val="0"/>
        </w:rPr>
        <w:t>Skor F1 pada Tiga Kondisi Pencahayaan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Skor F1 dibandingkan antar tingkat pencahayaan (Gbr. 10). Pada 50 lux, semua kelas turun 5-10 poin persentase karena MediaPipe kehilangan presisi landmark dalam cahaya rendah. Pada 1000 lux, performa turun 2-3 poin di bawah optimum 300 lux akibat pantulan spekular pada kulit yang mengacaukan detektor landmark. Pencahayaan fluorescent standar 300 lux adalah titik operasi terbaik.</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Presisi, Recall, Skor F1 per Kelas pada 300 Lux. A grouped bar chart presenting precision, recall, and F1-score values for each of the six gesture classes evaluated under 300 lux optimal indoor lighting. The horizontal axis labels the six gesture classes: Fist, Index, Peace, Three, Four, and Open Palm. The vertical axis shows percentage values from 0 to 100. Three distinctly colored solid bars are grouped side by side for each class, representing precision, recall, and F1-score respectively, with a legend clearly identifying each metric color. Horizontal light-gray grid lines improve readability on the white background. Value labels may optionally appear above each bar. Font is clean sans-serif, and the chart style is flat, professional, and consistent with IEEE conference paper figure standards.]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11. </w:t>
      </w:r>
      <w:r>
        <w:rPr>
          <w:sz w:val="16"/>
          <w:szCs w:val="16"/>
          <w:rtl w:val="0"/>
        </w:rPr>
        <w:t>Presisi, Recall, Skor F1 per Kelas pada 300 Lux</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Presisi dan recall pada 300 lux (Gbr. 11) saling berdekatan untuk keenam kelas. Kepalan dan telapak terbuka tertinggi karena keduanya paling berbeda dalam proyeksi 2-D. Akurasi keseluruhan: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m:oMath xmlns:mml="http://www.w3.org/1998/Math/MathML">
        <m:r>
          <w:rPr>
            <w:rFonts w:ascii="Cambria Math" w:hAnsi="Cambria Math" w:eastAsia="Cambria Math" w:cs="Cambria Math"/>
            <w:sz w:val="20"/>
            <w:szCs w:val="20"/>
            <w:lang w:val="en-US"/>
          </w:rPr>
          <m:rPr>
            <m:sty m:val="p"/>
          </m:rPr>
          <m:t>Accuracy</m:t>
        </m:r>
        <m:r>
          <w:rPr>
            <w:rFonts w:ascii="Cambria Math" w:hAnsi="Cambria Math" w:eastAsia="Cambria Math" w:cs="Cambria Math"/>
            <w:sz w:val="20"/>
            <w:szCs w:val="20"/>
            <w:lang w:val="en-US"/>
          </w:rPr>
          <m:t>=</m:t>
        </m:r>
        <m:f>
          <m:fPr>
            <m:type m:val="bar"/>
          </m:fPr>
          <m:num>
            <m:nary>
              <m:naryPr>
                <m:chr m:val="∑"/>
                <m:limLoc m:val="subSup"/>
                <m:grow m:val="1"/>
                <m:subHide m:val="off"/>
                <m:supHide m:val="off"/>
              </m:naryPr>
              <m:sub>
                <m:r>
                  <w:rPr>
                    <w:rFonts w:ascii="Cambria Math" w:hAnsi="Cambria Math" w:eastAsia="Cambria Math" w:cs="Cambria Math"/>
                    <w:sz w:val="20"/>
                    <w:szCs w:val="20"/>
                    <w:lang w:val="en-US"/>
                  </w:rPr>
                  <m:t>k=0</m:t>
                </m:r>
              </m:sub>
              <m:sup>
                <m:r>
                  <w:rPr>
                    <w:rFonts w:ascii="Cambria Math" w:hAnsi="Cambria Math" w:eastAsia="Cambria Math" w:cs="Cambria Math"/>
                    <w:sz w:val="20"/>
                    <w:szCs w:val="20"/>
                    <w:lang w:val="en-US"/>
                  </w:rPr>
                  <m:t>5</m:t>
                </m:r>
              </m:sup>
              <m:e>
                <m:r>
                  <w:rPr>
                    <w:rFonts w:ascii="Cambria Math" w:hAnsi="Cambria Math" w:eastAsia="Cambria Math" w:cs="Cambria Math"/>
                    <w:sz w:val="20"/>
                    <w:szCs w:val="20"/>
                    <w:lang w:val="en-US"/>
                  </w:rPr>
                  <m:t>T</m:t>
                </m:r>
                <m:sSub>
                  <m:e>
                    <m:r>
                      <w:rPr>
                        <w:rFonts w:ascii="Cambria Math" w:hAnsi="Cambria Math" w:eastAsia="Cambria Math" w:cs="Cambria Math"/>
                        <w:sz w:val="20"/>
                        <w:szCs w:val="20"/>
                        <w:lang w:val="en-US"/>
                      </w:rPr>
                      <m:t>P</m:t>
                    </m:r>
                  </m:e>
                  <m:sub>
                    <m:r>
                      <w:rPr>
                        <w:rFonts w:ascii="Cambria Math" w:hAnsi="Cambria Math" w:eastAsia="Cambria Math" w:cs="Cambria Math"/>
                        <w:sz w:val="20"/>
                        <w:szCs w:val="20"/>
                        <w:lang w:val="en-US"/>
                      </w:rPr>
                      <m:t>k</m:t>
                    </m:r>
                  </m:sub>
                </m:sSub>
              </m:e>
            </m:nary>
          </m:num>
          <m:den>
            <m:nary>
              <m:naryPr>
                <m:chr m:val="∑"/>
                <m:limLoc m:val="subSup"/>
                <m:grow m:val="1"/>
                <m:subHide m:val="off"/>
                <m:supHide m:val="off"/>
              </m:naryPr>
              <m:sub>
                <m:r>
                  <w:rPr>
                    <w:rFonts w:ascii="Cambria Math" w:hAnsi="Cambria Math" w:eastAsia="Cambria Math" w:cs="Cambria Math"/>
                    <w:sz w:val="20"/>
                    <w:szCs w:val="20"/>
                    <w:lang w:val="en-US"/>
                  </w:rPr>
                  <m:t>k=0</m:t>
                </m:r>
              </m:sub>
              <m:sup>
                <m:r>
                  <w:rPr>
                    <w:rFonts w:ascii="Cambria Math" w:hAnsi="Cambria Math" w:eastAsia="Cambria Math" w:cs="Cambria Math"/>
                    <w:sz w:val="20"/>
                    <w:szCs w:val="20"/>
                    <w:lang w:val="en-US"/>
                  </w:rPr>
                  <m:t>5</m:t>
                </m:r>
              </m:sup>
              <m:e>
                <m:r>
                  <w:rPr>
                    <w:rFonts w:ascii="Cambria Math" w:hAnsi="Cambria Math" w:eastAsia="Cambria Math" w:cs="Cambria Math"/>
                    <w:sz w:val="20"/>
                    <w:szCs w:val="20"/>
                    <w:lang w:val="en-US"/>
                  </w:rPr>
                  <m:t>(T</m:t>
                </m:r>
                <m:sSub>
                  <m:e>
                    <m:r>
                      <w:rPr>
                        <w:rFonts w:ascii="Cambria Math" w:hAnsi="Cambria Math" w:eastAsia="Cambria Math" w:cs="Cambria Math"/>
                        <w:sz w:val="20"/>
                        <w:szCs w:val="20"/>
                        <w:lang w:val="en-US"/>
                      </w:rPr>
                      <m:t>P</m:t>
                    </m:r>
                  </m:e>
                  <m:sub>
                    <m:r>
                      <w:rPr>
                        <w:rFonts w:ascii="Cambria Math" w:hAnsi="Cambria Math" w:eastAsia="Cambria Math" w:cs="Cambria Math"/>
                        <w:sz w:val="20"/>
                        <w:szCs w:val="20"/>
                        <w:lang w:val="en-US"/>
                      </w:rPr>
                      <m:t>k</m:t>
                    </m:r>
                  </m:sub>
                </m:sSub>
                <m:r>
                  <w:rPr>
                    <w:rFonts w:ascii="Cambria Math" w:hAnsi="Cambria Math" w:eastAsia="Cambria Math" w:cs="Cambria Math"/>
                    <w:sz w:val="20"/>
                    <w:szCs w:val="20"/>
                    <w:lang w:val="en-US"/>
                  </w:rPr>
                  <m:t>+F</m:t>
                </m:r>
                <m:sSub>
                  <m:e>
                    <m:r>
                      <w:rPr>
                        <w:rFonts w:ascii="Cambria Math" w:hAnsi="Cambria Math" w:eastAsia="Cambria Math" w:cs="Cambria Math"/>
                        <w:sz w:val="20"/>
                        <w:szCs w:val="20"/>
                        <w:lang w:val="en-US"/>
                      </w:rPr>
                      <m:t>N</m:t>
                    </m:r>
                  </m:e>
                  <m:sub>
                    <m:r>
                      <w:rPr>
                        <w:rFonts w:ascii="Cambria Math" w:hAnsi="Cambria Math" w:eastAsia="Cambria Math" w:cs="Cambria Math"/>
                        <w:sz w:val="20"/>
                        <w:szCs w:val="20"/>
                        <w:lang w:val="en-US"/>
                      </w:rPr>
                      <m:t>k</m:t>
                    </m:r>
                  </m:sub>
                </m:sSub>
                <m:r>
                  <w:rPr>
                    <w:rFonts w:ascii="Cambria Math" w:hAnsi="Cambria Math" w:eastAsia="Cambria Math" w:cs="Cambria Math"/>
                    <w:sz w:val="20"/>
                    <w:szCs w:val="20"/>
                    <w:lang w:val="en-US"/>
                  </w:rPr>
                  <m:t>)</m:t>
                </m:r>
              </m:e>
            </m:nary>
          </m:den>
        </m:f>
        <m:r>
          <w:rPr>
            <w:rFonts w:ascii="Cambria Math" w:hAnsi="Cambria Math" w:eastAsia="Cambria Math" w:cs="Cambria Math"/>
            <w:sz w:val="20"/>
            <w:szCs w:val="20"/>
            <w:lang w:val="en-US"/>
          </w:rPr>
          <m:t>×100%</m:t>
        </m:r>
      </m:oMath>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tab/>
      </w:r>
      <w:r>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 </w:t>
        <w:tab/>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(13)</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Pada persamaan (13), </w:t>
      </w:r>
      <m:oMath xmlns:mml="http://www.w3.org/1998/Math/MathML">
        <m:r>
          <w:rPr>
            <w:rFonts w:ascii="Cambria Math" w:hAnsi="Cambria Math" w:eastAsia="Cambria Math" w:cs="Cambria Math"/>
            <w:sz w:val="20"/>
            <w:szCs w:val="20"/>
            <w:lang w:val="en-US"/>
          </w:rPr>
          <m:t>T</m:t>
        </m:r>
        <m:sSub>
          <m:e>
            <m:r>
              <w:rPr>
                <w:rFonts w:ascii="Cambria Math" w:hAnsi="Cambria Math" w:eastAsia="Cambria Math" w:cs="Cambria Math"/>
                <w:sz w:val="20"/>
                <w:szCs w:val="20"/>
                <w:lang w:val="en-US"/>
              </w:rPr>
              <m:t>P</m:t>
            </m:r>
          </m:e>
          <m:sub>
            <m:r>
              <w:rPr>
                <w:rFonts w:ascii="Cambria Math" w:hAnsi="Cambria Math" w:eastAsia="Cambria Math" w:cs="Cambria Math"/>
                <w:sz w:val="20"/>
                <w:szCs w:val="20"/>
                <w:lang w:val="en-US"/>
              </w:rPr>
              <m:t>k</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adalah true-positive dan </w:t>
      </w:r>
      <m:oMath xmlns:mml="http://www.w3.org/1998/Math/MathML">
        <m:r>
          <w:rPr>
            <w:rFonts w:ascii="Cambria Math" w:hAnsi="Cambria Math" w:eastAsia="Cambria Math" w:cs="Cambria Math"/>
            <w:sz w:val="20"/>
            <w:szCs w:val="20"/>
            <w:lang w:val="en-US"/>
          </w:rPr>
          <m:t>F</m:t>
        </m:r>
        <m:sSub>
          <m:e>
            <m:r>
              <w:rPr>
                <w:rFonts w:ascii="Cambria Math" w:hAnsi="Cambria Math" w:eastAsia="Cambria Math" w:cs="Cambria Math"/>
                <w:sz w:val="20"/>
                <w:szCs w:val="20"/>
                <w:lang w:val="en-US"/>
              </w:rPr>
              <m:t>N</m:t>
            </m:r>
          </m:e>
          <m:sub>
            <m:r>
              <w:rPr>
                <w:rFonts w:ascii="Cambria Math" w:hAnsi="Cambria Math" w:eastAsia="Cambria Math" w:cs="Cambria Math"/>
                <w:sz w:val="20"/>
                <w:szCs w:val="20"/>
                <w:lang w:val="en-US"/>
              </w:rPr>
              <m:t>k</m:t>
            </m:r>
          </m:sub>
        </m:sSub>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false-negative untuk kelas </w:t>
      </w:r>
      <m:oMath xmlns:mml="http://www.w3.org/1998/Math/MathML">
        <m:r>
          <w:rPr>
            <w:rFonts w:ascii="Cambria Math" w:hAnsi="Cambria Math" w:eastAsia="Cambria Math" w:cs="Cambria Math"/>
            <w:sz w:val="20"/>
            <w:szCs w:val="20"/>
            <w:lang w:val="en-US"/>
          </w:rPr>
          <m:t>k</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F1 makro digunakan sebagai metrik utama karena semua kelas terwakili merata. Pada 300 lux, classifier bekerja andal di bawah pencahayaan indoor standar.</w:t>
      </w:r>
    </w:p>
    <w:p>
      <w:pPr>
        <w:pStyle w:val="Title"/>
        <w:spacing w:after="0" w:before="0" w:line="240" w:lineRule="auto"/>
        <w:jc w:val="both"/>
        <w:rPr>
          <w:sz w:val="20"/>
          <w:szCs w:val="20"/>
        </w:rPr>
      </w:pPr>
      <w:r>
        <w:rPr>
          <w:sz w:val="20"/>
          <w:szCs w:val="20"/>
          <w:rtl w:val="0"/>
        </w:rPr>
        <w:t xml:space="preserve">B. </w:t>
      </w:r>
      <w:r>
        <w:rPr>
          <w:i/>
          <w:iCs w:val="1"/>
          <w:sz w:val="20"/>
          <w:szCs w:val="20"/>
          <w:rtl w:val="0"/>
        </w:rPr>
        <w:t>Latensi Komunikasi Modbus TCP</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Thread 3 mencatat wall-clock start dan end dari setiap permintaan Modbus pada 10.000 sampel per kondisi. Beban CPU divariasikan menggunakan tugas video-encoding paralel dalam proses terpisah.</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IV. Distribusi Latensi Modbus TCP (n=10.000 per kondisi)</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1062.938"/>
        <w:gridCol w:w="1062.938"/>
        <w:gridCol w:w="1062.938"/>
        <w:gridCol w:w="1062.938"/>
        <w:gridCol w:w="1062.938"/>
        <w:gridCol w:w="1062.938"/>
        <w:gridCol w:w="1062.938"/>
        <w:gridCol w:w="1062.938"/>
      </w:tblGrid>
      <w:tr>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Beban CPU (%)</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Min (ms)</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Median (ms)</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Mean (ms)</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P95 (ms)</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P99 (ms)</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Maks (ms)</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Std Dev (ms)</w:t>
            </w:r>
          </w:p>
        </w:tc>
      </w:tr>
      <w:tr>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Idle (0-10%)</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1,2</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8,4</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9,1</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18,7</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27,3</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42,1</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5,8</w:t>
            </w:r>
          </w:p>
        </w:tc>
      </w:tr>
      <w:tr>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Moderat (45-55%)</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1,8</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10,2</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12,3</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24,9</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38,6</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67,4</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8,4</w:t>
            </w:r>
          </w:p>
        </w:tc>
      </w:tr>
      <w:tr>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Intensif (75-85%)</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2,1</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14,7</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17,8</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41,2</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78,9</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312,4</w:t>
            </w:r>
          </w:p>
        </w:tc>
        <w:tc>
          <w:tcPr>
            <w:tcW w:type="dxa" w:w="1063"/>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19,7</w:t>
            </w:r>
          </w:p>
        </w:tc>
      </w:tr>
    </w:tbl>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Pada beban moderat yang mendekati kondisi operasi normal pabrik, median round-trip 10,2 ms dan rata-rata 12,3 ms (Tabel IV). Stack Modbus industri biasanya timeout pada 100 ms [6], sehingga margin memadai. P99 berada di 38,6 ms. Pada beban intensif, scheduler OS sesekali mem-preempt thread Modbus sehingga terjadi spike hingga 312,4 ms. Filter debounce mempertahankan state gestur terakhir saat thread pulih; tidak ada perintah palsu yang dikirim ke PLC.</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Latensi Modbus TCP berdasarkan Beban CPU. A multi-line chart visualizing the distribution of Modbus TCP round-trip latency across 10,000 transaction samples under three CPU load conditions: idle at 0 to 10 percent, moderate at 45 to 55 percent, and intense at 75 to 85 percent. The horizontal axis represents latency in milliseconds spanning from 0 to approximately 320 ms, and the vertical axis represents frequency count or cumulative percentage. Three distinct plotted lines or smooth curves are color-coded per load condition with a labeled legend. Key statistical thresholds such as median, P95, and P99 may be annotated with subtle dashed vertical reference lines. Background is white with light horizontal grid lines. Style is clean and academic, appropriate for an IEEE paper experimental results section.]</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12. </w:t>
      </w:r>
      <w:r>
        <w:rPr>
          <w:sz w:val="16"/>
          <w:szCs w:val="16"/>
          <w:rtl w:val="0"/>
        </w:rPr>
        <w:t>Latensi Modbus TCP berdasarkan Beban CPU</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Kurva idle dan moderat (Gbr. 12) mengelompok di bawah 40 ms. Kurva beban intensif mencapai 312,4 ms, namun 99% sampel masih di bawah 78,9 ms. Komponen delay pipeline: penangkapan kamera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cap</m:t>
            </m:r>
          </m:sub>
        </m:sSub>
        <m:r>
          <w:rPr>
            <w:rFonts w:ascii="Cambria Math" w:hAnsi="Cambria Math" w:eastAsia="Cambria Math" w:cs="Cambria Math"/>
            <w:sz w:val="20"/>
            <w:szCs w:val="20"/>
            <w:lang w:val="en-US"/>
          </w:rPr>
          <m:t>≈3,2</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ms, inferensi MediaPipe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inf</m:t>
            </m:r>
          </m:sub>
        </m:sSub>
        <m:r>
          <w:rPr>
            <w:rFonts w:ascii="Cambria Math" w:hAnsi="Cambria Math" w:eastAsia="Cambria Math" w:cs="Cambria Math"/>
            <w:sz w:val="20"/>
            <w:szCs w:val="20"/>
            <w:lang w:val="en-US"/>
          </w:rPr>
          <m:t>≈18,4</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ms, jendela debounce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deb</m:t>
            </m:r>
          </m:sub>
        </m:sSub>
        <m:r>
          <w:rPr>
            <w:rFonts w:ascii="Cambria Math" w:hAnsi="Cambria Math" w:eastAsia="Cambria Math" w:cs="Cambria Math"/>
            <w:sz w:val="20"/>
            <w:szCs w:val="20"/>
            <w:lang w:val="en-US"/>
          </w:rPr>
          <m:t>≈83,3</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ms, round-trip Modbus </w:t>
      </w:r>
      <m:oMath xmlns:mml="http://www.w3.org/1998/Math/MathML">
        <m:sSub>
          <m:e>
            <m:r>
              <w:rPr>
                <w:rFonts w:ascii="Cambria Math" w:hAnsi="Cambria Math" w:eastAsia="Cambria Math" w:cs="Cambria Math"/>
                <w:sz w:val="20"/>
                <w:szCs w:val="20"/>
                <w:lang w:val="en-US"/>
              </w:rPr>
              <m:t>T</m:t>
            </m:r>
          </m:e>
          <m:sub>
            <m:r>
              <w:rPr>
                <w:rFonts w:ascii="Cambria Math" w:hAnsi="Cambria Math" w:eastAsia="Cambria Math" w:cs="Cambria Math"/>
                <w:sz w:val="20"/>
                <w:szCs w:val="20"/>
                <w:lang w:val="en-US"/>
              </w:rPr>
              <m:rPr>
                <m:sty m:val="p"/>
              </m:rPr>
              <m:t>modbus</m:t>
            </m:r>
          </m:sub>
        </m:sSub>
        <m:r>
          <w:rPr>
            <w:rFonts w:ascii="Cambria Math" w:hAnsi="Cambria Math" w:eastAsia="Cambria Math" w:cs="Cambria Math"/>
            <w:sz w:val="20"/>
            <w:szCs w:val="20"/>
            <w:lang w:val="en-US"/>
          </w:rPr>
          <m:t>≈12,3</m:t>
        </m:r>
      </m:oMath>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ms.</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Rincian Komponen Latensi. A vertical grouped or stacked bar chart breaking down the four major end-to-end latency components of the GestPLC processing pipeline. The four components are camera capture at 3.2 ms, MediaPipe landmark inference at 18.4 ms, the 5-frame debounce sliding-window buffer at 83.3 ms, and Modbus TCP round-trip communication at 12.3 ms. Each component is represented by a distinctly colored bar with its millisecond value labeled inside or directly above. The horizontal axis lists the four component names and the vertical axis is scaled in milliseconds. The debounce bar is visibly the tallest by a significant margin. Background is white, bar fill colors are flat and varied, font is clean sans-serif, and style matches IEEE paper methodology figure conventions.]</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13. </w:t>
      </w:r>
      <w:r>
        <w:rPr>
          <w:sz w:val="16"/>
          <w:szCs w:val="16"/>
          <w:rtl w:val="0"/>
        </w:rPr>
        <w:t>Rincian Komponen Latensi</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Jendela debounce 83,3 ms mendominasi total delay (Gbr. 13). Kami mencoba N=3 yang memangkas jendela menjadi ~50 ms, namun false-trigger untuk gestur tiga dan empat jari melonjak dua kali lipat. Untuk enam gestur yang bisa membalik aktuator fisik, N=5 adalah pilihan lebih aman.</w:t>
      </w:r>
    </w:p>
    <w:p>
      <w:pPr>
        <w:pStyle w:val="Title"/>
        <w:spacing w:after="0" w:before="0" w:line="240" w:lineRule="auto"/>
        <w:jc w:val="both"/>
        <w:rPr>
          <w:sz w:val="20"/>
          <w:szCs w:val="20"/>
        </w:rPr>
      </w:pPr>
      <w:r>
        <w:rPr>
          <w:sz w:val="20"/>
          <w:szCs w:val="20"/>
          <w:rtl w:val="0"/>
        </w:rPr>
        <w:t xml:space="preserve">C. </w:t>
      </w:r>
      <w:r>
        <w:rPr>
          <w:i/>
          <w:iCs w:val="1"/>
          <w:sz w:val="20"/>
          <w:szCs w:val="20"/>
          <w:rtl w:val="0"/>
        </w:rPr>
        <w:t>Uji Ketahanan 24 Jam</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Pengujian lab singkat sering gagal mengungkap memory leak atau masalah jaringan intermiten. Sistem diuji selama 24 jam penuh. Seorang anggota tim duduk di depan kamera dan menampilkan gestur setiap 10 detik, menghasilkan sekitar 8.640 perintah tulis FC15. Loop polling berjalan pada interval 100 ms, menghasilkan sekitar 864.000 pembacaan FC1. Setiap hasil transaksi dicatat dalam file log.</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sz w:val="16"/>
          <w:szCs w:val="16"/>
        </w:rPr>
      </w:pPr>
      <w:r>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Tabel V. Hasil Uji Ketahanan 24 Jam</w:t>
      </w:r>
    </w:p>
    <w:tbl>
      <w:tblPr>
        <w:tblStyle w:val="Table1"/>
        <w:tblW w:type="dxa" w:w="8503.5"/>
        <w:jc w:val="center"/>
        <w:tblLayout w:type="fixed"/>
        <w:tblLook w:firstColumn="1" w:firstRow="1" w:lastColumn="0" w:lastRow="0" w:noHBand="0" w:noVBand="1" w:val="04A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4251.75"/>
        <w:gridCol w:w="4251.75"/>
      </w:tblGrid>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Metrik</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b w:val="1"/>
                <w:bCs w:val="1"/>
              </w:rPr>
            </w:pPr>
            <w:r>
              <w:rPr>
                <w:b/>
              </w:rPr>
            </w:r>
            <w:r>
              <w:rPr>
                <w:rFonts w:ascii="Times New Roman" w:cs="Times New Roman" w:eastAsia="Times New Roman" w:hAnsi="Times New Roman"/>
                <w:b/>
                <w:bCs w:val="0"/>
                <w:i w:val="0"/>
                <w:iCs w:val="0"/>
                <w:smallCaps w:val="0"/>
                <w:strike w:val="0"/>
                <w:color w:val="000000"/>
                <w:sz w:val="20"/>
                <w:szCs w:val="20"/>
                <w:u w:val="none"/>
                <w:shd w:fill="auto" w:val="clear"/>
                <w:vertAlign w:val="baseline"/>
                <w:rtl w:val="0"/>
              </w:rPr>
              <w:t>Hasil</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Total Transaksi Modbus (FC1 + FC15)</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872.640</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Transaksi Berhasil</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872.000</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Tingkat Keberhasilan Tulis FC15</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99,97%</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Tingkat Keberhasilan Baca FC1</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99,92%</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MTBF (Mean Time Between Failures)</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8,2 jam</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Pertumbuhan Memori</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12,4 MB</w:t>
            </w:r>
          </w:p>
        </w:tc>
      </w:tr>
      <w:tr>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Frame Rate (target 30 fps)</w:t>
            </w:r>
          </w:p>
        </w:tc>
        <w:tc>
          <w:tcPr>
            <w:tcW w:type="dxa" w:w="4252"/>
            <w:tcMar>
              <w:top w:w="100.0" w:type="dxa"/>
              <w:left w:w="100.0" w:type="dxa"/>
              <w:bottom w:w="100.0" w:type="dxa"/>
              <w:right w:w="100.0" w:type="dxa"/>
            </w:tcMar>
            <w:vAlign w:val="top"/>
          </w:tcPr>
          <w:p>
            <w:pPr>
              <w:jc w:val="center"/>
              <w:spacing w:after="0" w:before="0" w:line="240" w:lineRule="auto"/>
              <w:ind w:left="0" w:right="0" w:firstLine="0"/>
              <w:rPr>
                <w:sz w:val="20"/>
                <w:szCs w:val="20"/>
              </w:rPr>
            </w:pPr>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29,7 fps</w:t>
            </w:r>
          </w:p>
        </w:tc>
      </w:tr>
    </w:tbl>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Keberhasilan tulis FC15 mencapai 99,97% dan pembacaan FC1 99,92% dari 872.640 transaksi (Tabel V). Frame rate stabil di 29,7 fps. Dua masalah ditemukan. Pertama, memori bertambah 12,4 MB selama 24 jam, kemungkinan buffer MediaPipe yang tidak terkoleksi. Kami tidak memverifikasi dengan profiler dan trayektori jangka panjang tidak diketahui. Kedua, MTBF hanya 8,2 jam; koneksi Modbus putus sekitar tiga kali per hari. Deployment produksi memerlukan thread watchdog untuk restart koneksi otomatis pada timeout.</w:t>
      </w:r>
    </w:p>
    <w:tbl>
      <w:tblPr>
        <w:tblStyle w:val="Table1"/>
        <w:tblW w:type="dxa" w:w="8503.5"/>
        <w:jc w:val="center"/>
        <w:tblLook w:firstColumn="1" w:firstRow="1" w:lastColumn="0" w:lastRow="0" w:noHBand="0" w:noVBand="1" w:val="04A0"/>
        <w:tblLayout w:type="fixed"/>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Pr>
      <w:tblGrid>
        <w:gridCol w:w="8503.5"/>
      </w:tblGrid>
      <w:tr>
        <w:tc>
          <w:tcPr>
            <w:tcW w:type="dxa" w:w="8505"/>
            <w:tcMar>
              <w:top w:w="100.0" w:type="dxa"/>
              <w:left w:w="100.0" w:type="dxa"/>
              <w:bottom w:w="100.0" w:type="dxa"/>
              <w:right w:w="100.0" w:type="dxa"/>
            </w:tcMar>
            <w:vAlign w:val="top"/>
          </w:tcPr>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[PROMPT UNTUK AI GAMBAR: Tingkat Keberhasilan Modbus 24 Jam. A dual-line time-series chart showing Modbus TCP transaction success rate over a continuous 24-hour endurance test run. The horizontal axis represents elapsed time in hours from 0 to 24, and the vertical axis shows transaction success rate as a percentage on a scale from approximately 95 to 100 percent to magnify any dips. Two lines are plotted: one for FC15 write command success and one for FC1 read polling success, each drawn in a distinct color with a legend. Brief dips below 100 percent at several time points mark communication failure events. A horizontal dashed annotation line or label marks the mean time between failures at 8.2 hours. Background is white, style is clean and publication-ready for an IEEE journal paper result section.]</w:t>
            </w:r>
          </w:p>
        </w:tc>
      </w:tr>
    </w:tbl>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0"/>
        <w:jc w:val="center"/>
        <w:rPr>
          <w:i w:val="0"/>
          <w:iCs w:val="0"/>
          <w:smallCaps w:val="0"/>
          <w:strike w:val="0"/>
          <w:color w:val="000000"/>
          <w:sz w:val="16"/>
          <w:szCs w:val="16"/>
          <w:u w:val="none"/>
          <w:shd w:fill="auto" w:val="clear"/>
          <w:vertAlign w:val="baseline"/>
        </w:rPr>
      </w:pPr>
      <w:r>
        <w:rPr>
          <w:i w:val="0"/>
          <w:iCs w:val="0"/>
          <w:smallCaps w:val="0"/>
          <w:strike w:val="0"/>
          <w:color w:val="000000"/>
          <w:sz w:val="16"/>
          <w:szCs w:val="16"/>
          <w:u w:val="none"/>
          <w:shd w:fill="auto" w:val="clear"/>
          <w:vertAlign w:val="baseline"/>
          <w:rtl w:val="0"/>
        </w:rPr>
        <w:t xml:space="preserve">Gambar 14. </w:t>
      </w:r>
      <w:r>
        <w:rPr>
          <w:sz w:val="16"/>
          <w:szCs w:val="16"/>
          <w:rtl w:val="0"/>
        </w:rPr>
        <w:t>Tingkat Keberhasilan Modbus 24 Jam</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Tingkat keberhasilan (Gbr. 14) bertahan di atas 99,7% untuk FC1 maupun FC15, dengan penurunan di sekitar jam ke-7, 15, dan 22. Ketiga penurunan sesuai dengan tiga kegagalan komunikasi dalam log, konsisten dengan MTBF 8,2 jam.</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3900"/>
        </w:tabs>
        <w:spacing w:after="0" w:before="0" w:line="240" w:lineRule="auto"/>
        <w:ind w:left="426" w:right="0" w:hanging="426"/>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Pr>
          <w:rFonts w:ascii="Times New Roman" w:cs="Times New Roman" w:eastAsia="Times New Roman" w:hAnsi="Times New Roman"/>
          <w:b/>
          <w:bCs w:val="1"/>
          <w:i w:val="0"/>
          <w:iCs w:val="0"/>
          <w:smallCaps w:val="1"/>
          <w:strike w:val="0"/>
          <w:color w:val="000000"/>
          <w:sz w:val="24"/>
          <w:szCs w:val="24"/>
          <w:u w:val="none"/>
          <w:shd w:fill="auto" w:val="clear"/>
          <w:vertAlign w:val="baseline"/>
          <w:rtl w:val="0"/>
        </w:rPr>
        <w:t>KESIMPULAN</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0" w:right="0" w:firstLine="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Kami menguji GestPLC pada kosakata enam gestur menggunakan hardware CPU-only. Dua pilihan desain paling berpengaruh: menempatkan I/O Modbus pada thread tersendiri, dan menggunakan aturan sudut geometris alih-alih classifier terlatih. Sistem menghasilkan F1 makro 95,4% pada 300 lux, latensi Modbus rata-rata 12,3 ms, dan tingkat keberhasilan di atas 99,9% selama 24 jam.</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Sumber kesalahan utama adalah kemiringan tangan off-axis. Saat tangan berputar lebih dari ~30 derajat dari bidang kamera, landmark jari bersebelahan tumpang tindih dalam proyeksi 2-D dan perhitungan sudut gagal. Jendela debounce 83 ms bisa diterima untuk start konveyor atau toggle lampu, namun terlalu lambat untuk emergency stop. Pekerjaan ke depan akan menambahkan penanganan rotasi menggunakan sumbu kedalaman MediaPipe dan menguji pada Raspberry Pi 5 untuk melihat apakah 30 fps bertahan pada board di bawah 10 W.</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 w:val="left" w:leader="none" w:pos="426"/>
        </w:tabs>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continuous"/>
          <w:pgSz w:h="16840" w:w="11907" w:orient="portrait"/>
          <w:pgMar w:bottom="1418" w:top="1418" w:left="1701" w:right="1701" w:header="851" w:footer="851"/>
          <w:cols w:equalWidth="0" w:num="1">
            <w:col w:space="0" w:w="8503.5"/>
          </w:cols>
        </w:sectPr>
      </w:pPr>
    </w:p>
    <w:p>
      <w:pPr>
        <w:spacing w:after="0" w:before="0" w:line="240" w:lineRule="auto"/>
        <w:ind w:hanging="2"/>
        <w:rPr>
          <w:b w:val="1"/>
          <w:bCs w:val="1"/>
        </w:rPr>
      </w:pPr>
      <w:r>
        <w:rPr>
          <w:b/>
          <w:bCs w:val="1"/>
          <w:rtl w:val="0"/>
        </w:rPr>
        <w:t>REFERENCES</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 Lugaresi et al., "MediaPipe: A Framework for Building Perception Pipelines," preprint arXiv:1906.08172, Jun. 2019.</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 Vijayachitra, K. Prabhu, S. Agilan, M. Ahamed Salih, and S. Madhumitha, "Advanced PLC-based Automation for Converging System and Warehousing," in Proc. 5th Int. Conf. Trends Mater. Sci. Invent. Mater. (ICTMIM), 2025, pp. 1–6, doi: 10.1109/ICTMIM65579.2025.10988042.</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Yashika, A. Patra, and N. S. Das, "Human-Machine Interaction in Industrial Automation: Gesture-Based PLC Control," in Proc. 15th Int. Conf. Comput. Commun. Netw. Technol. (ICCCNT), 2024, pp. 1–7, doi: 10.1109/ICCCNT61001.2024.10726180.</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Y. Li, J. Zhang, Y. Xiong, H. Wu, and F. Yang, "Design of Industrial Equipment Remote Control System Based on Python," in Proc. 8th Int. Conf. Electron. Technol. (ICET), 2025, pp. 1–6, doi: 10.1109/ICET64964.2025.11103226.</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 Jamage, S. Rane, J. Raktate, and N. Chavan, "Real-Time Hand Gesture Recognition Using CNN-LSTM for Gesture-to-Voice and Device Control," in Proc. 9th Int. Conf. Comput. Commun. Control Autom. (ICCUBEA), 2025, pp. 1–7, doi: 10.1109/ICCUBEA65967.2025.11284053.</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 Nikolajew and H. Eichelberger, "Industry 4.0 Connectors – A Performance Experiment with Modbus/TCP," preprint arXiv:2410.15813, Oct. 2024.</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E. Tapia, L. Sastoque-Pinilla, U. Lopez-Novoa, I. Bediaga, and N. López de Lacalle, "Assessing Industrial Communication Protocols to Bridge the Gap between Machine Tools and Software Monitoring," Sensors, vol. 23, no. 12, art. 5694, 2023, doi: 10.3390/s23125694.</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Y. K. Yep, Y. H. Goh, T. H. Chiew, K. M. Chin, J. J. Ong, and K. S. Eu, "AI-Driven Hand Gesture Recognition for Robotic Arm Control," in Proc. 5th Int. Conf. Artif. Intell. Robot. Commun. (ICAIRC), 2025, pp. 1–5, doi: 10.1109/ICAIRC68035.2025.11384947.</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Qurrat-ul-Ain, S. N. Talpur, N. U. Z. Laghari, and M. S. Rattar, "Machine Control Using Hand Gesture Recognition," Gyancity J. Electron. Comput. Sci., vol. 5, no. 1, pp. 19–28, Mar. 2020, doi: 10.21058/gjecs.2020.51003.</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P. Nguyen Huu and T. Phung Ngoc, "Hand Gesture Recognition Algorithm Using SVM and HOG Model for Control of Robotic System," J. Robot., vol. 2021, art. 3986497, 2021, doi: 10.1155/2021/3986497.</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 Shaikh, P. Shah, and R. Sekhar, "Communication Protocols in Industry 4.0," in Proc. Int. Conf. Sustain. Emerg. Innov. Eng. Technol. (ICSEIET), 2023, pp. 1–6, doi: 10.1109/ICSEIET58677.2023.10303397.</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 Bensaadallah, N. Ghoggali, L. Saidi, and W. Ghoggali, "Deep Learning-Based Real-Time Hand Landmark Recognition with MediaPipe for R12 Robot Control," in Proc. Int. Conf. Elect. Eng. Adv. Technol. (ICEEAT), 2023, pp. 1–6, doi: 10.1109/ICEEAT60471.2023.10426264.</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 Peral, A. Sanfeliu, and A. Garrell, "Efficient Hand Gesture Recognition for Human-Robot Interaction," IEEE Robot. Autom. Lett., vol. 7, no. 4, pp. 10272–10279, Oct. 2022, doi: 10.1109/LRA.2022.3193251.</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Muhtadin, I. W. A. Darmawan, M. H. Rusydiansyah, I. K. E. Purnama, C. Fatichah, and M. H. Purnomo, "Hand Gesture Recognition for Collaborative Robots Using Lightweight Deep Learning in Real-Time Robotic Systems," in Proc. Int. Seminar Intell. Technol. Its Appl. (ISITIA), 2025, pp. 1–6, doi: 10.1109/ISITIA66279.2025.11137561.</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B. Kwolek, "Continuous Hand Gesture Recognition for Human-Robot Collaborative Assembly," in Proc. IEEE/CVF Int. Conf. Comput. Vis. Workshops (ICCVW), 2023, pp. 1992–1999, doi: 10.1109/ICCVW60793.2023.00214.</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Y. Wang, D. Peng, E. Qi, and H. Wang, "Modbus/TCP Data Acquisition System Based on Industrial Ethernet Technology," in Proc. 4th IEEE Int. Conf. Elect. Eng. Control Technol. (CEECT), 2022, pp. 1–5, doi: 10.1109/CEECT55960.2022.10030131.</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H. Benyezza, M. Bouhedda, I. Kratbi, R. Kara, Y. Aniba, and A. Boukhtache, "Automated Fruits Inspection and Sorting Smart System for Industry 4.0 Based on OpenCV and PLC," in Proc. 2nd Int. Conf. Electron. Energy Meas. (IC2EM), 2023, pp. 1–6, doi: 10.1109/IC2EM59347.2023.10419533.</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C. D. Sawarkar, V. Vaidya, V. Sharma, S. Sheikh, A. Neware, and P. Chaudhari, "AI Based Real Time Hand Gesture Recognition System," Int. Res. J. Modernization Eng. Technol. Sci., vol. 6, no. 1, pp. 1–8, Jan. 2024, doi: 10.56726/IRJMETS48782.</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R. Tchantchane, H. Zhou, S. Zhang, and G. Alici, "A Review of Hand Gesture Recognition Systems Based on Noninvasive Wearable Sensors," Adv. Intell. Syst., vol. 5, no. 2, art. 2300207, 2023, doi: 10.1002/aisy.202300207.</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Schneider Electric, "Modicon M221 Logic Controller – Programming Guide," Tech. Rep., ver. 1.7, 2022. [Online]. Available: https://www.schneider-electric.com</w:t>
      </w:r>
    </w:p>
    <w:sectPr>
      <w:type w:val="continuous"/>
      <w:pgSz w:h="16840" w:w="11907" w:orient="portrait"/>
      <w:pgMar w:bottom="1418" w:top="1418" w:left="1701" w:right="1701" w:header="851" w:footer="851"/>
      <w:cols w:equalWidth="0" w:num="2">
        <w:col w:space="720" w:w="3892.5"/>
        <w:col w:space="0" w:w="3892.5"/>
      </w:cols>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lectrices PNJ" w:id="5" w:date="2023-02-22T07:37:36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Korespondensi: Times New Roman, 10 pt, Reguler, Center Text</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1(satu) alamat email penulis korespondensi.</w:t>
      </w:r>
    </w:p>
  </w:comment>
  <w:comment w:author="Electrices PNJ" w:id="3" w:date="2023-02-22T05:05:45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Afiliasi: Times New Roman, 10 pt, Reguler, Center Text, Capitalize Each Word</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alamat instansi: Nama program studi/Jurusan, Fakultas, PT, Kota domisili PT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dari afiliasi (jurusan/fakultas dan kampus) yang sama, cukup tulis 1 afiliasi dan tidak perlu diberi nomor 1,2,3</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**nomor 1,2,3 digunakan jika penulis berasal dari afiliasi yang berbeda</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berasal dari afiliasi yang berbeda, maka penulisan afiliasi dibuat berurutan mengikuti nomor penulis</w:t>
      </w:r>
    </w:p>
  </w:comment>
  <w:comment w:author="Electrices PNJ" w:id="4" w:date="2023-02-22T05:05:45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Afiliasi: Times New Roman, 10 pt, Reguler, Center Text, Capitalize Each Word</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wajib mencantumkan alamat instansi: Nama program studi/Jurusan, Fakultas, PT, Kota domisili PT</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dari afiliasi (jurusan/fakultas dan kampus) yang sama, cukup tulis 1 afiliasi dan tidak perlu diberi nomor 1,2,3</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**nomor 1,2,3 digunakan jika penulis berasal dari afiliasi yang berbeda</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***Jika penulis berasal dari afiliasi yang berbeda, maka penulisan afiliasi dibuat berurutan mengikuti nomor penulis</w:t>
      </w:r>
    </w:p>
  </w:comment>
  <w:comment w:author="Electrices PNJ" w:id="6" w:date="2023-02-22T07:45:56Z">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Abstrak: Times New Roman, 10 pt, Bold, Justify, Bahasa Indonesia.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Abstrak biasanya disajikan dalam satu paragraf berisikan 100-200 kata. Harus dipastikan tidak ada kesalahan ejaan, tata bahasa, dan ungkapan dalam bahasa yang digunakan. Idealnya abstrak mengandung masalah pokok dan/atau tujuan penelitian, serta menunjukkan pendekatan atau metode yang dipakai untuk memecahkannya, dan menyuguhkan temuan penting, simpulan, serta implikasi hasil penelitian.</w:t>
      </w:r>
    </w:p>
  </w:comment>
  <w:comment w:author="Electrices PNJ" w:id="9" w:date="2023-02-22T08:00:18Z">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Keywords:  Times New Roman, 10 pt, Bold, Italic, English, maximum 5 keywords.</w:t>
      </w:r>
    </w:p>
  </w:comment>
  <w:comment w:author="Electrices PNJ" w:id="10" w:date="2023-02-22T08:09:08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Subbab: Times New Roman, 12pt, Bold, Uppercase, dengan nomor urut dimulai dari 1.</w:t>
      </w:r>
    </w:p>
  </w:comment>
  <w:comment w:author="Electrices PNJ" w:id="12" w:date="2023-02-22T08:11:36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Sitasi: Wajib menggunakan reference manager software (Mendeley, End Note, dsb) dengan format IEEE</w:t>
      </w:r>
    </w:p>
  </w:comment>
  <w:comment w:author="Electrices PNJ" w:id="0" w:date="2023-02-22T04:29:47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Bahasa Indonesia: Times New Roman, 14 pt, Bold, Center Text, Capitalize Each Word, Maksimal 12 kata.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Harus Singkat dan Mampu Menggambarkan Keseluruhan Isi Artikel Serta Deskriptif dan Informatif</w:t>
      </w:r>
    </w:p>
  </w:comment>
  <w:comment w:author="Electrices PNJ" w:id="11" w:date="2023-02-22T08:10:22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Body text: Times New Roman 10pt, regular, spacing 0, spacing before 0 pt, after 0 pt. Ukuran kertas A4, Margin atas dan bawah 3 cm. Margin kiri dan kanan 2,5 cm, format justify (rata kiri-kanan).</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Paragraf baru ditandai dengan baris pertama masuk 1 cm ke kanan, serta tidak ada baris kosong antar paragraf.</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Jumlah halaman yang ditulis pada jurnal minimum 5 halaman dan maksimun 10 halaman</w:t>
      </w:r>
    </w:p>
  </w:comment>
  <w:comment w:author="Electrices PNJ" w:id="14" w:date="2023-02-22T08:41:38Z">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Gambar: Times New Roman, 8pt, Center.</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Beri jarak 1 spasi (10 pt) untuk paragraf berikutnya. Judul gambar dituliskan di bawah gambar.</w:t>
      </w:r>
    </w:p>
  </w:comment>
  <w:comment w:author="Electrices PNJ" w:id="8" w:date="2023-02-22T07:57:47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 Times New Roman, 10 pt, Bold, Italic, Justify, English.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Abstract is a brief review of the reasons for the study, the approach or method chosen, important results, and main conclusions. Abstract written in English. Abstracts are usually presented in one paragraph containing 100-200 words. It must be ensured that there are no spelling, grammatical, and idiomatic errors in the language used. Ideally the abstract contains the main problem and / or research objectives, and shows the approach or method used to solve it, and presents important findings, conclusions, and implications of the results of the study.</w:t>
      </w:r>
    </w:p>
  </w:comment>
  <w:comment w:author="Electrices PNJ" w:id="1" w:date="2023-02-22T04:35:01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Bahasa Inggris: Times New Roman, 14 pt, Bold, Center Text, Italic, Capitalize Each Word, Maksimal 12 kata.</w:t>
      </w:r>
    </w:p>
  </w:comment>
  <w:comment w:author="Electrices PNJ" w:id="7" w:date="2023-02-22T07:59:06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Kata Kunci: Times New Roman, 10 pt, Bold, Bahasa Indonesia, maksimal 5 kata</w:t>
      </w:r>
    </w:p>
  </w:comment>
  <w:comment w:author="Electrices PNJ" w:id="2" w:date="2023-02-22T04:52:46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Penulis: Times New Roman, 11 pt, Reguler, Center Text, Capitalize Each Word.</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Nama penulis lengkap, tanpa gelar akademik, diikuti nomor afiliasi pada sebelah kiri nama</w:t>
      </w:r>
    </w:p>
  </w:comment>
  <w:comment w:author="Electrices PNJ" w:id="15" w:date="2023-02-22T08:47:50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Judul Tabel: Times New Roman, 8pt, Center.</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Beri jarak 1 spasi (10 pt) untuk paragraf sebelumnya. Judul tabel dituliskan di atas Tabel.</w:t>
      </w:r>
    </w:p>
  </w:comment>
  <w:comment w:author="Electrices PNJ" w:id="13" w:date="2023-02-22T08:26:06Z">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Persamaan: Cambria Math, 10pt, spasi 1, centered text</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Penomoran yang ditulis dalam kurung dan rata kanan kanan. Berikan jarak 1 spasi dengan paragraf sebelum dan sesudahnya.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1" w15:done="0"/>
  <w15:commentEx w15:paraId="00000086" w15:done="0"/>
  <w15:commentEx w15:paraId="0000008B" w15:done="0"/>
  <w15:commentEx w15:paraId="0000008D" w15:done="0"/>
  <w15:commentEx w15:paraId="0000008E" w15:done="0"/>
  <w15:commentEx w15:paraId="0000008F" w15:done="0"/>
  <w15:commentEx w15:paraId="00000090" w15:done="0"/>
  <w15:commentEx w15:paraId="00000092" w15:done="0"/>
  <w15:commentEx w15:paraId="00000095" w15:done="0"/>
  <w15:commentEx w15:paraId="00000097" w15:done="0"/>
  <w15:commentEx w15:paraId="00000099" w15:done="0"/>
  <w15:commentEx w15:paraId="0000009A" w15:done="0"/>
  <w15:commentEx w15:paraId="0000009B" w15:done="0"/>
  <w15:commentEx w15:paraId="0000009D" w15:done="0"/>
  <w15:commentEx w15:paraId="0000009F" w15:done="0"/>
  <w15:commentEx w15:paraId="000000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Century Schoolbook">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8505.0" w:type="dxa"/>
      <w:jc w:val="center"/>
      <w:tblLayout w:type="fixed"/>
      <w:tblLook w:val="0400"/>
    </w:tblPr>
    <w:tblGrid>
      <w:gridCol w:w="6270"/>
      <w:gridCol w:w="2235"/>
      <w:tblGridChange w:id="0">
        <w:tblGrid>
          <w:gridCol w:w="6270"/>
          <w:gridCol w:w="223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A">
          <w:pPr>
            <w:tabs>
              <w:tab w:val="center" w:leader="none" w:pos="4320"/>
              <w:tab w:val="right" w:leader="none" w:pos="8640"/>
            </w:tabs>
            <w:rPr>
              <w:sz w:val="20"/>
              <w:szCs w:val="20"/>
            </w:rPr>
          </w:pPr>
          <w:r w:rsidDel="00000000" w:rsidR="00000000" w:rsidRPr="00000000">
            <w:rPr>
              <w:sz w:val="20"/>
              <w:szCs w:val="20"/>
              <w:rtl w:val="0"/>
            </w:rPr>
            <w:t xml:space="preserve">ELECTRICES - Jurnal Otomasi Kelistrikan dan Energi Terbarukan</w:t>
          </w:r>
        </w:p>
        <w:p w:rsidR="00000000" w:rsidDel="00000000" w:rsidP="00000000" w:rsidRDefault="00000000" w:rsidRPr="00000000" w14:paraId="0000007B">
          <w:pPr>
            <w:tabs>
              <w:tab w:val="center" w:leader="none" w:pos="4320"/>
              <w:tab w:val="right" w:leader="none" w:pos="8640"/>
            </w:tabs>
            <w:rPr>
              <w:sz w:val="20"/>
              <w:szCs w:val="20"/>
            </w:rPr>
          </w:pPr>
          <w:r w:rsidDel="00000000" w:rsidR="00000000" w:rsidRPr="00000000">
            <w:rPr>
              <w:sz w:val="20"/>
              <w:szCs w:val="20"/>
              <w:rtl w:val="0"/>
            </w:rPr>
            <w:t xml:space="preserve">Volume 6, Nomor 2, 2024                                 </w:t>
            <w:tab/>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7C">
          <w:pPr>
            <w:tabs>
              <w:tab w:val="center" w:leader="none" w:pos="4320"/>
              <w:tab w:val="right" w:leader="none" w:pos="8640"/>
            </w:tabs>
            <w:jc w:val="right"/>
            <w:rPr>
              <w:sz w:val="20"/>
              <w:szCs w:val="20"/>
            </w:rPr>
          </w:pPr>
          <w:r w:rsidDel="00000000" w:rsidR="00000000" w:rsidRPr="00000000">
            <w:rPr>
              <w:sz w:val="20"/>
              <w:szCs w:val="20"/>
              <w:rtl w:val="0"/>
            </w:rPr>
            <w:t xml:space="preserve">1</w:t>
          </w:r>
        </w:p>
      </w:tc>
    </w:tr>
  </w:tbl>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keepNext w:val="0"/>
      <w:keepLines w:val="0"/>
      <w:widowControl w:val="1"/>
      <w:pBdr>
        <w:top w:space="0" w:sz="0" w:val="nil"/>
        <w:left w:space="0" w:sz="0" w:val="nil"/>
        <w:bottom w:color="000000" w:space="1" w:sz="12" w:val="single"/>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POLITEKNOLOGI VOL. 9  NO. 3, SEPTEMBER 1010</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1"/>
        <w:iCs w:val="1"/>
        <w:smallCaps w:val="0"/>
        <w:strike w:val="0"/>
        <w:color w:val="000000"/>
        <w:sz w:val="20"/>
        <w:szCs w:val="20"/>
        <w:u w:val="none"/>
        <w:shd w:fill="auto" w:val="clear"/>
        <w:vertAlign w:val="baseline"/>
      </w:rPr>
    </w:pPr>
    <w:r>
      <w:rPr>
        <w:i w:val="1"/>
        <w:iCs w:val="1"/>
        <w:sz w:val="20"/>
        <w:szCs w:val="20"/>
        <w:rtl w:val="0"/>
      </w:rPr>
      <w:t>GestPLC: Real-Time Hand Gesture Recognition for PLC Contr...</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Rofiq Cahyo Prayogo, Ahmad Ridlo Hanifudin Tahier, Munadi</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
      <w:lvlJc w:val="left"/>
      <w:pPr>
        <w:ind w:left="360" w:hanging="360"/>
      </w:pPr>
      <w:rPr>
        <w:rFonts w:ascii="Times New Roman" w:cs="Times New Roman" w:eastAsia="Times New Roman" w:hAnsi="Times New Roman"/>
        <w:b w:val="0"/>
        <w:bCs w:val="0"/>
        <w:i w:val="0"/>
        <w:iCs w:val="0"/>
        <w:sz w:val="22"/>
        <w:szCs w:val="22"/>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4"/>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keepLines w:val="1"/>
      <w:spacing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spacing w:before="40" w:line="259" w:lineRule="auto"/>
      <w:ind w:left="1008" w:hanging="1008"/>
    </w:pPr>
    <w:rPr>
      <w:rFonts w:ascii="Cambria" w:cs="Cambria" w:eastAsia="Cambria" w:hAnsi="Cambria"/>
      <w:color w:val="366091"/>
      <w:sz w:val="22"/>
      <w:szCs w:val="22"/>
    </w:rPr>
  </w:style>
  <w:style w:type="paragraph" w:styleId="Heading6">
    <w:name w:val="heading 6"/>
    <w:basedOn w:val="Normal"/>
    <w:next w:val="Normal"/>
    <w:pPr>
      <w:keepNext w:val="1"/>
      <w:keepLines w:val="1"/>
      <w:spacing w:before="40" w:line="259" w:lineRule="auto"/>
      <w:ind w:left="1152" w:hanging="1152"/>
    </w:pPr>
    <w:rPr>
      <w:rFonts w:ascii="Cambria" w:cs="Cambria" w:eastAsia="Cambria" w:hAnsi="Cambria"/>
      <w:color w:val="243f61"/>
      <w:sz w:val="22"/>
      <w:szCs w:val="22"/>
    </w:rPr>
  </w:style>
  <w:style w:type="paragraph" w:styleId="Title">
    <w:name w:val="Title"/>
    <w:basedOn w:val="Normal"/>
    <w:next w:val="Normal"/>
    <w:pPr>
      <w:spacing w:line="360" w:lineRule="auto"/>
      <w:jc w:val="center"/>
    </w:pPr>
    <w:rPr>
      <w:b w:val="1"/>
      <w:bCs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rPr>
  </w:style>
  <w:style w:type="paragraph" w:styleId="Heading2">
    <w:name w:val="heading 2"/>
    <w:basedOn w:val="Normal"/>
    <w:next w:val="Normal"/>
    <w:pPr>
      <w:keepNext w:val="1"/>
      <w:keepLines w:val="1"/>
      <w:spacing w:before="200" w:lineRule="auto"/>
    </w:pPr>
    <w:rPr>
      <w:rFonts w:ascii="Cambria" w:cs="Cambria" w:eastAsia="Cambria" w:hAnsi="Cambria"/>
      <w:b w:val="1"/>
      <w:color w:val="4f81bd"/>
      <w:sz w:val="26"/>
      <w:szCs w:val="26"/>
    </w:rPr>
  </w:style>
  <w:style w:type="paragraph" w:styleId="Heading3">
    <w:name w:val="heading 3"/>
    <w:basedOn w:val="Normal"/>
    <w:next w:val="Normal"/>
    <w:pPr>
      <w:keepNext w:val="1"/>
      <w:keepLines w:val="1"/>
      <w:spacing w:before="200" w:lineRule="auto"/>
    </w:pPr>
    <w:rPr>
      <w:rFonts w:ascii="Cambria" w:cs="Cambria" w:eastAsia="Cambria" w:hAnsi="Cambria"/>
      <w:b w:val="1"/>
      <w:color w:val="4f81bd"/>
    </w:rPr>
  </w:style>
  <w:style w:type="paragraph" w:styleId="Heading4">
    <w:name w:val="heading 4"/>
    <w:basedOn w:val="Normal"/>
    <w:next w:val="Normal"/>
    <w:pPr>
      <w:keepNext w:val="1"/>
      <w:keepLines w:val="1"/>
      <w:spacing w:before="200" w:lineRule="auto"/>
    </w:pPr>
    <w:rPr>
      <w:rFonts w:ascii="Cambria" w:cs="Cambria" w:eastAsia="Cambria" w:hAnsi="Cambria"/>
      <w:b w:val="1"/>
      <w:i w:val="1"/>
      <w:color w:val="4f81bd"/>
    </w:rPr>
  </w:style>
  <w:style w:type="paragraph" w:styleId="Heading5">
    <w:name w:val="heading 5"/>
    <w:basedOn w:val="Normal"/>
    <w:next w:val="Normal"/>
    <w:pPr>
      <w:keepNext w:val="1"/>
      <w:keepLines w:val="1"/>
      <w:spacing w:before="40" w:line="259" w:lineRule="auto"/>
      <w:ind w:left="1008" w:hanging="1008"/>
    </w:pPr>
    <w:rPr>
      <w:rFonts w:ascii="Cambria" w:cs="Cambria" w:eastAsia="Cambria" w:hAnsi="Cambria"/>
      <w:color w:val="366091"/>
      <w:sz w:val="22"/>
      <w:szCs w:val="22"/>
    </w:rPr>
  </w:style>
  <w:style w:type="paragraph" w:styleId="Heading6">
    <w:name w:val="heading 6"/>
    <w:basedOn w:val="Normal"/>
    <w:next w:val="Normal"/>
    <w:pPr>
      <w:keepNext w:val="1"/>
      <w:keepLines w:val="1"/>
      <w:spacing w:before="40" w:line="259" w:lineRule="auto"/>
      <w:ind w:left="1152" w:hanging="1152"/>
    </w:pPr>
    <w:rPr>
      <w:rFonts w:ascii="Cambria" w:cs="Cambria" w:eastAsia="Cambria" w:hAnsi="Cambria"/>
      <w:color w:val="243f61"/>
      <w:sz w:val="22"/>
      <w:szCs w:val="22"/>
    </w:rPr>
  </w:style>
  <w:style w:type="paragraph" w:styleId="Title">
    <w:name w:val="Title"/>
    <w:basedOn w:val="Normal"/>
    <w:next w:val="Normal"/>
    <w:pPr>
      <w:spacing w:line="360" w:lineRule="auto"/>
      <w:jc w:val="center"/>
    </w:pPr>
    <w:rPr>
      <w:b w:val="1"/>
      <w:sz w:val="32"/>
      <w:szCs w:val="32"/>
    </w:rPr>
  </w:style>
  <w:style w:type="paragraph" w:styleId="Normal" w:default="1">
    <w:name w:val="Normal"/>
    <w:qFormat w:val="1"/>
    <w:rsid w:val="00D230B3"/>
    <w:rPr>
      <w:sz w:val="24"/>
      <w:szCs w:val="24"/>
    </w:rPr>
  </w:style>
  <w:style w:type="paragraph" w:styleId="Heading1">
    <w:name w:val="heading 1"/>
    <w:basedOn w:val="Normal"/>
    <w:next w:val="Normal"/>
    <w:link w:val="Heading1Char"/>
    <w:uiPriority w:val="9"/>
    <w:qFormat w:val="1"/>
    <w:rsid w:val="007809C4"/>
    <w:pPr>
      <w:keepNext w:val="1"/>
      <w:spacing w:after="60" w:before="240"/>
      <w:outlineLvl w:val="0"/>
    </w:pPr>
    <w:rPr>
      <w:rFonts w:ascii="Arial" w:cs="Arial" w:hAnsi="Arial"/>
      <w:b w:val="1"/>
      <w:bCs w:val="1"/>
      <w:kern w:val="32"/>
      <w:sz w:val="32"/>
      <w:szCs w:val="32"/>
    </w:rPr>
  </w:style>
  <w:style w:type="paragraph" w:styleId="Heading2">
    <w:name w:val="heading 2"/>
    <w:basedOn w:val="Normal"/>
    <w:next w:val="Normal"/>
    <w:link w:val="Heading2Char"/>
    <w:uiPriority w:val="9"/>
    <w:unhideWhenUsed w:val="1"/>
    <w:qFormat w:val="1"/>
    <w:rsid w:val="00405CB2"/>
    <w:pPr>
      <w:keepNext w:val="1"/>
      <w:keepLines w:val="1"/>
      <w:spacing w:before="200"/>
      <w:outlineLvl w:val="1"/>
    </w:pPr>
    <w:rPr>
      <w:rFonts w:asciiTheme="majorHAnsi" w:cstheme="majorBidi" w:eastAsiaTheme="majorEastAsia" w:hAnsiTheme="majorHAnsi"/>
      <w:b w:val="1"/>
      <w:bCs w:val="1"/>
      <w:color w:val="4f81bd" w:themeColor="accent1"/>
      <w:sz w:val="26"/>
      <w:szCs w:val="26"/>
    </w:rPr>
  </w:style>
  <w:style w:type="paragraph" w:styleId="Heading3">
    <w:name w:val="heading 3"/>
    <w:basedOn w:val="Normal"/>
    <w:next w:val="Normal"/>
    <w:link w:val="Heading3Char"/>
    <w:uiPriority w:val="9"/>
    <w:unhideWhenUsed w:val="1"/>
    <w:qFormat w:val="1"/>
    <w:rsid w:val="00FD76E2"/>
    <w:pPr>
      <w:keepNext w:val="1"/>
      <w:keepLines w:val="1"/>
      <w:spacing w:before="200"/>
      <w:outlineLvl w:val="2"/>
    </w:pPr>
    <w:rPr>
      <w:rFonts w:asciiTheme="majorHAnsi" w:cstheme="majorBidi" w:eastAsiaTheme="majorEastAsia" w:hAnsiTheme="majorHAnsi"/>
      <w:b w:val="1"/>
      <w:bCs w:val="1"/>
      <w:color w:val="4f81bd" w:themeColor="accent1"/>
    </w:rPr>
  </w:style>
  <w:style w:type="paragraph" w:styleId="Heading4">
    <w:name w:val="heading 4"/>
    <w:basedOn w:val="Normal"/>
    <w:next w:val="Normal"/>
    <w:link w:val="Heading4Char"/>
    <w:uiPriority w:val="9"/>
    <w:semiHidden w:val="1"/>
    <w:unhideWhenUsed w:val="1"/>
    <w:qFormat w:val="1"/>
    <w:rsid w:val="00FD76E2"/>
    <w:pPr>
      <w:keepNext w:val="1"/>
      <w:keepLines w:val="1"/>
      <w:spacing w:before="200"/>
      <w:outlineLvl w:val="3"/>
    </w:pPr>
    <w:rPr>
      <w:rFonts w:asciiTheme="majorHAnsi" w:cstheme="majorBidi" w:eastAsiaTheme="majorEastAsia" w:hAnsiTheme="majorHAnsi"/>
      <w:b w:val="1"/>
      <w:bCs w:val="1"/>
      <w:i w:val="1"/>
      <w:iCs w:val="1"/>
      <w:color w:val="4f81bd" w:themeColor="accent1"/>
    </w:rPr>
  </w:style>
  <w:style w:type="paragraph" w:styleId="Heading5">
    <w:name w:val="heading 5"/>
    <w:basedOn w:val="Normal"/>
    <w:next w:val="Normal"/>
    <w:link w:val="Heading5Char"/>
    <w:uiPriority w:val="9"/>
    <w:semiHidden w:val="1"/>
    <w:unhideWhenUsed w:val="1"/>
    <w:qFormat w:val="1"/>
    <w:rsid w:val="00C23DD5"/>
    <w:pPr>
      <w:keepNext w:val="1"/>
      <w:keepLines w:val="1"/>
      <w:spacing w:before="40" w:line="259" w:lineRule="auto"/>
      <w:ind w:left="1008" w:hanging="1008"/>
      <w:outlineLvl w:val="4"/>
    </w:pPr>
    <w:rPr>
      <w:rFonts w:asciiTheme="majorHAnsi" w:cstheme="majorBidi" w:eastAsiaTheme="majorEastAsia" w:hAnsiTheme="majorHAnsi"/>
      <w:color w:val="365f91" w:themeColor="accent1" w:themeShade="0000BF"/>
      <w:sz w:val="22"/>
      <w:szCs w:val="22"/>
    </w:rPr>
  </w:style>
  <w:style w:type="paragraph" w:styleId="Heading6">
    <w:name w:val="heading 6"/>
    <w:basedOn w:val="Normal"/>
    <w:next w:val="Normal"/>
    <w:link w:val="Heading6Char"/>
    <w:uiPriority w:val="9"/>
    <w:semiHidden w:val="1"/>
    <w:unhideWhenUsed w:val="1"/>
    <w:qFormat w:val="1"/>
    <w:rsid w:val="00C23DD5"/>
    <w:pPr>
      <w:keepNext w:val="1"/>
      <w:keepLines w:val="1"/>
      <w:spacing w:before="40" w:line="259" w:lineRule="auto"/>
      <w:ind w:left="1152" w:hanging="1152"/>
      <w:outlineLvl w:val="5"/>
    </w:pPr>
    <w:rPr>
      <w:rFonts w:asciiTheme="majorHAnsi" w:cstheme="majorBidi" w:eastAsiaTheme="majorEastAsia" w:hAnsiTheme="majorHAnsi"/>
      <w:color w:val="243f60" w:themeColor="accent1" w:themeShade="00007F"/>
      <w:sz w:val="22"/>
      <w:szCs w:val="22"/>
    </w:rPr>
  </w:style>
  <w:style w:type="paragraph" w:styleId="Heading7">
    <w:name w:val="heading 7"/>
    <w:basedOn w:val="Normal"/>
    <w:next w:val="Normal"/>
    <w:link w:val="Heading7Char"/>
    <w:uiPriority w:val="9"/>
    <w:semiHidden w:val="1"/>
    <w:unhideWhenUsed w:val="1"/>
    <w:qFormat w:val="1"/>
    <w:rsid w:val="00C23DD5"/>
    <w:pPr>
      <w:keepNext w:val="1"/>
      <w:keepLines w:val="1"/>
      <w:spacing w:before="40" w:line="259" w:lineRule="auto"/>
      <w:ind w:left="1296" w:hanging="1296"/>
      <w:outlineLvl w:val="6"/>
    </w:pPr>
    <w:rPr>
      <w:rFonts w:asciiTheme="majorHAnsi" w:cstheme="majorBidi" w:eastAsiaTheme="majorEastAsia" w:hAnsiTheme="majorHAnsi"/>
      <w:i w:val="1"/>
      <w:iCs w:val="1"/>
      <w:color w:val="243f60" w:themeColor="accent1" w:themeShade="00007F"/>
      <w:sz w:val="22"/>
      <w:szCs w:val="22"/>
    </w:rPr>
  </w:style>
  <w:style w:type="paragraph" w:styleId="Heading8">
    <w:name w:val="heading 8"/>
    <w:basedOn w:val="Normal"/>
    <w:next w:val="Normal"/>
    <w:link w:val="Heading8Char"/>
    <w:uiPriority w:val="9"/>
    <w:semiHidden w:val="1"/>
    <w:unhideWhenUsed w:val="1"/>
    <w:qFormat w:val="1"/>
    <w:rsid w:val="00C23DD5"/>
    <w:pPr>
      <w:keepNext w:val="1"/>
      <w:keepLines w:val="1"/>
      <w:spacing w:before="40" w:line="259" w:lineRule="auto"/>
      <w:ind w:left="1440" w:hanging="14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23DD5"/>
    <w:pPr>
      <w:keepNext w:val="1"/>
      <w:keepLines w:val="1"/>
      <w:spacing w:before="40" w:line="259" w:lineRule="auto"/>
      <w:ind w:left="1584" w:hanging="1584"/>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rsid w:val="002D0BC4"/>
    <w:pPr>
      <w:tabs>
        <w:tab w:val="center" w:pos="4320"/>
        <w:tab w:val="right" w:pos="8640"/>
      </w:tabs>
    </w:pPr>
    <w:rPr>
      <w:szCs w:val="20"/>
    </w:rPr>
  </w:style>
  <w:style w:type="paragraph" w:styleId="Footer">
    <w:name w:val="footer"/>
    <w:basedOn w:val="Normal"/>
    <w:link w:val="FooterChar"/>
    <w:uiPriority w:val="99"/>
    <w:rsid w:val="002D0BC4"/>
    <w:pPr>
      <w:tabs>
        <w:tab w:val="center" w:pos="4320"/>
        <w:tab w:val="right" w:pos="8640"/>
      </w:tabs>
    </w:pPr>
    <w:rPr>
      <w:szCs w:val="20"/>
    </w:rPr>
  </w:style>
  <w:style w:type="character" w:styleId="Hyperlink">
    <w:name w:val="Hyperlink"/>
    <w:basedOn w:val="DefaultParagraphFont"/>
    <w:rsid w:val="00F61BAC"/>
    <w:rPr>
      <w:color w:val="0000ff"/>
      <w:u w:val="single"/>
    </w:rPr>
  </w:style>
  <w:style w:type="paragraph" w:styleId="Title">
    <w:name w:val="Title"/>
    <w:basedOn w:val="Normal"/>
    <w:link w:val="TitleChar"/>
    <w:uiPriority w:val="10"/>
    <w:qFormat w:val="1"/>
    <w:rsid w:val="00D230B3"/>
    <w:pPr>
      <w:spacing w:line="360" w:lineRule="auto"/>
      <w:jc w:val="center"/>
    </w:pPr>
    <w:rPr>
      <w:b w:val="1"/>
      <w:sz w:val="32"/>
      <w:szCs w:val="20"/>
    </w:rPr>
  </w:style>
  <w:style w:type="paragraph" w:styleId="BodyText">
    <w:name w:val="Body Text"/>
    <w:basedOn w:val="Normal"/>
    <w:link w:val="BodyTextChar"/>
    <w:rsid w:val="007809C4"/>
    <w:pPr>
      <w:spacing w:line="480" w:lineRule="auto"/>
      <w:jc w:val="both"/>
    </w:pPr>
    <w:rPr>
      <w:szCs w:val="20"/>
    </w:rPr>
  </w:style>
  <w:style w:type="paragraph" w:styleId="BodyTextIndent2">
    <w:name w:val="Body Text Indent 2"/>
    <w:basedOn w:val="Normal"/>
    <w:rsid w:val="0094425D"/>
    <w:pPr>
      <w:spacing w:after="120" w:line="480" w:lineRule="auto"/>
      <w:ind w:left="360"/>
    </w:pPr>
  </w:style>
  <w:style w:type="paragraph" w:styleId="BodyTextIndent3">
    <w:name w:val="Body Text Indent 3"/>
    <w:basedOn w:val="Normal"/>
    <w:link w:val="BodyTextIndent3Char"/>
    <w:rsid w:val="00593975"/>
    <w:pPr>
      <w:spacing w:after="120"/>
      <w:ind w:left="360"/>
    </w:pPr>
    <w:rPr>
      <w:sz w:val="16"/>
      <w:szCs w:val="16"/>
    </w:rPr>
  </w:style>
  <w:style w:type="character" w:styleId="PageNumber">
    <w:name w:val="page number"/>
    <w:basedOn w:val="DefaultParagraphFont"/>
    <w:rsid w:val="008C72C4"/>
  </w:style>
  <w:style w:type="table" w:styleId="TableGrid">
    <w:name w:val="Table Grid"/>
    <w:basedOn w:val="TableNormal"/>
    <w:uiPriority w:val="59"/>
    <w:rsid w:val="003C3C8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CommentReference">
    <w:name w:val="annotation reference"/>
    <w:basedOn w:val="DefaultParagraphFont"/>
    <w:semiHidden w:val="1"/>
    <w:rsid w:val="00F12D0C"/>
    <w:rPr>
      <w:sz w:val="16"/>
      <w:szCs w:val="16"/>
    </w:rPr>
  </w:style>
  <w:style w:type="paragraph" w:styleId="CommentText">
    <w:name w:val="annotation text"/>
    <w:basedOn w:val="Normal"/>
    <w:semiHidden w:val="1"/>
    <w:rsid w:val="00F12D0C"/>
    <w:rPr>
      <w:sz w:val="20"/>
      <w:szCs w:val="20"/>
    </w:rPr>
  </w:style>
  <w:style w:type="paragraph" w:styleId="CommentSubject">
    <w:name w:val="annotation subject"/>
    <w:basedOn w:val="CommentText"/>
    <w:next w:val="CommentText"/>
    <w:semiHidden w:val="1"/>
    <w:rsid w:val="00F12D0C"/>
    <w:rPr>
      <w:b w:val="1"/>
      <w:bCs w:val="1"/>
    </w:rPr>
  </w:style>
  <w:style w:type="paragraph" w:styleId="BalloonText">
    <w:name w:val="Balloon Text"/>
    <w:basedOn w:val="Normal"/>
    <w:semiHidden w:val="1"/>
    <w:rsid w:val="00F12D0C"/>
    <w:rPr>
      <w:rFonts w:ascii="Tahoma" w:cs="Tahoma" w:hAnsi="Tahoma"/>
      <w:sz w:val="16"/>
      <w:szCs w:val="16"/>
    </w:rPr>
  </w:style>
  <w:style w:type="paragraph" w:styleId="FootnoteText">
    <w:name w:val="footnote text"/>
    <w:basedOn w:val="Normal"/>
    <w:semiHidden w:val="1"/>
    <w:rsid w:val="00F12D0C"/>
    <w:rPr>
      <w:sz w:val="20"/>
      <w:szCs w:val="20"/>
    </w:rPr>
  </w:style>
  <w:style w:type="character" w:styleId="FootnoteReference">
    <w:name w:val="footnote reference"/>
    <w:basedOn w:val="DefaultParagraphFont"/>
    <w:semiHidden w:val="1"/>
    <w:rsid w:val="00F12D0C"/>
    <w:rPr>
      <w:vertAlign w:val="superscript"/>
    </w:rPr>
  </w:style>
  <w:style w:type="character" w:styleId="HeaderChar" w:customStyle="1">
    <w:name w:val="Header Char"/>
    <w:basedOn w:val="DefaultParagraphFont"/>
    <w:link w:val="Header"/>
    <w:uiPriority w:val="99"/>
    <w:rsid w:val="00820F52"/>
    <w:rPr>
      <w:sz w:val="24"/>
    </w:rPr>
  </w:style>
  <w:style w:type="paragraph" w:styleId="ListParagraph">
    <w:name w:val="List Paragraph"/>
    <w:basedOn w:val="Normal"/>
    <w:link w:val="ListParagraphChar"/>
    <w:uiPriority w:val="34"/>
    <w:qFormat w:val="1"/>
    <w:rsid w:val="00432F1E"/>
    <w:pPr>
      <w:ind w:left="720"/>
      <w:contextualSpacing w:val="1"/>
    </w:pPr>
  </w:style>
  <w:style w:type="character" w:styleId="BodyTextIndent3Char" w:customStyle="1">
    <w:name w:val="Body Text Indent 3 Char"/>
    <w:basedOn w:val="DefaultParagraphFont"/>
    <w:link w:val="BodyTextIndent3"/>
    <w:rsid w:val="00432F1E"/>
    <w:rPr>
      <w:sz w:val="16"/>
      <w:szCs w:val="16"/>
    </w:rPr>
  </w:style>
  <w:style w:type="paragraph" w:styleId="Style1" w:customStyle="1">
    <w:name w:val="Style1"/>
    <w:aliases w:val="PT_01_Judul"/>
    <w:basedOn w:val="Title"/>
    <w:link w:val="Style1Char"/>
    <w:qFormat w:val="1"/>
    <w:rsid w:val="002C7C03"/>
    <w:pPr>
      <w:spacing w:line="240" w:lineRule="auto"/>
    </w:pPr>
    <w:rPr>
      <w:caps w:val="1"/>
      <w:szCs w:val="32"/>
      <w:lang w:val="id-ID"/>
    </w:rPr>
  </w:style>
  <w:style w:type="paragraph" w:styleId="Style2" w:customStyle="1">
    <w:name w:val="Style2"/>
    <w:aliases w:val="PT_02_Penulis"/>
    <w:basedOn w:val="Normal"/>
    <w:link w:val="Style2Char"/>
    <w:qFormat w:val="1"/>
    <w:rsid w:val="002C7C03"/>
    <w:pPr>
      <w:jc w:val="center"/>
    </w:pPr>
    <w:rPr>
      <w:bCs w:val="1"/>
      <w:lang w:val="id-ID"/>
    </w:rPr>
  </w:style>
  <w:style w:type="character" w:styleId="TitleChar" w:customStyle="1">
    <w:name w:val="Title Char"/>
    <w:basedOn w:val="DefaultParagraphFont"/>
    <w:link w:val="Title"/>
    <w:uiPriority w:val="10"/>
    <w:rsid w:val="002C7C03"/>
    <w:rPr>
      <w:b w:val="1"/>
      <w:sz w:val="32"/>
    </w:rPr>
  </w:style>
  <w:style w:type="character" w:styleId="Style1Char" w:customStyle="1">
    <w:name w:val="Style1 Char"/>
    <w:aliases w:val="PT_01_Judul Char"/>
    <w:basedOn w:val="TitleChar"/>
    <w:link w:val="Style1"/>
    <w:rsid w:val="002C7C03"/>
    <w:rPr>
      <w:b w:val="1"/>
      <w:caps w:val="1"/>
      <w:sz w:val="32"/>
      <w:szCs w:val="32"/>
      <w:lang w:val="id-ID"/>
    </w:rPr>
  </w:style>
  <w:style w:type="paragraph" w:styleId="Style3" w:customStyle="1">
    <w:name w:val="Style3"/>
    <w:aliases w:val="TP_03_Lembaga"/>
    <w:basedOn w:val="Normal"/>
    <w:link w:val="Style3Char"/>
    <w:qFormat w:val="1"/>
    <w:rsid w:val="002C7C03"/>
    <w:pPr>
      <w:jc w:val="center"/>
    </w:pPr>
    <w:rPr>
      <w:i w:val="1"/>
      <w:sz w:val="20"/>
      <w:szCs w:val="20"/>
      <w:lang w:val="id-ID"/>
    </w:rPr>
  </w:style>
  <w:style w:type="character" w:styleId="Style2Char" w:customStyle="1">
    <w:name w:val="Style2 Char"/>
    <w:aliases w:val="PT_02_Penulis Char"/>
    <w:basedOn w:val="DefaultParagraphFont"/>
    <w:link w:val="Style2"/>
    <w:rsid w:val="002C7C03"/>
    <w:rPr>
      <w:bCs w:val="1"/>
      <w:sz w:val="24"/>
      <w:szCs w:val="24"/>
      <w:lang w:val="id-ID"/>
    </w:rPr>
  </w:style>
  <w:style w:type="paragraph" w:styleId="Style4" w:customStyle="1">
    <w:name w:val="Style4"/>
    <w:aliases w:val="PT_04_Abstrak"/>
    <w:basedOn w:val="Normal"/>
    <w:link w:val="Style4Char"/>
    <w:qFormat w:val="1"/>
    <w:rsid w:val="002C7C03"/>
    <w:pPr>
      <w:jc w:val="both"/>
    </w:pPr>
    <w:rPr>
      <w:i w:val="1"/>
      <w:sz w:val="22"/>
      <w:szCs w:val="22"/>
    </w:rPr>
  </w:style>
  <w:style w:type="character" w:styleId="Style3Char" w:customStyle="1">
    <w:name w:val="Style3 Char"/>
    <w:aliases w:val="TP_03_Lembaga Char"/>
    <w:basedOn w:val="DefaultParagraphFont"/>
    <w:link w:val="Style3"/>
    <w:rsid w:val="002C7C03"/>
    <w:rPr>
      <w:i w:val="1"/>
      <w:lang w:val="id-ID"/>
    </w:rPr>
  </w:style>
  <w:style w:type="paragraph" w:styleId="Style5" w:customStyle="1">
    <w:name w:val="Style5"/>
    <w:aliases w:val="PT_05_Isi_Judul"/>
    <w:basedOn w:val="Heading1"/>
    <w:link w:val="Style5Char"/>
    <w:autoRedefine w:val="1"/>
    <w:qFormat w:val="1"/>
    <w:rsid w:val="00391E6E"/>
    <w:pPr>
      <w:tabs>
        <w:tab w:val="left" w:pos="357"/>
      </w:tabs>
      <w:spacing w:after="0" w:before="0"/>
      <w:jc w:val="both"/>
    </w:pPr>
    <w:rPr>
      <w:rFonts w:ascii="Times New Roman" w:cs="Times New Roman" w:hAnsi="Times New Roman"/>
      <w:b w:val="0"/>
      <w:sz w:val="20"/>
      <w:szCs w:val="20"/>
    </w:rPr>
  </w:style>
  <w:style w:type="character" w:styleId="Style4Char" w:customStyle="1">
    <w:name w:val="Style4 Char"/>
    <w:aliases w:val="PT_04_Abstrak Char"/>
    <w:basedOn w:val="DefaultParagraphFont"/>
    <w:link w:val="Style4"/>
    <w:rsid w:val="002C7C03"/>
    <w:rPr>
      <w:i w:val="1"/>
      <w:sz w:val="22"/>
      <w:szCs w:val="22"/>
    </w:rPr>
  </w:style>
  <w:style w:type="paragraph" w:styleId="Style6" w:customStyle="1">
    <w:name w:val="Style6"/>
    <w:aliases w:val="PT_06_isi_sub_judul"/>
    <w:basedOn w:val="Heading1"/>
    <w:link w:val="Style6Char"/>
    <w:qFormat w:val="1"/>
    <w:rsid w:val="00DE6D6F"/>
    <w:pPr>
      <w:spacing w:after="0" w:before="0"/>
    </w:pPr>
    <w:rPr>
      <w:rFonts w:ascii="Times New Roman" w:cs="Times New Roman" w:hAnsi="Times New Roman"/>
      <w:sz w:val="24"/>
      <w:szCs w:val="24"/>
    </w:rPr>
  </w:style>
  <w:style w:type="character" w:styleId="Heading1Char" w:customStyle="1">
    <w:name w:val="Heading 1 Char"/>
    <w:basedOn w:val="DefaultParagraphFont"/>
    <w:link w:val="Heading1"/>
    <w:rsid w:val="005867A0"/>
    <w:rPr>
      <w:rFonts w:ascii="Arial" w:cs="Arial" w:hAnsi="Arial"/>
      <w:b w:val="1"/>
      <w:bCs w:val="1"/>
      <w:kern w:val="32"/>
      <w:sz w:val="32"/>
      <w:szCs w:val="32"/>
    </w:rPr>
  </w:style>
  <w:style w:type="character" w:styleId="Style5Char" w:customStyle="1">
    <w:name w:val="Style5 Char"/>
    <w:aliases w:val="PT_05_Isi_Judul Char"/>
    <w:basedOn w:val="Heading1Char"/>
    <w:link w:val="Style5"/>
    <w:rsid w:val="00391E6E"/>
    <w:rPr>
      <w:rFonts w:ascii="Arial" w:cs="Arial" w:hAnsi="Arial"/>
      <w:b w:val="0"/>
      <w:bCs w:val="1"/>
      <w:kern w:val="32"/>
      <w:sz w:val="32"/>
      <w:szCs w:val="32"/>
    </w:rPr>
  </w:style>
  <w:style w:type="paragraph" w:styleId="Style7" w:customStyle="1">
    <w:name w:val="Style7"/>
    <w:aliases w:val="PT_07_isi"/>
    <w:basedOn w:val="BodyText"/>
    <w:link w:val="Style7Char"/>
    <w:qFormat w:val="1"/>
    <w:rsid w:val="00DE6D6F"/>
    <w:pPr>
      <w:spacing w:after="120" w:line="240" w:lineRule="auto"/>
    </w:pPr>
    <w:rPr>
      <w:szCs w:val="24"/>
      <w:lang w:val="id-ID"/>
    </w:rPr>
  </w:style>
  <w:style w:type="character" w:styleId="Style6Char" w:customStyle="1">
    <w:name w:val="Style6 Char"/>
    <w:aliases w:val="PT_06_isi_sub_judul Char"/>
    <w:basedOn w:val="Heading1Char"/>
    <w:link w:val="Style6"/>
    <w:rsid w:val="00DE6D6F"/>
    <w:rPr>
      <w:rFonts w:ascii="Arial" w:cs="Arial" w:hAnsi="Arial"/>
      <w:b w:val="1"/>
      <w:bCs w:val="1"/>
      <w:kern w:val="32"/>
      <w:sz w:val="24"/>
      <w:szCs w:val="24"/>
    </w:rPr>
  </w:style>
  <w:style w:type="paragraph" w:styleId="Style8" w:customStyle="1">
    <w:name w:val="Style8"/>
    <w:aliases w:val="PT_08_isi_point"/>
    <w:basedOn w:val="BodyTextIndent3"/>
    <w:link w:val="Style8Char"/>
    <w:qFormat w:val="1"/>
    <w:rsid w:val="00DE6D6F"/>
    <w:pPr>
      <w:numPr>
        <w:numId w:val="2"/>
      </w:numPr>
      <w:spacing w:after="0"/>
      <w:jc w:val="both"/>
    </w:pPr>
    <w:rPr>
      <w:sz w:val="24"/>
      <w:szCs w:val="24"/>
      <w:lang w:val="id-ID"/>
    </w:rPr>
  </w:style>
  <w:style w:type="character" w:styleId="BodyTextChar" w:customStyle="1">
    <w:name w:val="Body Text Char"/>
    <w:basedOn w:val="DefaultParagraphFont"/>
    <w:link w:val="BodyText"/>
    <w:rsid w:val="00DE6D6F"/>
    <w:rPr>
      <w:sz w:val="24"/>
    </w:rPr>
  </w:style>
  <w:style w:type="character" w:styleId="Style7Char" w:customStyle="1">
    <w:name w:val="Style7 Char"/>
    <w:aliases w:val="PT_07_isi Char"/>
    <w:basedOn w:val="BodyTextChar"/>
    <w:link w:val="Style7"/>
    <w:rsid w:val="00DE6D6F"/>
    <w:rPr>
      <w:sz w:val="24"/>
      <w:szCs w:val="24"/>
      <w:lang w:val="id-ID"/>
    </w:rPr>
  </w:style>
  <w:style w:type="paragraph" w:styleId="Style9" w:customStyle="1">
    <w:name w:val="Style9"/>
    <w:aliases w:val="PT_09_isi_gambar"/>
    <w:basedOn w:val="Normal"/>
    <w:link w:val="Style9Char"/>
    <w:qFormat w:val="1"/>
    <w:rsid w:val="00DE6D6F"/>
    <w:pPr>
      <w:jc w:val="center"/>
    </w:pPr>
    <w:rPr>
      <w:noProof w:val="1"/>
    </w:rPr>
  </w:style>
  <w:style w:type="character" w:styleId="Style8Char" w:customStyle="1">
    <w:name w:val="Style8 Char"/>
    <w:aliases w:val="PT_08_isi_point Char"/>
    <w:basedOn w:val="BodyTextIndent3Char"/>
    <w:link w:val="Style8"/>
    <w:rsid w:val="00DE6D6F"/>
    <w:rPr>
      <w:sz w:val="24"/>
      <w:szCs w:val="24"/>
      <w:lang w:val="id-ID"/>
    </w:rPr>
  </w:style>
  <w:style w:type="paragraph" w:styleId="Style10" w:customStyle="1">
    <w:name w:val="Style10"/>
    <w:aliases w:val="PT_10_isi_jud.gambar"/>
    <w:basedOn w:val="Normal"/>
    <w:link w:val="Style10Char"/>
    <w:autoRedefine w:val="1"/>
    <w:qFormat w:val="1"/>
    <w:rsid w:val="00B04222"/>
    <w:pPr>
      <w:spacing w:after="120"/>
      <w:jc w:val="center"/>
    </w:pPr>
    <w:rPr>
      <w:noProof w:val="1"/>
      <w:lang w:eastAsia="id-ID" w:val="id-ID"/>
    </w:rPr>
  </w:style>
  <w:style w:type="character" w:styleId="Style9Char" w:customStyle="1">
    <w:name w:val="Style9 Char"/>
    <w:aliases w:val="PT_09_isi_gambar Char"/>
    <w:basedOn w:val="DefaultParagraphFont"/>
    <w:link w:val="Style9"/>
    <w:rsid w:val="00DE6D6F"/>
    <w:rPr>
      <w:noProof w:val="1"/>
      <w:sz w:val="24"/>
      <w:szCs w:val="24"/>
    </w:rPr>
  </w:style>
  <w:style w:type="paragraph" w:styleId="Style11" w:customStyle="1">
    <w:name w:val="Style11"/>
    <w:aliases w:val="PT_11_isi_daf.simbol"/>
    <w:basedOn w:val="Normal"/>
    <w:link w:val="Style11Char"/>
    <w:qFormat w:val="1"/>
    <w:rsid w:val="00C81C22"/>
    <w:pPr>
      <w:tabs>
        <w:tab w:val="left" w:pos="720"/>
        <w:tab w:val="left" w:pos="993"/>
      </w:tabs>
      <w:ind w:left="993" w:hanging="993"/>
      <w:jc w:val="both"/>
    </w:pPr>
    <w:rPr>
      <w:lang w:val="id-ID"/>
    </w:rPr>
  </w:style>
  <w:style w:type="character" w:styleId="Style10Char" w:customStyle="1">
    <w:name w:val="Style10 Char"/>
    <w:aliases w:val="PT_10_isi_jud.gambar Char"/>
    <w:basedOn w:val="DefaultParagraphFont"/>
    <w:link w:val="Style10"/>
    <w:rsid w:val="00B04222"/>
    <w:rPr>
      <w:noProof w:val="1"/>
      <w:sz w:val="24"/>
      <w:szCs w:val="24"/>
      <w:lang w:eastAsia="id-ID" w:val="id-ID"/>
    </w:rPr>
  </w:style>
  <w:style w:type="paragraph" w:styleId="Style12" w:customStyle="1">
    <w:name w:val="Style12"/>
    <w:aliases w:val="PT_12_isi_daf.pustaka"/>
    <w:basedOn w:val="Normal"/>
    <w:link w:val="Style12Char"/>
    <w:qFormat w:val="1"/>
    <w:rsid w:val="004F2AA8"/>
    <w:pPr>
      <w:numPr>
        <w:numId w:val="11"/>
      </w:numPr>
      <w:jc w:val="lowKashida"/>
    </w:pPr>
  </w:style>
  <w:style w:type="character" w:styleId="Style11Char" w:customStyle="1">
    <w:name w:val="Style11 Char"/>
    <w:aliases w:val="PT_11_isi_daf.simbol Char"/>
    <w:basedOn w:val="DefaultParagraphFont"/>
    <w:link w:val="Style11"/>
    <w:rsid w:val="00C81C22"/>
    <w:rPr>
      <w:sz w:val="24"/>
      <w:szCs w:val="24"/>
      <w:lang w:val="id-ID"/>
    </w:rPr>
  </w:style>
  <w:style w:type="character" w:styleId="Style12Char" w:customStyle="1">
    <w:name w:val="Style12 Char"/>
    <w:aliases w:val="PT_12_isi_daf.pustaka Char"/>
    <w:basedOn w:val="DefaultParagraphFont"/>
    <w:link w:val="Style12"/>
    <w:rsid w:val="004F2AA8"/>
    <w:rPr>
      <w:sz w:val="24"/>
      <w:szCs w:val="24"/>
    </w:rPr>
  </w:style>
  <w:style w:type="character" w:styleId="FooterChar" w:customStyle="1">
    <w:name w:val="Footer Char"/>
    <w:basedOn w:val="DefaultParagraphFont"/>
    <w:link w:val="Footer"/>
    <w:uiPriority w:val="99"/>
    <w:rsid w:val="00DC32D2"/>
    <w:rPr>
      <w:sz w:val="24"/>
    </w:rPr>
  </w:style>
  <w:style w:type="paragraph" w:styleId="CharChar" w:customStyle="1">
    <w:name w:val="Char Char"/>
    <w:basedOn w:val="Normal"/>
    <w:rsid w:val="00B04222"/>
    <w:pPr>
      <w:spacing w:after="160" w:line="240" w:lineRule="exact"/>
    </w:pPr>
    <w:rPr>
      <w:rFonts w:ascii="Verdana" w:hAnsi="Verdana"/>
      <w:sz w:val="20"/>
      <w:szCs w:val="20"/>
    </w:rPr>
  </w:style>
  <w:style w:type="paragraph" w:styleId="Style13" w:customStyle="1">
    <w:name w:val="Style13"/>
    <w:aliases w:val="PT_07_isi_Num"/>
    <w:basedOn w:val="Style7"/>
    <w:link w:val="Style13Char"/>
    <w:qFormat w:val="1"/>
    <w:rsid w:val="00F816A6"/>
    <w:pPr>
      <w:numPr>
        <w:numId w:val="6"/>
      </w:numPr>
    </w:pPr>
  </w:style>
  <w:style w:type="character" w:styleId="Heading3Char" w:customStyle="1">
    <w:name w:val="Heading 3 Char"/>
    <w:basedOn w:val="DefaultParagraphFont"/>
    <w:link w:val="Heading3"/>
    <w:uiPriority w:val="9"/>
    <w:semiHidden w:val="1"/>
    <w:rsid w:val="00FD76E2"/>
    <w:rPr>
      <w:rFonts w:asciiTheme="majorHAnsi" w:cstheme="majorBidi" w:eastAsiaTheme="majorEastAsia" w:hAnsiTheme="majorHAnsi"/>
      <w:b w:val="1"/>
      <w:bCs w:val="1"/>
      <w:color w:val="4f81bd" w:themeColor="accent1"/>
      <w:sz w:val="24"/>
      <w:szCs w:val="24"/>
    </w:rPr>
  </w:style>
  <w:style w:type="character" w:styleId="Style13Char" w:customStyle="1">
    <w:name w:val="Style13 Char"/>
    <w:aliases w:val="PT_07_isi_Num Char"/>
    <w:basedOn w:val="Style7Char"/>
    <w:link w:val="Style13"/>
    <w:rsid w:val="00F816A6"/>
    <w:rPr>
      <w:sz w:val="24"/>
      <w:szCs w:val="24"/>
      <w:lang w:val="id-ID"/>
    </w:rPr>
  </w:style>
  <w:style w:type="character" w:styleId="Heading4Char" w:customStyle="1">
    <w:name w:val="Heading 4 Char"/>
    <w:basedOn w:val="DefaultParagraphFont"/>
    <w:link w:val="Heading4"/>
    <w:uiPriority w:val="9"/>
    <w:semiHidden w:val="1"/>
    <w:rsid w:val="00FD76E2"/>
    <w:rPr>
      <w:rFonts w:asciiTheme="majorHAnsi" w:cstheme="majorBidi" w:eastAsiaTheme="majorEastAsia" w:hAnsiTheme="majorHAnsi"/>
      <w:b w:val="1"/>
      <w:bCs w:val="1"/>
      <w:i w:val="1"/>
      <w:iCs w:val="1"/>
      <w:color w:val="4f81bd" w:themeColor="accent1"/>
      <w:sz w:val="24"/>
      <w:szCs w:val="24"/>
    </w:rPr>
  </w:style>
  <w:style w:type="paragraph" w:styleId="Caption">
    <w:name w:val="caption"/>
    <w:basedOn w:val="Normal"/>
    <w:next w:val="Normal"/>
    <w:uiPriority w:val="35"/>
    <w:unhideWhenUsed w:val="1"/>
    <w:qFormat w:val="1"/>
    <w:rsid w:val="008431ED"/>
    <w:pPr>
      <w:spacing w:after="200"/>
    </w:pPr>
    <w:rPr>
      <w:b w:val="1"/>
      <w:bCs w:val="1"/>
      <w:color w:val="4f81bd" w:themeColor="accent1"/>
      <w:sz w:val="18"/>
      <w:szCs w:val="18"/>
    </w:rPr>
  </w:style>
  <w:style w:type="character" w:styleId="ListParagraphChar" w:customStyle="1">
    <w:name w:val="List Paragraph Char"/>
    <w:basedOn w:val="DefaultParagraphFont"/>
    <w:link w:val="ListParagraph"/>
    <w:uiPriority w:val="34"/>
    <w:rsid w:val="00744CC3"/>
    <w:rPr>
      <w:sz w:val="24"/>
      <w:szCs w:val="24"/>
    </w:rPr>
  </w:style>
  <w:style w:type="table" w:styleId="LightShading">
    <w:name w:val="Light Shading"/>
    <w:basedOn w:val="TableNormal"/>
    <w:uiPriority w:val="60"/>
    <w:rsid w:val="00744CC3"/>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character" w:styleId="Heading2Char" w:customStyle="1">
    <w:name w:val="Heading 2 Char"/>
    <w:basedOn w:val="DefaultParagraphFont"/>
    <w:link w:val="Heading2"/>
    <w:uiPriority w:val="9"/>
    <w:semiHidden w:val="1"/>
    <w:rsid w:val="00405CB2"/>
    <w:rPr>
      <w:rFonts w:asciiTheme="majorHAnsi" w:cstheme="majorBidi" w:eastAsiaTheme="majorEastAsia" w:hAnsiTheme="majorHAnsi"/>
      <w:b w:val="1"/>
      <w:bCs w:val="1"/>
      <w:color w:val="4f81bd" w:themeColor="accent1"/>
      <w:sz w:val="26"/>
      <w:szCs w:val="26"/>
    </w:rPr>
  </w:style>
  <w:style w:type="character" w:styleId="Heading5Char" w:customStyle="1">
    <w:name w:val="Heading 5 Char"/>
    <w:basedOn w:val="DefaultParagraphFont"/>
    <w:link w:val="Heading5"/>
    <w:uiPriority w:val="9"/>
    <w:semiHidden w:val="1"/>
    <w:rsid w:val="00C23DD5"/>
    <w:rPr>
      <w:rFonts w:asciiTheme="majorHAnsi" w:cstheme="majorBidi" w:eastAsiaTheme="majorEastAsia" w:hAnsiTheme="majorHAnsi"/>
      <w:color w:val="365f91" w:themeColor="accent1" w:themeShade="0000BF"/>
      <w:sz w:val="22"/>
      <w:szCs w:val="22"/>
    </w:rPr>
  </w:style>
  <w:style w:type="character" w:styleId="Heading6Char" w:customStyle="1">
    <w:name w:val="Heading 6 Char"/>
    <w:basedOn w:val="DefaultParagraphFont"/>
    <w:link w:val="Heading6"/>
    <w:uiPriority w:val="9"/>
    <w:semiHidden w:val="1"/>
    <w:rsid w:val="00C23DD5"/>
    <w:rPr>
      <w:rFonts w:asciiTheme="majorHAnsi" w:cstheme="majorBidi" w:eastAsiaTheme="majorEastAsia" w:hAnsiTheme="majorHAnsi"/>
      <w:color w:val="243f60" w:themeColor="accent1" w:themeShade="00007F"/>
      <w:sz w:val="22"/>
      <w:szCs w:val="22"/>
    </w:rPr>
  </w:style>
  <w:style w:type="character" w:styleId="Heading7Char" w:customStyle="1">
    <w:name w:val="Heading 7 Char"/>
    <w:basedOn w:val="DefaultParagraphFont"/>
    <w:link w:val="Heading7"/>
    <w:uiPriority w:val="9"/>
    <w:semiHidden w:val="1"/>
    <w:rsid w:val="00C23DD5"/>
    <w:rPr>
      <w:rFonts w:asciiTheme="majorHAnsi" w:cstheme="majorBidi" w:eastAsiaTheme="majorEastAsia" w:hAnsiTheme="majorHAnsi"/>
      <w:i w:val="1"/>
      <w:iCs w:val="1"/>
      <w:color w:val="243f60" w:themeColor="accent1" w:themeShade="00007F"/>
      <w:sz w:val="22"/>
      <w:szCs w:val="22"/>
    </w:rPr>
  </w:style>
  <w:style w:type="character" w:styleId="Heading8Char" w:customStyle="1">
    <w:name w:val="Heading 8 Char"/>
    <w:basedOn w:val="DefaultParagraphFont"/>
    <w:link w:val="Heading8"/>
    <w:uiPriority w:val="9"/>
    <w:semiHidden w:val="1"/>
    <w:rsid w:val="00C23DD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23DD5"/>
    <w:rPr>
      <w:rFonts w:asciiTheme="majorHAnsi" w:cstheme="majorBidi" w:eastAsiaTheme="majorEastAsia" w:hAnsiTheme="majorHAnsi"/>
      <w:i w:val="1"/>
      <w:iCs w:val="1"/>
      <w:color w:val="272727" w:themeColor="text1" w:themeTint="0000D8"/>
      <w:sz w:val="21"/>
      <w:szCs w:val="21"/>
    </w:rPr>
  </w:style>
  <w:style w:type="paragraph" w:styleId="Default" w:customStyle="1">
    <w:name w:val="Default"/>
    <w:rsid w:val="00F06AAF"/>
    <w:pPr>
      <w:autoSpaceDE w:val="0"/>
      <w:autoSpaceDN w:val="0"/>
      <w:adjustRightInd w:val="0"/>
    </w:pPr>
    <w:rPr>
      <w:color w:val="000000"/>
      <w:sz w:val="24"/>
      <w:szCs w:val="24"/>
      <w:lang w:val="id-ID"/>
    </w:rPr>
  </w:style>
  <w:style w:type="character" w:styleId="PlaceholderText">
    <w:name w:val="Placeholder Text"/>
    <w:basedOn w:val="DefaultParagraphFont"/>
    <w:uiPriority w:val="99"/>
    <w:semiHidden w:val="1"/>
    <w:rsid w:val="0061604D"/>
    <w:rPr>
      <w:color w:val="808080"/>
    </w:rPr>
  </w:style>
  <w:style w:type="character" w:styleId="UnresolvedMention">
    <w:name w:val="Unresolved Mention"/>
    <w:basedOn w:val="DefaultParagraphFont"/>
    <w:uiPriority w:val="99"/>
    <w:semiHidden w:val="1"/>
    <w:unhideWhenUsed w:val="1"/>
    <w:rsid w:val="00C530C9"/>
    <w:rPr>
      <w:color w:val="605e5c"/>
      <w:shd w:color="auto" w:fill="e1dfdd" w:val="clear"/>
    </w:rPr>
  </w:style>
  <w:style w:type="paragraph" w:styleId="References" w:customStyle="1">
    <w:name w:val="References"/>
    <w:basedOn w:val="Normal"/>
    <w:rsid w:val="006B5B4D"/>
    <w:pPr>
      <w:numPr>
        <w:numId w:val="19"/>
      </w:numPr>
      <w:suppressAutoHyphens w:val="1"/>
      <w:autoSpaceDE w:val="0"/>
      <w:autoSpaceDN w:val="0"/>
      <w:spacing w:line="1" w:lineRule="atLeast"/>
      <w:ind w:left="-1" w:leftChars="-1" w:hanging="1" w:hangingChars="1"/>
      <w:jc w:val="both"/>
      <w:textDirection w:val="btLr"/>
      <w:textAlignment w:val="top"/>
      <w:outlineLvl w:val="0"/>
    </w:pPr>
    <w:rPr>
      <w:position w:val="-1"/>
      <w:sz w:val="16"/>
      <w:szCs w:val="16"/>
      <w:lang w:eastAsia="ja-JP"/>
    </w:rPr>
  </w:style>
  <w:style w:type="paragraph" w:styleId="IEEEParagraph" w:customStyle="1">
    <w:name w:val="IEEE Paragraph"/>
    <w:basedOn w:val="Normal"/>
    <w:link w:val="IEEEParagraphChar"/>
    <w:rsid w:val="009B043F"/>
    <w:pPr>
      <w:adjustRightInd w:val="0"/>
      <w:snapToGrid w:val="0"/>
      <w:ind w:firstLine="216"/>
      <w:jc w:val="both"/>
    </w:pPr>
    <w:rPr>
      <w:rFonts w:eastAsia="SimSun"/>
      <w:sz w:val="20"/>
      <w:lang w:eastAsia="zh-CN" w:val="en-AU"/>
    </w:rPr>
  </w:style>
  <w:style w:type="character" w:styleId="IEEEParagraphChar" w:customStyle="1">
    <w:name w:val="IEEE Paragraph Char"/>
    <w:link w:val="IEEEParagraph"/>
    <w:rsid w:val="009B043F"/>
    <w:rPr>
      <w:rFonts w:eastAsia="SimSun"/>
      <w:szCs w:val="24"/>
      <w:lang w:eastAsia="zh-CN" w:val="en-AU"/>
    </w:rPr>
  </w:style>
  <w:style w:type="paragraph" w:styleId="paragrafnew" w:customStyle="1">
    <w:name w:val="paragraf new"/>
    <w:basedOn w:val="NoSpacing"/>
    <w:link w:val="paragrafnewChar"/>
    <w:qFormat w:val="1"/>
    <w:rsid w:val="009B043F"/>
    <w:pPr>
      <w:spacing w:after="100" w:afterAutospacing="1" w:before="100" w:beforeAutospacing="1" w:line="360" w:lineRule="auto"/>
      <w:ind w:firstLine="567"/>
      <w:jc w:val="both"/>
    </w:pPr>
  </w:style>
  <w:style w:type="character" w:styleId="paragrafnewChar" w:customStyle="1">
    <w:name w:val="paragraf new Char"/>
    <w:basedOn w:val="DefaultParagraphFont"/>
    <w:link w:val="paragrafnew"/>
    <w:rsid w:val="009B043F"/>
    <w:rPr>
      <w:sz w:val="24"/>
      <w:szCs w:val="24"/>
    </w:rPr>
  </w:style>
  <w:style w:type="paragraph" w:styleId="NoSpacing">
    <w:name w:val="No Spacing"/>
    <w:uiPriority w:val="1"/>
    <w:qFormat w:val="1"/>
    <w:rsid w:val="009B043F"/>
    <w:rPr>
      <w:sz w:val="24"/>
      <w:szCs w:val="24"/>
    </w:rPr>
  </w:style>
  <w:style w:type="paragraph" w:styleId="Penulis" w:customStyle="1">
    <w:name w:val="Penulis"/>
    <w:next w:val="Normal"/>
    <w:qFormat w:val="1"/>
    <w:rsid w:val="005E215D"/>
    <w:pPr>
      <w:spacing w:after="160" w:line="259" w:lineRule="auto"/>
      <w:ind w:firstLine="720"/>
      <w:jc w:val="center"/>
    </w:pPr>
    <w:rPr>
      <w:rFonts w:eastAsia="Calibri"/>
      <w:iCs w:val="1"/>
      <w:sz w:val="22"/>
      <w:szCs w:val="22"/>
    </w:rPr>
  </w:style>
  <w:style w:type="paragraph" w:styleId="HTMLPreformatted">
    <w:name w:val="HTML Preformatted"/>
    <w:basedOn w:val="Normal"/>
    <w:link w:val="HTMLPreformattedChar"/>
    <w:rsid w:val="005E21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before="120" w:line="259" w:lineRule="auto"/>
    </w:pPr>
    <w:rPr>
      <w:rFonts w:ascii="Courier New" w:hAnsi="Courier New"/>
      <w:sz w:val="20"/>
      <w:szCs w:val="20"/>
    </w:rPr>
  </w:style>
  <w:style w:type="character" w:styleId="HTMLPreformattedChar" w:customStyle="1">
    <w:name w:val="HTML Preformatted Char"/>
    <w:basedOn w:val="DefaultParagraphFont"/>
    <w:link w:val="HTMLPreformatted"/>
    <w:rsid w:val="005E215D"/>
    <w:rPr>
      <w:rFonts w:ascii="Courier New" w:hAnsi="Courier New"/>
    </w:rPr>
  </w:style>
  <w:style w:type="paragraph" w:styleId="IsiArtikel" w:customStyle="1">
    <w:name w:val="Isi Artikel"/>
    <w:basedOn w:val="ListParagraph"/>
    <w:link w:val="IsiArtikelChar"/>
    <w:qFormat w:val="1"/>
    <w:rsid w:val="005E215D"/>
    <w:pPr>
      <w:spacing w:after="160" w:before="120" w:line="259" w:lineRule="auto"/>
      <w:ind w:left="0" w:firstLine="720"/>
      <w:jc w:val="both"/>
    </w:pPr>
    <w:rPr>
      <w:rFonts w:ascii="Century Schoolbook" w:eastAsia="Calibri" w:hAnsi="Century Schoolbook"/>
      <w:sz w:val="22"/>
      <w:szCs w:val="22"/>
    </w:rPr>
  </w:style>
  <w:style w:type="character" w:styleId="IsiArtikelChar" w:customStyle="1">
    <w:name w:val="Isi Artikel Char"/>
    <w:basedOn w:val="DefaultParagraphFont"/>
    <w:link w:val="IsiArtikel"/>
    <w:rsid w:val="005E215D"/>
    <w:rPr>
      <w:rFonts w:ascii="Century Schoolbook" w:eastAsia="Calibri" w:hAnsi="Century Schoolbook"/>
      <w:sz w:val="22"/>
      <w:szCs w:val="22"/>
    </w:rPr>
  </w:style>
  <w:style w:type="character" w:styleId="Emphasis">
    <w:name w:val="Emphasis"/>
    <w:uiPriority w:val="20"/>
    <w:qFormat w:val="1"/>
    <w:rsid w:val="00AA6A03"/>
    <w:rPr>
      <w:i w:val="1"/>
      <w:iCs w:val="1"/>
    </w:rPr>
  </w:style>
  <w:style w:type="character" w:styleId="Strong">
    <w:name w:val="Strong"/>
    <w:qFormat w:val="1"/>
    <w:rsid w:val="00AA6A03"/>
    <w:rPr>
      <w:rFonts w:cs="Times New Roman"/>
      <w:b w:val="1"/>
      <w:bCs w:val="1"/>
    </w:rPr>
  </w:style>
  <w:style w:type="paragraph" w:styleId="references0" w:customStyle="1">
    <w:name w:val="references"/>
    <w:rsid w:val="00AA6A03"/>
    <w:pPr>
      <w:numPr>
        <w:numId w:val="30"/>
      </w:numPr>
      <w:spacing w:after="40" w:before="120" w:line="180" w:lineRule="exact"/>
      <w:jc w:val="both"/>
    </w:pPr>
    <w:rPr>
      <w:rFonts w:eastAsia="SimSun"/>
      <w:sz w:val="16"/>
    </w:rPr>
  </w:style>
  <w:style w:type="character" w:styleId="apple-style-span" w:customStyle="1">
    <w:name w:val="apple-style-span"/>
    <w:rsid w:val="00AA6A03"/>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144.0" w:type="dxa"/>
        <w:left w:w="115.0" w:type="dxa"/>
        <w:bottom w:w="144.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rPr>
      <w:color w:val="000000"/>
    </w:rPr>
    <w:tblPr>
      <w:tblStyleRowBandSize w:val="1"/>
      <w:tblStyleColBandSize w:val="1"/>
      <w:tblCellMar>
        <w:top w:w="144.0" w:type="dxa"/>
        <w:left w:w="115.0" w:type="dxa"/>
        <w:bottom w:w="144.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xxx@kampus.ac.id" TargetMode="External"/><Relationship Id="rId15" Type="http://schemas.openxmlformats.org/officeDocument/2006/relationships/footer" Target="footer2.xml"/><Relationship Id="rId14" Type="http://schemas.openxmlformats.org/officeDocument/2006/relationships/footer" Target="footer3.xml"/><Relationship Id="rId16"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enturySchoolbook-regular.ttf"/><Relationship Id="rId2" Type="http://schemas.openxmlformats.org/officeDocument/2006/relationships/font" Target="fonts/CenturySchoolbook-bold.ttf"/><Relationship Id="rId3" Type="http://schemas.openxmlformats.org/officeDocument/2006/relationships/font" Target="fonts/CenturySchoolbook-italic.ttf"/><Relationship Id="rId4" Type="http://schemas.openxmlformats.org/officeDocument/2006/relationships/font" Target="fonts/CenturySchoolbook-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H2i/aodAL4BCfvG4/cwDtPDXog==">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2022-08-03T03:01:00Z</dcterms:created>
  <dc:creator>murie dwiyaniti</dc:creator>
</cp:coreProperties>
</file>