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73B98" w14:textId="77777777" w:rsidR="00F30817" w:rsidRPr="00F30817" w:rsidRDefault="00F30817">
      <w:pPr>
        <w:pStyle w:val="TTPTitle"/>
        <w:rPr>
          <w:sz w:val="28"/>
          <w:szCs w:val="28"/>
        </w:rPr>
      </w:pPr>
      <w:r>
        <w:rPr>
          <w:sz w:val="28"/>
          <w:szCs w:val="28"/>
        </w:rPr>
        <w:t>GestPLC: Real-Time Hand Gesture Recognition for PLC Control using MediaPipe and Modbus TCP for Industry 4.0 Applications</w:t>
      </w:r>
    </w:p>
    <w:p w14:paraId="4A65FFCC" w14:textId="77777777" w:rsidR="00F30817" w:rsidRPr="00F30817" w:rsidRDefault="00F30817">
      <w:pPr>
        <w:pStyle w:val="TTPAuthors"/>
      </w:pPr>
      <w:r>
        <w:t>Rofiq Cahyo Prayogo</w:t>
      </w:r>
      <w:r>
        <w:rPr>
          <w:vertAlign w:val="superscript"/>
        </w:rPr>
        <w:t>1</w:t>
      </w:r>
      <w:r>
        <w:rPr>
          <w:vertAlign w:val="superscript"/>
        </w:rPr>
        <w:t>,</w:t>
      </w:r>
      <w:r>
        <w:rPr>
          <w:vertAlign w:val="superscript"/>
        </w:rPr>
        <w:t>a</w:t>
      </w:r>
      <w:r>
        <w:t xml:space="preserve">, </w:t>
      </w:r>
      <w:r>
        <w:t>Ahmad Ridlo Hanifudin Tahier</w:t>
      </w:r>
      <w:r>
        <w:rPr>
          <w:vertAlign w:val="superscript"/>
        </w:rPr>
        <w:t>1</w:t>
      </w:r>
      <w:r>
        <w:rPr>
          <w:vertAlign w:val="superscript"/>
        </w:rPr>
        <w:t>,</w:t>
      </w:r>
      <w:r>
        <w:rPr>
          <w:vertAlign w:val="superscript"/>
        </w:rPr>
        <w:t>b</w:t>
      </w:r>
      <w:r>
        <w:t xml:space="preserve">, </w:t>
      </w:r>
      <w:r>
        <w:t>Munadi</w:t>
      </w:r>
      <w:r>
        <w:rPr>
          <w:vertAlign w:val="superscript"/>
        </w:rPr>
        <w:t>2</w:t>
      </w:r>
      <w:r>
        <w:rPr>
          <w:vertAlign w:val="superscript"/>
        </w:rPr>
        <w:t>,</w:t>
      </w:r>
      <w:r>
        <w:rPr>
          <w:vertAlign w:val="superscript"/>
        </w:rPr>
        <w:t>c</w:t>
      </w:r>
    </w:p>
    <w:p w14:paraId="46131D2F" w14:textId="77777777" w:rsidR="00F30817" w:rsidRPr="00F30817" w:rsidRDefault="00F30817">
      <w:pPr>
        <w:pStyle w:val="TTPAddress"/>
      </w:pPr>
      <w:r>
        <w:rPr>
          <w:vertAlign w:val="superscript"/>
        </w:rPr>
        <w:t>1</w:t>
      </w:r>
      <w:r>
        <w:rPr>
          <w:vertAlign w:val="superscript"/>
        </w:rPr>
        <w:t>Automation Engineering, Diponegoro University, Semarang, Indonesia</w:t>
      </w:r>
    </w:p>
    <w:p w14:paraId="66537960" w14:textId="77777777" w:rsidR="00F30817" w:rsidRPr="00F30817" w:rsidRDefault="00F30817">
      <w:pPr>
        <w:pStyle w:val="TTPAddress"/>
      </w:pPr>
      <w:r>
        <w:rPr>
          <w:vertAlign w:val="superscript"/>
        </w:rPr>
        <w:t>2</w:t>
      </w:r>
      <w:r>
        <w:rPr>
          <w:vertAlign w:val="superscript"/>
        </w:rPr>
        <w:t>Mechanical Engineering, Diponegoro University, Semarang, Indonesia</w:t>
      </w:r>
    </w:p>
    <w:p w14:paraId="2B6447E5" w14:textId="77777777" w:rsidR="00F30817" w:rsidRPr="00F30817" w:rsidRDefault="00F30817">
      <w:pPr>
        <w:pStyle w:val="TTPAddress"/>
      </w:pPr>
    </w:p>
    <w:p w14:paraId="4126E4DF" w14:textId="77777777" w:rsidR="00F30817" w:rsidRDefault="00F30817" w:rsidP="00632857">
      <w:pPr>
        <w:pStyle w:val="TTPAddress"/>
      </w:pPr>
      <w:r>
        <w:rPr>
          <w:vertAlign w:val="superscript"/>
        </w:rPr>
        <w:t>a rofiqotomasi@lecturer.undip.ac.id, b ridlohanifudin@lecturer.undip.ac.id, c munadi@lecturer.undip.ac.id (corresponding author)</w:t>
      </w:r>
    </w:p>
    <w:p w14:paraId="0C272032" w14:textId="77777777" w:rsidR="0061035A" w:rsidRDefault="0061035A" w:rsidP="0061035A">
      <w:pPr>
        <w:pStyle w:val="TTPSectionHeading"/>
        <w:spacing w:after="0"/>
        <w:rPr>
          <w:rStyle w:val="tlid-translation"/>
          <w:b w:val="0"/>
          <w:lang w:val="id-ID"/>
        </w:rPr>
      </w:pPr>
      <w:r>
        <w:rPr>
          <w:rStyle w:val="tlid-translation"/>
        </w:rPr>
        <w:t>Abstrak</w:t>
      </w:r>
      <w:r>
        <w:rPr>
          <w:rStyle w:val="tlid-translation"/>
        </w:rPr>
        <w:t xml:space="preserve">. </w:t>
      </w:r>
      <w:r>
        <w:rPr>
          <w:rStyle w:val="tlid-translation"/>
          <w:b w:val="0"/>
          <w:i/>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14:paraId="540AE831" w14:textId="77777777" w:rsidR="0061035A" w:rsidRPr="0061035A" w:rsidRDefault="0061035A" w:rsidP="0061035A">
      <w:pPr>
        <w:pStyle w:val="TTPSectionHeading"/>
        <w:spacing w:before="0"/>
        <w:rPr>
          <w:b w:val="0"/>
          <w:lang w:val="id-ID"/>
        </w:rPr>
      </w:pPr>
    </w:p>
    <w:p w14:paraId="417A8B53" w14:textId="77777777" w:rsidR="0061035A" w:rsidRDefault="0061035A" w:rsidP="0061035A">
      <w:pPr>
        <w:pStyle w:val="TTPAbstract"/>
      </w:pPr>
      <w:r>
        <w:rPr>
          <w:b/>
          <w:bCs/>
        </w:rPr>
        <w:t>Abstract.</w:t>
      </w:r>
      <w:r w:rsidRPr="00F30817">
        <w:t xml:space="preserve"> </w:t>
      </w:r>
      <w:r>
        <w:t>English abstract is not provided in the source JSON. Replace this placeholder with the final English abstract.</w:t>
      </w:r>
    </w:p>
    <w:p w14:paraId="153FBBBB" w14:textId="77777777" w:rsidR="0061035A" w:rsidRPr="0061035A" w:rsidRDefault="0061035A" w:rsidP="0061035A">
      <w:pPr>
        <w:pStyle w:val="TTPKeywords"/>
        <w:spacing w:before="0"/>
        <w:rPr>
          <w:rFonts w:ascii="Times New Roman" w:hAnsi="Times New Roman" w:cs="Times New Roman"/>
          <w:b/>
          <w:bCs/>
          <w:lang w:val="id-ID"/>
        </w:rPr>
      </w:pPr>
    </w:p>
    <w:p w14:paraId="4911C0D6" w14:textId="77777777" w:rsidR="00F30817" w:rsidRPr="0061035A" w:rsidRDefault="00F30817">
      <w:pPr>
        <w:pStyle w:val="TTPKeywords"/>
        <w:rPr>
          <w:rFonts w:ascii="Times New Roman" w:hAnsi="Times New Roman" w:cs="Times New Roman"/>
          <w:b/>
          <w:bCs/>
          <w:i/>
          <w:iCs/>
        </w:rPr>
      </w:pPr>
      <w:r>
        <w:rPr>
          <w:rFonts w:ascii="Times New Roman" w:hAnsi="Times New Roman" w:cs="Times New Roman"/>
          <w:b/>
          <w:bCs/>
        </w:rPr>
        <w:t>Keywords:</w:t>
      </w:r>
      <w:r>
        <w:rPr>
          <w:rFonts w:ascii="Times New Roman" w:hAnsi="Times New Roman" w:cs="Times New Roman"/>
        </w:rPr>
        <w:t xml:space="preserve"> </w:t>
      </w:r>
      <w:r>
        <w:rPr>
          <w:rFonts w:ascii="Times New Roman" w:hAnsi="Times New Roman" w:cs="Times New Roman"/>
        </w:rPr>
        <w:t>Hand Gesture Recognition; PLC Control; MediaPipe; Modbus TCP; Industry 4.0; Threading</w:t>
      </w:r>
    </w:p>
    <w:p>
      <w:pPr>
        <w:pStyle w:val="TTPSectionHeading"/>
      </w:pPr>
      <w:r>
        <w:t>Pendahuluan</w:t>
      </w:r>
    </w:p>
    <w:p>
      <w:pPr>
        <w:pStyle w:val="TTPParagraph1st"/>
      </w:pPr>
      <w: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TTPParagraphothers"/>
      </w:pPr>
      <w:r>
        <w:rPr>
          <w:b/>
          <w:bCs/>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TTPParagraphothers"/>
      </w:pPr>
      <w:r>
        <w:rPr>
          <w:b/>
          <w:bCs/>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TTPParagraphothers"/>
      </w:pPr>
      <w:r>
        <w:rPr>
          <w:b/>
          <w:bCs/>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TTPParagraphothers"/>
      </w:pPr>
      <w:r>
        <w:rPr>
          <w:b/>
          <w:bCs/>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TTPSectionHeading"/>
      </w:pPr>
      <w:r>
        <w:t>Tinjauan Pustaka</w:t>
      </w:r>
    </w:p>
    <w:p>
      <w:pPr>
        <w:pStyle w:val="TTPParagraph1st"/>
      </w:pPr>
      <w:r>
        <w:rPr>
          <w:b/>
          <w:bCs/>
        </w:rPr>
        <w:t>Metode Pengenalan Gestur Tangan.</w:t>
      </w:r>
      <w:r>
        <w:t xml:space="preserve"> </w:t>
      </w:r>
      <w: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60" w:after="60"/>
        <w:jc w:val="center"/>
      </w:pPr>
      <w:r>
        <w:rPr>
          <w:rFonts w:ascii="Times New Roman" w:hAnsi="Times New Roman" w:eastAsia="Times New Roman" w:cs="Times New Roman"/>
          <w:i/>
          <w:sz w:val="20"/>
        </w:rPr>
        <w:t>[Figure content is not provided in the source JSON.]</w:t>
      </w:r>
    </w:p>
    <w:p>
      <w:pPr>
        <w:spacing w:before="60" w:after="120"/>
        <w:jc w:val="center"/>
      </w:pPr>
      <w:r>
        <w:rPr>
          <w:rFonts w:ascii="Times New Roman" w:hAnsi="Times New Roman" w:eastAsia="Times New Roman" w:cs="Times New Roman"/>
          <w:b w:val="0"/>
          <w:i w:val="0"/>
          <w:sz w:val="20"/>
        </w:rPr>
        <w:t>Fig. 1. Timeline Evolusi Teknologi Pengenalan Gestur Tangan</w:t>
      </w:r>
    </w:p>
    <w:p>
      <w:pPr>
        <w:pStyle w:val="TTPParagraphothers"/>
      </w:pPr>
      <w:r>
        <w:rPr>
          <w:b/>
          <w:bCs/>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w:rPr>
                <w:rFonts w:ascii="Cambria Math" w:hAnsi="Cambria Math" w:eastAsia="Cambria Math" w:cs="Cambria Math"/>
                <w:sz w:val="24"/>
                <w:szCs w:val="24"/>
              </w:rPr>
              <m:t>P</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sSub>
          <m:e>
            <m:r>
              <w:rPr>
                <w:rFonts w:ascii="Cambria Math" w:hAnsi="Cambria Math" w:eastAsia="Cambria Math" w:cs="Cambria Math"/>
                <w:sz w:val="24"/>
                <w:szCs w:val="24"/>
              </w:rPr>
              <m:t>x</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sSub>
          <m:e>
            <m:r>
              <w:rPr>
                <w:rFonts w:ascii="Cambria Math" w:hAnsi="Cambria Math" w:eastAsia="Cambria Math" w:cs="Cambria Math"/>
                <w:sz w:val="24"/>
                <w:szCs w:val="24"/>
              </w:rPr>
              <m:t>y</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sSub>
          <m:e>
            <m:r>
              <w:rPr>
                <w:rFonts w:ascii="Cambria Math" w:hAnsi="Cambria Math" w:eastAsia="Cambria Math" w:cs="Cambria Math"/>
                <w:sz w:val="24"/>
                <w:szCs w:val="24"/>
              </w:rPr>
              <m:t>z</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oMath>
      <w:r>
        <w:rPr>
          <w:b/>
          <w:bCs/>
        </w:rPr>
        <w:t xml:space="preserve"> diumpankan ke mesin aturan geometris yang berjalan di bawah satu milidetik tanpa data pelatihan. Perubahan set gestur hanya memerlukan penyesuaian threshold sudut.</w:t>
      </w:r>
    </w:p>
    <w:p>
      <w:pPr>
        <w:pStyle w:val="TTPParagraph1st"/>
      </w:pPr>
      <w:r>
        <w:rPr>
          <w:b/>
          <w:bCs/>
        </w:rPr>
        <w:t>Protokol Komunikasi PLC dan Modbus TCP.</w:t>
      </w:r>
      <w:r>
        <w:t xml:space="preserve"> </w:t>
      </w:r>
      <w: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TTPParagraph1st"/>
      </w:pPr>
      <w:r>
        <w:rPr>
          <w:b/>
          <w:bCs/>
        </w:rPr>
        <w:t>Antarmuka Manusia-Mesin Tanpa Sentuhan.</w:t>
      </w:r>
      <w:r>
        <w:t xml:space="preserve"> </w:t>
      </w:r>
      <w: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TTPSectionHeading"/>
      </w:pPr>
      <w:r>
        <w:t>METODOLOGI</w:t>
      </w:r>
    </w:p>
    <w:p>
      <w:pPr>
        <w:pStyle w:val="TTPParagraph1st"/>
      </w:pPr>
      <w:r>
        <w:rPr>
          <w:b/>
          <w:bCs/>
        </w:rPr>
        <w:t>Arsitektur Tiga Thread.</w:t>
      </w:r>
      <w:r>
        <w:t xml:space="preserve"> </w:t>
      </w:r>
      <w: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60" w:after="60"/>
        <w:jc w:val="center"/>
      </w:pPr>
      <w:r>
        <w:rPr>
          <w:rFonts w:ascii="Times New Roman" w:hAnsi="Times New Roman" w:eastAsia="Times New Roman" w:cs="Times New Roman"/>
          <w:i/>
          <w:sz w:val="20"/>
        </w:rPr>
        <w:t>[Figure content is not provided in the source JSON.]</w:t>
      </w:r>
    </w:p>
    <w:p>
      <w:pPr>
        <w:spacing w:before="60" w:after="120"/>
        <w:jc w:val="center"/>
      </w:pPr>
      <w:r>
        <w:rPr>
          <w:rFonts w:ascii="Times New Roman" w:hAnsi="Times New Roman" w:eastAsia="Times New Roman" w:cs="Times New Roman"/>
          <w:b w:val="0"/>
          <w:i w:val="0"/>
          <w:sz w:val="20"/>
        </w:rPr>
        <w:t>Fig. 2. Arsitektur Sistem GestPLC</w:t>
      </w:r>
    </w:p>
    <w:p>
      <w:pPr>
        <w:pStyle w:val="TTPParagraphothers"/>
      </w:pPr>
      <w:r>
        <w:rPr>
          <w:b/>
          <w:bCs/>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TTPEquation"/>
        <w:tabs>
          <w:tab w:pos="9000" w:val="right"/>
        </w:tabs>
        <w:spacing w:after="60" w:before="60"/>
        <w:jc w:val="left"/>
        <w:rPr>
          <w:lang w:val="en-US"/>
        </w:rPr>
      </w:pP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total</m:t>
            </m:r>
          </m:sub>
        </m:sSub>
        <m:r>
          <w:rPr>
            <w:rFonts w:ascii="Cambria Math" w:hAnsi="Cambria Math" w:eastAsia="Cambria Math" w:cs="Cambria Math"/>
            <w:sz w:val="24"/>
            <w:szCs w:val="24"/>
          </w:rPr>
          <m:t>≈max(</m:t>
        </m:r>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cap</m:t>
            </m:r>
          </m:sub>
        </m:sSub>
        <m:r>
          <w:rPr>
            <w:rFonts w:ascii="Cambria Math" w:hAnsi="Cambria Math" w:eastAsia="Cambria Math" w:cs="Cambria Math"/>
            <w:sz w:val="24"/>
            <w:szCs w:val="24"/>
          </w:rPr>
          <m:t>,</m:t>
        </m:r>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inf</m:t>
            </m:r>
          </m:sub>
        </m:sSub>
        <m:r>
          <w:rPr>
            <w:rFonts w:ascii="Cambria Math" w:hAnsi="Cambria Math" w:eastAsia="Cambria Math" w:cs="Cambria Math"/>
            <w:sz w:val="24"/>
            <w:szCs w:val="24"/>
          </w:rPr>
          <m:t>,</m:t>
        </m:r>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modbus</m:t>
            </m:r>
          </m:sub>
        </m:sSub>
        <m:r>
          <w:rPr>
            <w:rFonts w:ascii="Cambria Math" w:hAnsi="Cambria Math" w:eastAsia="Cambria Math" w:cs="Cambria Math"/>
            <w:sz w:val="24"/>
            <w:szCs w:val="24"/>
          </w:rPr>
          <m:t>)+</m:t>
        </m:r>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queue</m:t>
            </m:r>
          </m:sub>
        </m:sSub>
      </m:oMath>
      <w:r>
        <w:rPr>
          <w:lang w:val="en-US"/>
        </w:rPr>
        <w:t xml:space="preserve"> </w:t>
      </w:r>
      <w:r>
        <w:tab/>
      </w:r>
      <w:r>
        <w:rPr>
          <w:lang w:val="en-US"/>
        </w:rPr>
        <w:t>(1)</w:t>
      </w:r>
    </w:p>
    <w:p>
      <w:pPr>
        <w:pStyle w:val="TTPParagraphothers"/>
      </w:pPr>
      <w:r>
        <w:rPr>
          <w:b/>
          <w:bCs/>
        </w:rPr>
        <w:t xml:space="preserve">Di sini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cap</m:t>
            </m:r>
          </m:sub>
        </m:sSub>
      </m:oMath>
      <w:r>
        <w:rPr>
          <w:b/>
          <w:bCs/>
        </w:rPr>
        <w:t xml:space="preserve"> adalah waktu penangkapan kamera,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inf</m:t>
            </m:r>
          </m:sub>
        </m:sSub>
      </m:oMath>
      <w:r>
        <w:rPr>
          <w:b/>
          <w:bCs/>
        </w:rPr>
        <w:t xml:space="preserve"> waktu inferensi MediaPipe,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modbus</m:t>
            </m:r>
          </m:sub>
        </m:sSub>
      </m:oMath>
      <w:r>
        <w:rPr>
          <w:b/>
          <w:bCs/>
        </w:rPr>
        <w:t xml:space="preserve"> satu round-trip Modbus, dan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queue</m:t>
            </m:r>
          </m:sub>
        </m:sSub>
      </m:oMath>
      <w:r>
        <w:rPr>
          <w:b/>
          <w:bCs/>
        </w:rPr>
        <w:t xml:space="preserve"> overhead antar-thread. Dalam pengukuran kami,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queue</m:t>
            </m:r>
          </m:sub>
        </m:sSub>
      </m:oMath>
      <w:r>
        <w:rPr>
          <w:b/>
          <w:bCs/>
        </w:rPr>
        <w:t xml:space="preserve"> konsisten di bawah 0,5 ms. Karena ketiga thread tumpang tindih, total delay sama dengan thread paling lambat ditambah overhead queue. Ini hanya berlaku karena backend C++ melepas GIL.</w:t>
      </w:r>
    </w:p>
    <w:p>
      <w:pPr>
        <w:pStyle w:val="TTPParagraph1st"/>
      </w:pPr>
      <w:r>
        <w:rPr>
          <w:b/>
          <w:bCs/>
        </w:rPr>
        <w:t>Konfigurasi Hardware dan Setup PC-PLC.</w:t>
      </w:r>
      <w:r>
        <w:t xml:space="preserve"> </w:t>
      </w:r>
      <w: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60" w:after="60"/>
        <w:jc w:val="center"/>
      </w:pPr>
      <w:r>
        <w:rPr>
          <w:rFonts w:ascii="Times New Roman" w:hAnsi="Times New Roman" w:eastAsia="Times New Roman" w:cs="Times New Roman"/>
          <w:i/>
          <w:sz w:val="20"/>
        </w:rPr>
        <w:t>[Figure content is not provided in the source JSON.]</w:t>
      </w:r>
    </w:p>
    <w:p>
      <w:pPr>
        <w:spacing w:before="60" w:after="120"/>
        <w:jc w:val="center"/>
      </w:pPr>
      <w:r>
        <w:rPr>
          <w:rFonts w:ascii="Times New Roman" w:hAnsi="Times New Roman" w:eastAsia="Times New Roman" w:cs="Times New Roman"/>
          <w:b w:val="0"/>
          <w:i w:val="0"/>
          <w:sz w:val="20"/>
        </w:rPr>
        <w:t>Fig. 3. Konfigurasi Jaringan PC dan PLC</w:t>
      </w:r>
    </w:p>
    <w:p>
      <w:pPr>
        <w:pStyle w:val="TTPParagraphothers"/>
      </w:pPr>
      <w:r>
        <w:rPr>
          <w:b/>
          <w:bCs/>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60" w:after="60"/>
        <w:jc w:val="center"/>
      </w:pPr>
      <w:r>
        <w:rPr>
          <w:rFonts w:ascii="Times New Roman" w:hAnsi="Times New Roman" w:eastAsia="Times New Roman" w:cs="Times New Roman"/>
          <w:i/>
          <w:sz w:val="20"/>
        </w:rPr>
        <w:t>[Figure content is not provided in the source JSON.]</w:t>
      </w:r>
    </w:p>
    <w:p>
      <w:pPr>
        <w:spacing w:before="60" w:after="120"/>
        <w:jc w:val="center"/>
      </w:pPr>
      <w:r>
        <w:rPr>
          <w:rFonts w:ascii="Times New Roman" w:hAnsi="Times New Roman" w:eastAsia="Times New Roman" w:cs="Times New Roman"/>
          <w:b w:val="0"/>
          <w:i w:val="0"/>
          <w:sz w:val="20"/>
        </w:rPr>
        <w:t>Fig. 4. Diagram Ladder Pemetaan M200-M203 ke Q0-Q3</w:t>
      </w:r>
    </w:p>
    <w:p>
      <w:pPr>
        <w:pStyle w:val="TTPParagraphothers"/>
      </w:pPr>
      <w:r>
        <w:rPr>
          <w:b/>
          <w:bCs/>
        </w:rPr>
        <w:t>Logika ladder (Gbr. 4): M200 M203 sebagai kontak normally-open menggerakkan coil output Q0 Q3.</w:t>
      </w:r>
    </w:p>
    <w:p>
      <w:pPr>
        <w:spacing w:before="60" w:after="60"/>
        <w:jc w:val="center"/>
      </w:pPr>
      <w:r>
        <w:rPr>
          <w:rFonts w:ascii="Times New Roman" w:hAnsi="Times New Roman" w:eastAsia="Times New Roman" w:cs="Times New Roman"/>
          <w:i/>
          <w:sz w:val="20"/>
        </w:rPr>
        <w:t>[Figure content is not provided in the source JSON.]</w:t>
      </w:r>
    </w:p>
    <w:p>
      <w:pPr>
        <w:spacing w:before="60" w:after="120"/>
        <w:jc w:val="center"/>
      </w:pPr>
      <w:r>
        <w:rPr>
          <w:rFonts w:ascii="Times New Roman" w:hAnsi="Times New Roman" w:eastAsia="Times New Roman" w:cs="Times New Roman"/>
          <w:b w:val="0"/>
          <w:i w:val="0"/>
          <w:sz w:val="20"/>
        </w:rPr>
        <w:t>Fig. 5. Function Block Pembacaan M200-M203</w:t>
      </w:r>
    </w:p>
    <w:p>
      <w:pPr>
        <w:pStyle w:val="TTPParagraphothers"/>
      </w:pPr>
      <w:r>
        <w:rPr>
          <w:b/>
          <w:bCs/>
        </w:rPr>
        <w:t>Function block (Gbr. 5) membaca array coil M200 M203 setiap siklus scan dan meneruskan nilainya ke output Q0 Q3. Pada scan rate default (~1 ms), perintah gestur baru ditangkap dalam satu siklus dan output fisik langsung mengikuti.</w:t>
      </w:r>
    </w:p>
    <w:p>
      <w:pPr>
        <w:pStyle w:val="TTPParagraph1st"/>
      </w:pPr>
      <w:r>
        <w:rPr>
          <w:b/>
          <w:bCs/>
        </w:rPr>
        <w:t>Pengenalan Gestur Geometris MediaPipe.</w:t>
      </w:r>
      <w:r>
        <w:t xml:space="preserve"> </w:t>
      </w:r>
      <w:r>
        <w:t>Setiap frame RGB dari OpenCV dilewatkan ke model hand-landmark MediaPipe [1], yang mengembalikan 21 titik per tangan: pergelangan tangan, sendi MCP, PIP, DIP untuk setiap jari, plus empat ujung jari.</w:t>
      </w:r>
    </w:p>
    <w:p>
      <w:pPr>
        <w:spacing w:before="60" w:after="60"/>
        <w:jc w:val="center"/>
      </w:pPr>
      <w:r>
        <w:rPr>
          <w:rFonts w:ascii="Times New Roman" w:hAnsi="Times New Roman" w:eastAsia="Times New Roman" w:cs="Times New Roman"/>
          <w:i/>
          <w:sz w:val="20"/>
        </w:rPr>
        <w:t>[Figure content is not provided in the source JSON.]</w:t>
      </w:r>
    </w:p>
    <w:p>
      <w:pPr>
        <w:spacing w:before="60" w:after="120"/>
        <w:jc w:val="center"/>
      </w:pPr>
      <w:r>
        <w:rPr>
          <w:rFonts w:ascii="Times New Roman" w:hAnsi="Times New Roman" w:eastAsia="Times New Roman" w:cs="Times New Roman"/>
          <w:b w:val="0"/>
          <w:i w:val="0"/>
          <w:sz w:val="20"/>
        </w:rPr>
        <w:t>Fig. 6. 21 Landmark Tangan MediaPipe</w:t>
      </w:r>
    </w:p>
    <w:p>
      <w:pPr>
        <w:pStyle w:val="TTPParagraphothers"/>
      </w:pPr>
      <w:r>
        <w:rPr>
          <w:b/>
          <w:bCs/>
        </w:rPr>
        <w:t>Ke-21 landmark (bernomor 0 20) ditunjukkan pada Gbr. 6. Prototipe awal memverifikasi bahwa output MediaPipe stabil dalam kisaran ~30 derajat dari sumbu kamera.</w:t>
      </w:r>
    </w:p>
    <w:p>
      <w:pPr>
        <w:spacing w:before="60" w:after="60"/>
        <w:jc w:val="center"/>
      </w:pPr>
      <w:r>
        <w:rPr>
          <w:rFonts w:ascii="Times New Roman" w:hAnsi="Times New Roman" w:eastAsia="Times New Roman" w:cs="Times New Roman"/>
          <w:i/>
          <w:sz w:val="20"/>
        </w:rPr>
        <w:t>[Figure content is not provided in the source JSON.]</w:t>
      </w:r>
    </w:p>
    <w:p>
      <w:pPr>
        <w:spacing w:before="60" w:after="120"/>
        <w:jc w:val="center"/>
      </w:pPr>
      <w:r>
        <w:rPr>
          <w:rFonts w:ascii="Times New Roman" w:hAnsi="Times New Roman" w:eastAsia="Times New Roman" w:cs="Times New Roman"/>
          <w:b w:val="0"/>
          <w:i w:val="0"/>
          <w:sz w:val="20"/>
        </w:rPr>
        <w:t>Fig. 7. Prototipe Python untuk Validasi MediaPipe</w:t>
      </w:r>
    </w:p>
    <w:p>
      <w:pPr>
        <w:pStyle w:val="TTPParagraphothers"/>
      </w:pPr>
      <w:r>
        <w:rPr>
          <w:b/>
          <w:bCs/>
        </w:rPr>
        <w:t>Jendela diagnostik PyQt5 (Gbr. 7) menampilkan landmark dan garis penghubung pada feed webcam langsung, mengonfirmasi konsistensi output MediaPipe selama kemiringan dalam ~30 derajat. Setiap landmark berupa koordinat 3-D ternormalisasi:</w:t>
      </w:r>
    </w:p>
    <w:p>
      <w:pPr>
        <w:pStyle w:val="TTPEquation"/>
        <w:tabs>
          <w:tab w:pos="9000" w:val="right"/>
        </w:tabs>
        <w:spacing w:after="60" w:before="60"/>
        <w:jc w:val="left"/>
        <w:rPr>
          <w:lang w:val="en-US"/>
        </w:rPr>
      </w:pPr>
      <m:oMath xmlns:mml="http://www.w3.org/1998/Math/MathML">
        <m:sSub>
          <m:e>
            <m:r>
              <w:rPr>
                <w:rFonts w:ascii="Cambria Math" w:hAnsi="Cambria Math" w:eastAsia="Cambria Math" w:cs="Cambria Math"/>
                <w:sz w:val="24"/>
                <w:szCs w:val="24"/>
              </w:rPr>
              <m:t>𝐩</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sSub>
          <m:e>
            <m:r>
              <w:rPr>
                <w:rFonts w:ascii="Cambria Math" w:hAnsi="Cambria Math" w:eastAsia="Cambria Math" w:cs="Cambria Math"/>
                <w:sz w:val="24"/>
                <w:szCs w:val="24"/>
              </w:rPr>
              <m:t>x</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sSub>
          <m:e>
            <m:r>
              <w:rPr>
                <w:rFonts w:ascii="Cambria Math" w:hAnsi="Cambria Math" w:eastAsia="Cambria Math" w:cs="Cambria Math"/>
                <w:sz w:val="24"/>
                <w:szCs w:val="24"/>
              </w:rPr>
              <m:t>y</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sSub>
          <m:e>
            <m:r>
              <w:rPr>
                <w:rFonts w:ascii="Cambria Math" w:hAnsi="Cambria Math" w:eastAsia="Cambria Math" w:cs="Cambria Math"/>
                <w:sz w:val="24"/>
                <w:szCs w:val="24"/>
              </w:rPr>
              <m:t>z</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r>
          <w:rPr>
            <w:rFonts w:ascii="Cambria Math" w:hAnsi="Cambria Math" w:eastAsia="Cambria Math" w:cs="Cambria Math"/>
            <w:sz w:val="24"/>
            <w:szCs w:val="24"/>
          </w:rPr>
          <m:t>i=0,1,2,…,20</m:t>
        </m:r>
      </m:oMath>
      <w:r>
        <w:rPr>
          <w:lang w:val="en-US"/>
        </w:rPr>
        <w:t xml:space="preserve"> </w:t>
      </w:r>
      <w:r>
        <w:tab/>
      </w:r>
      <w:r>
        <w:rPr>
          <w:lang w:val="en-US"/>
        </w:rPr>
        <w:t>(2)</w:t>
      </w:r>
    </w:p>
    <w:p>
      <w:pPr>
        <w:pStyle w:val="TTPParagraphothers"/>
      </w:pPr>
      <w:r>
        <w:rPr>
          <w:b/>
          <w:bCs/>
        </w:rPr>
        <w:t xml:space="preserve">Pada persamaan (2),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i</m:t>
            </m:r>
          </m:sub>
        </m:sSub>
      </m:oMath>
      <w:r>
        <w:rPr>
          <w:b/>
          <w:bCs/>
        </w:rPr>
        <w:t xml:space="preserve"> dan </w:t>
      </w:r>
      <m:oMath xmlns:mml="http://www.w3.org/1998/Math/MathML">
        <m:sSub>
          <m:e>
            <m:r>
              <w:rPr>
                <w:rFonts w:ascii="Cambria Math" w:hAnsi="Cambria Math" w:eastAsia="Cambria Math" w:cs="Cambria Math"/>
                <w:sz w:val="24"/>
                <w:szCs w:val="24"/>
              </w:rPr>
              <m:t>y</m:t>
            </m:r>
          </m:e>
          <m:sub>
            <m:r>
              <w:rPr>
                <w:rFonts w:ascii="Cambria Math" w:hAnsi="Cambria Math" w:eastAsia="Cambria Math" w:cs="Cambria Math"/>
                <w:sz w:val="24"/>
                <w:szCs w:val="24"/>
              </w:rPr>
              <m:t>i</m:t>
            </m:r>
          </m:sub>
        </m:sSub>
      </m:oMath>
      <w:r>
        <w:rPr>
          <w:b/>
          <w:bCs/>
        </w:rPr>
        <w:t xml:space="preserve"> berada dalam </w:t>
      </w:r>
      <m:oMath xmlns:mml="http://www.w3.org/1998/Math/MathML">
        <m:r>
          <w:rPr>
            <w:rFonts w:ascii="Cambria Math" w:hAnsi="Cambria Math" w:eastAsia="Cambria Math" w:cs="Cambria Math"/>
            <w:sz w:val="24"/>
            <w:szCs w:val="24"/>
          </w:rPr>
          <m:t>[0,1]</m:t>
        </m:r>
      </m:oMath>
      <w:r>
        <w:rPr>
          <w:b/>
          <w:bCs/>
        </w:rPr>
        <w:t xml:space="preserve"> relatif terhadap dimensi gambar, </w:t>
      </w:r>
      <m:oMath xmlns:mml="http://www.w3.org/1998/Math/MathML">
        <m:sSub>
          <m:e>
            <m:r>
              <w:rPr>
                <w:rFonts w:ascii="Cambria Math" w:hAnsi="Cambria Math" w:eastAsia="Cambria Math" w:cs="Cambria Math"/>
                <w:sz w:val="24"/>
                <w:szCs w:val="24"/>
              </w:rPr>
              <m:t>z</m:t>
            </m:r>
          </m:e>
          <m:sub>
            <m:r>
              <w:rPr>
                <w:rFonts w:ascii="Cambria Math" w:hAnsi="Cambria Math" w:eastAsia="Cambria Math" w:cs="Cambria Math"/>
                <w:sz w:val="24"/>
                <w:szCs w:val="24"/>
              </w:rPr>
              <m:t>i</m:t>
            </m:r>
          </m:sub>
        </m:sSub>
      </m:oMath>
      <w:r>
        <w:rPr>
          <w:b/>
          <w:bCs/>
        </w:rPr>
        <w:t xml:space="preserve"> mengkodekan kedalaman relatif terhadap pergelangan tangan. Jarak Euclidean antara dua landmark:</w:t>
      </w:r>
    </w:p>
    <w:p>
      <w:pPr>
        <w:pStyle w:val="TTPEquation"/>
        <w:tabs>
          <w:tab w:pos="9000" w:val="right"/>
        </w:tabs>
        <w:spacing w:after="60" w:before="60"/>
        <w:jc w:val="left"/>
        <w:rPr>
          <w:lang w:val="en-US"/>
        </w:rPr>
      </w:pPr>
      <m:oMath xmlns:mml="http://www.w3.org/1998/Math/MathML">
        <m:sSub>
          <m:e>
            <m:r>
              <w:rPr>
                <w:rFonts w:ascii="Cambria Math" w:hAnsi="Cambria Math" w:eastAsia="Cambria Math" w:cs="Cambria Math"/>
                <w:sz w:val="24"/>
                <w:szCs w:val="24"/>
              </w:rPr>
              <m:t>d</m:t>
            </m:r>
          </m:e>
          <m:sub>
            <m:r>
              <w:rPr>
                <w:rFonts w:ascii="Cambria Math" w:hAnsi="Cambria Math" w:eastAsia="Cambria Math" w:cs="Cambria Math"/>
                <w:sz w:val="24"/>
                <w:szCs w:val="24"/>
              </w:rPr>
              <m:t>ij</m:t>
            </m:r>
          </m:sub>
        </m:sSub>
        <m:r>
          <w:rPr>
            <w:rFonts w:ascii="Cambria Math" w:hAnsi="Cambria Math" w:eastAsia="Cambria Math" w:cs="Cambria Math"/>
            <w:sz w:val="24"/>
            <w:szCs w:val="24"/>
          </w:rPr>
          <m:t>=</m:t>
        </m:r>
        <m:rad>
          <m:radPr>
            <m:degHide m:val="on"/>
          </m:radPr>
          <m:deg/>
          <m:e>
            <m:r>
              <w:rPr>
                <w:rFonts w:ascii="Cambria Math" w:hAnsi="Cambria Math" w:eastAsia="Cambria Math" w:cs="Cambria Math"/>
                <w:sz w:val="24"/>
                <w:szCs w:val="24"/>
              </w:rPr>
              <m:t>(</m:t>
            </m:r>
            <m:sSub>
              <m:e>
                <m:r>
                  <w:rPr>
                    <w:rFonts w:ascii="Cambria Math" w:hAnsi="Cambria Math" w:eastAsia="Cambria Math" w:cs="Cambria Math"/>
                    <w:sz w:val="24"/>
                    <w:szCs w:val="24"/>
                  </w:rPr>
                  <m:t>x</m:t>
                </m:r>
              </m:e>
              <m:sub>
                <m:r>
                  <w:rPr>
                    <w:rFonts w:ascii="Cambria Math" w:hAnsi="Cambria Math" w:eastAsia="Cambria Math" w:cs="Cambria Math"/>
                    <w:sz w:val="24"/>
                    <w:szCs w:val="24"/>
                  </w:rPr>
                  <m:t>j</m:t>
                </m:r>
              </m:sub>
            </m:sSub>
            <m:r>
              <w:rPr>
                <w:rFonts w:ascii="Cambria Math" w:hAnsi="Cambria Math" w:eastAsia="Cambria Math" w:cs="Cambria Math"/>
                <w:sz w:val="24"/>
                <w:szCs w:val="24"/>
              </w:rPr>
              <m:t>−</m:t>
            </m:r>
            <m:sSub>
              <m:e>
                <m:r>
                  <w:rPr>
                    <w:rFonts w:ascii="Cambria Math" w:hAnsi="Cambria Math" w:eastAsia="Cambria Math" w:cs="Cambria Math"/>
                    <w:sz w:val="24"/>
                    <w:szCs w:val="24"/>
                  </w:rPr>
                  <m:t>x</m:t>
                </m:r>
              </m:e>
              <m:sub>
                <m:r>
                  <w:rPr>
                    <w:rFonts w:ascii="Cambria Math" w:hAnsi="Cambria Math" w:eastAsia="Cambria Math" w:cs="Cambria Math"/>
                    <w:sz w:val="24"/>
                    <w:szCs w:val="24"/>
                  </w:rPr>
                  <m:t>i</m:t>
                </m:r>
              </m:sub>
            </m:sSub>
            <m:sSup>
              <m:e>
                <m:r>
                  <w:rPr>
                    <w:rFonts w:ascii="Cambria Math" w:hAnsi="Cambria Math" w:eastAsia="Cambria Math" w:cs="Cambria Math"/>
                    <w:sz w:val="24"/>
                    <w:szCs w:val="24"/>
                  </w:rPr>
                  <m:t>)</m:t>
                </m:r>
              </m:e>
              <m:sup>
                <m:r>
                  <w:rPr>
                    <w:rFonts w:ascii="Cambria Math" w:hAnsi="Cambria Math" w:eastAsia="Cambria Math" w:cs="Cambria Math"/>
                    <w:sz w:val="24"/>
                    <w:szCs w:val="24"/>
                  </w:rPr>
                  <m:t>2</m:t>
                </m:r>
              </m:sup>
            </m:sSup>
            <m:r>
              <w:rPr>
                <w:rFonts w:ascii="Cambria Math" w:hAnsi="Cambria Math" w:eastAsia="Cambria Math" w:cs="Cambria Math"/>
                <w:sz w:val="24"/>
                <w:szCs w:val="24"/>
              </w:rPr>
              <m:t>+(</m:t>
            </m:r>
            <m:sSub>
              <m:e>
                <m:r>
                  <w:rPr>
                    <w:rFonts w:ascii="Cambria Math" w:hAnsi="Cambria Math" w:eastAsia="Cambria Math" w:cs="Cambria Math"/>
                    <w:sz w:val="24"/>
                    <w:szCs w:val="24"/>
                  </w:rPr>
                  <m:t>y</m:t>
                </m:r>
              </m:e>
              <m:sub>
                <m:r>
                  <w:rPr>
                    <w:rFonts w:ascii="Cambria Math" w:hAnsi="Cambria Math" w:eastAsia="Cambria Math" w:cs="Cambria Math"/>
                    <w:sz w:val="24"/>
                    <w:szCs w:val="24"/>
                  </w:rPr>
                  <m:t>j</m:t>
                </m:r>
              </m:sub>
            </m:sSub>
            <m:r>
              <w:rPr>
                <w:rFonts w:ascii="Cambria Math" w:hAnsi="Cambria Math" w:eastAsia="Cambria Math" w:cs="Cambria Math"/>
                <w:sz w:val="24"/>
                <w:szCs w:val="24"/>
              </w:rPr>
              <m:t>−</m:t>
            </m:r>
            <m:sSub>
              <m:e>
                <m:r>
                  <w:rPr>
                    <w:rFonts w:ascii="Cambria Math" w:hAnsi="Cambria Math" w:eastAsia="Cambria Math" w:cs="Cambria Math"/>
                    <w:sz w:val="24"/>
                    <w:szCs w:val="24"/>
                  </w:rPr>
                  <m:t>y</m:t>
                </m:r>
              </m:e>
              <m:sub>
                <m:r>
                  <w:rPr>
                    <w:rFonts w:ascii="Cambria Math" w:hAnsi="Cambria Math" w:eastAsia="Cambria Math" w:cs="Cambria Math"/>
                    <w:sz w:val="24"/>
                    <w:szCs w:val="24"/>
                  </w:rPr>
                  <m:t>i</m:t>
                </m:r>
              </m:sub>
            </m:sSub>
            <m:sSup>
              <m:e>
                <m:r>
                  <w:rPr>
                    <w:rFonts w:ascii="Cambria Math" w:hAnsi="Cambria Math" w:eastAsia="Cambria Math" w:cs="Cambria Math"/>
                    <w:sz w:val="24"/>
                    <w:szCs w:val="24"/>
                  </w:rPr>
                  <m:t>)</m:t>
                </m:r>
              </m:e>
              <m:sup>
                <m:r>
                  <w:rPr>
                    <w:rFonts w:ascii="Cambria Math" w:hAnsi="Cambria Math" w:eastAsia="Cambria Math" w:cs="Cambria Math"/>
                    <w:sz w:val="24"/>
                    <w:szCs w:val="24"/>
                  </w:rPr>
                  <m:t>2</m:t>
                </m:r>
              </m:sup>
            </m:sSup>
          </m:e>
        </m:rad>
      </m:oMath>
      <w:r>
        <w:rPr>
          <w:lang w:val="en-US"/>
        </w:rPr>
        <w:t xml:space="preserve"> </w:t>
      </w:r>
      <w:r>
        <w:tab/>
      </w:r>
      <w:r>
        <w:rPr>
          <w:lang w:val="en-US"/>
        </w:rPr>
        <w:t>(3)</w:t>
      </w:r>
    </w:p>
    <w:p>
      <w:pPr>
        <w:pStyle w:val="TTPParagraphothers"/>
      </w:pPr>
      <w:r>
        <w:rPr>
          <w:b/>
          <w:bCs/>
        </w:rPr>
        <w:t xml:space="preserve">Jarak piksel mentah berubah tergantung jarak tangan dari kamera. Untuk menghilangkan ketergantungan skala, dibagi dengan </w:t>
      </w:r>
      <m:oMath xmlns:mml="http://www.w3.org/1998/Math/MathML">
        <m:sSub>
          <m:e>
            <m:r>
              <w:rPr>
                <w:rFonts w:ascii="Cambria Math" w:hAnsi="Cambria Math" w:eastAsia="Cambria Math" w:cs="Cambria Math"/>
                <w:sz w:val="24"/>
                <w:szCs w:val="24"/>
              </w:rPr>
              <m:t>d</m:t>
            </m:r>
          </m:e>
          <m:sub>
            <m:r>
              <w:rPr>
                <w:rFonts w:ascii="Cambria Math" w:hAnsi="Cambria Math" w:eastAsia="Cambria Math" w:cs="Cambria Math"/>
                <w:sz w:val="24"/>
                <w:szCs w:val="24"/>
              </w:rPr>
              <m:t>0,9</m:t>
            </m:r>
          </m:sub>
        </m:sSub>
      </m:oMath>
      <w:r>
        <w:rPr>
          <w:b/>
          <w:bCs/>
        </w:rPr>
        <w:t xml:space="preserve"> (jarak pergelangan tangan ke middle-MCP):</w:t>
      </w:r>
    </w:p>
    <w:p>
      <w:pPr>
        <w:pStyle w:val="TTPEquation"/>
        <w:tabs>
          <w:tab w:pos="9000" w:val="right"/>
        </w:tabs>
        <w:spacing w:after="60" w:before="60"/>
        <w:jc w:val="left"/>
        <w:rPr>
          <w:lang w:val="en-US"/>
        </w:rPr>
      </w:pPr>
      <m:oMath xmlns:mml="http://www.w3.org/1998/Math/MathML">
        <m:sSub>
          <m:e>
            <m:r>
              <w:rPr>
                <w:rFonts w:ascii="Cambria Math" w:hAnsi="Cambria Math" w:eastAsia="Cambria Math" w:cs="Cambria Math"/>
                <w:sz w:val="24"/>
                <w:szCs w:val="24"/>
              </w:rPr>
              <m:t>d</m:t>
            </m:r>
          </m:e>
          <m:sub>
            <m:r>
              <w:rPr>
                <w:rFonts w:ascii="Cambria Math" w:hAnsi="Cambria Math" w:eastAsia="Cambria Math" w:cs="Cambria Math"/>
                <w:sz w:val="24"/>
                <w:szCs w:val="24"/>
              </w:rPr>
              <m:rPr>
                <m:sty m:val="p"/>
              </m:rPr>
              <m:t>norm</m:t>
            </m:r>
            <m:r>
              <w:rPr>
                <w:rFonts w:ascii="Cambria Math" w:hAnsi="Cambria Math" w:eastAsia="Cambria Math" w:cs="Cambria Math"/>
                <w:sz w:val="24"/>
                <w:szCs w:val="24"/>
              </w:rPr>
              <m:t>,ij</m:t>
            </m:r>
          </m:sub>
        </m:sSub>
        <m:r>
          <w:rPr>
            <w:rFonts w:ascii="Cambria Math" w:hAnsi="Cambria Math" w:eastAsia="Cambria Math" w:cs="Cambria Math"/>
            <w:sz w:val="24"/>
            <w:szCs w:val="24"/>
          </w:rPr>
          <m:t>=</m:t>
        </m:r>
        <m:f>
          <m:fPr>
            <m:type m:val="bar"/>
          </m:fPr>
          <m:num>
            <m:sSub>
              <m:e>
                <m:r>
                  <w:rPr>
                    <w:rFonts w:ascii="Cambria Math" w:hAnsi="Cambria Math" w:eastAsia="Cambria Math" w:cs="Cambria Math"/>
                    <w:sz w:val="24"/>
                    <w:szCs w:val="24"/>
                  </w:rPr>
                  <m:t>d</m:t>
                </m:r>
              </m:e>
              <m:sub>
                <m:r>
                  <w:rPr>
                    <w:rFonts w:ascii="Cambria Math" w:hAnsi="Cambria Math" w:eastAsia="Cambria Math" w:cs="Cambria Math"/>
                    <w:sz w:val="24"/>
                    <w:szCs w:val="24"/>
                  </w:rPr>
                  <m:t>ij</m:t>
                </m:r>
              </m:sub>
            </m:sSub>
          </m:num>
          <m:den>
            <m:sSub>
              <m:e>
                <m:r>
                  <w:rPr>
                    <w:rFonts w:ascii="Cambria Math" w:hAnsi="Cambria Math" w:eastAsia="Cambria Math" w:cs="Cambria Math"/>
                    <w:sz w:val="24"/>
                    <w:szCs w:val="24"/>
                  </w:rPr>
                  <m:t>d</m:t>
                </m:r>
              </m:e>
              <m:sub>
                <m:r>
                  <w:rPr>
                    <w:rFonts w:ascii="Cambria Math" w:hAnsi="Cambria Math" w:eastAsia="Cambria Math" w:cs="Cambria Math"/>
                    <w:sz w:val="24"/>
                    <w:szCs w:val="24"/>
                  </w:rPr>
                  <m:t>0,9</m:t>
                </m:r>
              </m:sub>
            </m:sSub>
          </m:den>
        </m:f>
      </m:oMath>
      <w:r>
        <w:rPr>
          <w:lang w:val="en-US"/>
        </w:rPr>
        <w:t xml:space="preserve"> </w:t>
      </w:r>
      <w:r>
        <w:tab/>
      </w:r>
      <w:r>
        <w:rPr>
          <w:lang w:val="en-US"/>
        </w:rPr>
        <w:t>(4)</w:t>
      </w:r>
    </w:p>
    <w:p>
      <w:pPr>
        <w:pStyle w:val="TTPParagraphothers"/>
      </w:pPr>
      <w:r>
        <w:rPr>
          <w:b/>
          <w:bCs/>
        </w:rPr>
        <w:t xml:space="preserve">Setelah normalisasi, </w:t>
      </w:r>
      <m:oMath xmlns:mml="http://www.w3.org/1998/Math/MathML">
        <m:sSub>
          <m:e>
            <m:r>
              <w:rPr>
                <w:rFonts w:ascii="Cambria Math" w:hAnsi="Cambria Math" w:eastAsia="Cambria Math" w:cs="Cambria Math"/>
                <w:sz w:val="24"/>
                <w:szCs w:val="24"/>
              </w:rPr>
              <m:t>d</m:t>
            </m:r>
          </m:e>
          <m:sub>
            <m:r>
              <w:rPr>
                <w:rFonts w:ascii="Cambria Math" w:hAnsi="Cambria Math" w:eastAsia="Cambria Math" w:cs="Cambria Math"/>
                <w:sz w:val="24"/>
                <w:szCs w:val="24"/>
              </w:rPr>
              <m:rPr>
                <m:sty m:val="p"/>
              </m:rPr>
              <m:t>norm</m:t>
            </m:r>
            <m:r>
              <w:rPr>
                <w:rFonts w:ascii="Cambria Math" w:hAnsi="Cambria Math" w:eastAsia="Cambria Math" w:cs="Cambria Math"/>
                <w:sz w:val="24"/>
                <w:szCs w:val="24"/>
              </w:rPr>
              <m:t>,ij</m:t>
            </m:r>
          </m:sub>
        </m:sSub>
      </m:oMath>
      <w:r>
        <w:rPr>
          <w:b/>
          <w:bCs/>
        </w:rPr>
        <w:t xml:space="preserve"> mencerminkan bentuk tangan independen dari jarak kamera. Untuk ekstensi jari, dibutuhkan sudut sendi. Vektor arah:</w:t>
      </w:r>
    </w:p>
    <w:p>
      <w:pPr>
        <w:pStyle w:val="TTPEquation"/>
        <w:tabs>
          <w:tab w:pos="9000" w:val="right"/>
        </w:tabs>
        <w:spacing w:after="60" w:before="60"/>
        <w:jc w:val="left"/>
        <w:rPr>
          <w:lang w:val="en-US"/>
        </w:rPr>
      </w:pPr>
      <m:oMath xmlns:mml="http://www.w3.org/1998/Math/MathML">
        <m:sSub>
          <m:e>
            <m:limUpp>
              <m:e>
                <m:r>
                  <w:rPr>
                    <w:rFonts w:ascii="Cambria Math" w:hAnsi="Cambria Math" w:eastAsia="Cambria Math" w:cs="Cambria Math"/>
                    <w:sz w:val="24"/>
                    <w:szCs w:val="24"/>
                  </w:rPr>
                  <m:t>v</m:t>
                </m:r>
              </m:e>
              <m:lim>
                <m:r>
                  <w:rPr>
                    <w:rFonts w:ascii="Cambria Math" w:hAnsi="Cambria Math" w:eastAsia="Cambria Math" w:cs="Cambria Math"/>
                    <w:sz w:val="24"/>
                    <w:szCs w:val="24"/>
                  </w:rPr>
                  <m:t>→</m:t>
                </m:r>
              </m:lim>
            </m:limUpp>
          </m:e>
          <m:sub>
            <m:r>
              <w:rPr>
                <w:rFonts w:ascii="Cambria Math" w:hAnsi="Cambria Math" w:eastAsia="Cambria Math" w:cs="Cambria Math"/>
                <w:sz w:val="24"/>
                <w:szCs w:val="24"/>
              </w:rPr>
              <m:t>ij</m:t>
            </m:r>
          </m:sub>
        </m:sSub>
        <m:r>
          <w:rPr>
            <w:rFonts w:ascii="Cambria Math" w:hAnsi="Cambria Math" w:eastAsia="Cambria Math" w:cs="Cambria Math"/>
            <w:sz w:val="24"/>
            <w:szCs w:val="24"/>
          </w:rPr>
          <m:t>=(</m:t>
        </m:r>
        <m:sSub>
          <m:e>
            <m:r>
              <w:rPr>
                <w:rFonts w:ascii="Cambria Math" w:hAnsi="Cambria Math" w:eastAsia="Cambria Math" w:cs="Cambria Math"/>
                <w:sz w:val="24"/>
                <w:szCs w:val="24"/>
              </w:rPr>
              <m:t>x</m:t>
            </m:r>
          </m:e>
          <m:sub>
            <m:r>
              <w:rPr>
                <w:rFonts w:ascii="Cambria Math" w:hAnsi="Cambria Math" w:eastAsia="Cambria Math" w:cs="Cambria Math"/>
                <w:sz w:val="24"/>
                <w:szCs w:val="24"/>
              </w:rPr>
              <m:t>j</m:t>
            </m:r>
          </m:sub>
        </m:sSub>
        <m:r>
          <w:rPr>
            <w:rFonts w:ascii="Cambria Math" w:hAnsi="Cambria Math" w:eastAsia="Cambria Math" w:cs="Cambria Math"/>
            <w:sz w:val="24"/>
            <w:szCs w:val="24"/>
          </w:rPr>
          <m:t>−</m:t>
        </m:r>
        <m:sSub>
          <m:e>
            <m:r>
              <w:rPr>
                <w:rFonts w:ascii="Cambria Math" w:hAnsi="Cambria Math" w:eastAsia="Cambria Math" w:cs="Cambria Math"/>
                <w:sz w:val="24"/>
                <w:szCs w:val="24"/>
              </w:rPr>
              <m:t>x</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sSub>
          <m:e>
            <m:r>
              <w:rPr>
                <w:rFonts w:ascii="Cambria Math" w:hAnsi="Cambria Math" w:eastAsia="Cambria Math" w:cs="Cambria Math"/>
                <w:sz w:val="24"/>
                <w:szCs w:val="24"/>
              </w:rPr>
              <m:t>y</m:t>
            </m:r>
          </m:e>
          <m:sub>
            <m:r>
              <w:rPr>
                <w:rFonts w:ascii="Cambria Math" w:hAnsi="Cambria Math" w:eastAsia="Cambria Math" w:cs="Cambria Math"/>
                <w:sz w:val="24"/>
                <w:szCs w:val="24"/>
              </w:rPr>
              <m:t>j</m:t>
            </m:r>
          </m:sub>
        </m:sSub>
        <m:r>
          <w:rPr>
            <w:rFonts w:ascii="Cambria Math" w:hAnsi="Cambria Math" w:eastAsia="Cambria Math" w:cs="Cambria Math"/>
            <w:sz w:val="24"/>
            <w:szCs w:val="24"/>
          </w:rPr>
          <m:t>−</m:t>
        </m:r>
        <m:sSub>
          <m:e>
            <m:r>
              <w:rPr>
                <w:rFonts w:ascii="Cambria Math" w:hAnsi="Cambria Math" w:eastAsia="Cambria Math" w:cs="Cambria Math"/>
                <w:sz w:val="24"/>
                <w:szCs w:val="24"/>
              </w:rPr>
              <m:t>y</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oMath>
      <w:r>
        <w:rPr>
          <w:lang w:val="en-US"/>
        </w:rPr>
        <w:t xml:space="preserve"> </w:t>
      </w:r>
      <w:r>
        <w:tab/>
      </w:r>
      <w:r>
        <w:rPr>
          <w:lang w:val="en-US"/>
        </w:rPr>
        <w:t>(5)</w:t>
      </w:r>
    </w:p>
    <w:p>
      <w:pPr>
        <w:pStyle w:val="TTPParagraphothers"/>
      </w:pPr>
      <w:r>
        <w:rPr>
          <w:b/>
          <w:bCs/>
        </w:rPr>
        <w:t>Besarnya:</w:t>
      </w:r>
    </w:p>
    <w:p>
      <w:pPr>
        <w:pStyle w:val="TTPEquation"/>
        <w:tabs>
          <w:tab w:pos="9000" w:val="right"/>
        </w:tabs>
        <w:spacing w:after="60" w:before="60"/>
        <w:jc w:val="left"/>
        <w:rPr>
          <w:lang w:val="en-US"/>
        </w:rPr>
      </w:pPr>
      <m:oMath xmlns:mml="http://www.w3.org/1998/Math/MathML">
        <m:r>
          <w:rPr>
            <w:rFonts w:ascii="Cambria Math" w:hAnsi="Cambria Math" w:eastAsia="Cambria Math" w:cs="Cambria Math"/>
            <w:sz w:val="24"/>
            <w:szCs w:val="24"/>
          </w:rPr>
          <m:t>|</m:t>
        </m:r>
        <m:limUpp>
          <m:e>
            <m:r>
              <w:rPr>
                <w:rFonts w:ascii="Cambria Math" w:hAnsi="Cambria Math" w:eastAsia="Cambria Math" w:cs="Cambria Math"/>
                <w:sz w:val="24"/>
                <w:szCs w:val="24"/>
              </w:rPr>
              <m:t>v</m:t>
            </m:r>
          </m:e>
          <m:lim>
            <m:r>
              <w:rPr>
                <w:rFonts w:ascii="Cambria Math" w:hAnsi="Cambria Math" w:eastAsia="Cambria Math" w:cs="Cambria Math"/>
                <w:sz w:val="24"/>
                <w:szCs w:val="24"/>
              </w:rPr>
              <m:t>→</m:t>
            </m:r>
          </m:lim>
        </m:limUpp>
        <m:r>
          <w:rPr>
            <w:rFonts w:ascii="Cambria Math" w:hAnsi="Cambria Math" w:eastAsia="Cambria Math" w:cs="Cambria Math"/>
            <w:sz w:val="24"/>
            <w:szCs w:val="24"/>
          </w:rPr>
          <m:t>|=</m:t>
        </m:r>
        <m:rad>
          <m:radPr>
            <m:degHide m:val="on"/>
          </m:radPr>
          <m:deg/>
          <m:e>
            <m:sSubSup>
              <m:e>
                <m:r>
                  <w:rPr>
                    <w:rFonts w:ascii="Cambria Math" w:hAnsi="Cambria Math" w:eastAsia="Cambria Math" w:cs="Cambria Math"/>
                    <w:sz w:val="24"/>
                    <w:szCs w:val="24"/>
                  </w:rPr>
                  <m:t>v</m:t>
                </m:r>
              </m:e>
              <m:sub>
                <m:r>
                  <w:rPr>
                    <w:rFonts w:ascii="Cambria Math" w:hAnsi="Cambria Math" w:eastAsia="Cambria Math" w:cs="Cambria Math"/>
                    <w:sz w:val="24"/>
                    <w:szCs w:val="24"/>
                  </w:rPr>
                  <m:t>x</m:t>
                </m:r>
              </m:sub>
              <m:sup>
                <m:r>
                  <w:rPr>
                    <w:rFonts w:ascii="Cambria Math" w:hAnsi="Cambria Math" w:eastAsia="Cambria Math" w:cs="Cambria Math"/>
                    <w:sz w:val="24"/>
                    <w:szCs w:val="24"/>
                  </w:rPr>
                  <m:t>2</m:t>
                </m:r>
              </m:sup>
            </m:sSubSup>
            <m:r>
              <w:rPr>
                <w:rFonts w:ascii="Cambria Math" w:hAnsi="Cambria Math" w:eastAsia="Cambria Math" w:cs="Cambria Math"/>
                <w:sz w:val="24"/>
                <w:szCs w:val="24"/>
              </w:rPr>
              <m:t>+</m:t>
            </m:r>
            <m:sSubSup>
              <m:e>
                <m:r>
                  <w:rPr>
                    <w:rFonts w:ascii="Cambria Math" w:hAnsi="Cambria Math" w:eastAsia="Cambria Math" w:cs="Cambria Math"/>
                    <w:sz w:val="24"/>
                    <w:szCs w:val="24"/>
                  </w:rPr>
                  <m:t>v</m:t>
                </m:r>
              </m:e>
              <m:sub>
                <m:r>
                  <w:rPr>
                    <w:rFonts w:ascii="Cambria Math" w:hAnsi="Cambria Math" w:eastAsia="Cambria Math" w:cs="Cambria Math"/>
                    <w:sz w:val="24"/>
                    <w:szCs w:val="24"/>
                  </w:rPr>
                  <m:t>y</m:t>
                </m:r>
              </m:sub>
              <m:sup>
                <m:r>
                  <w:rPr>
                    <w:rFonts w:ascii="Cambria Math" w:hAnsi="Cambria Math" w:eastAsia="Cambria Math" w:cs="Cambria Math"/>
                    <w:sz w:val="24"/>
                    <w:szCs w:val="24"/>
                  </w:rPr>
                  <m:t>2</m:t>
                </m:r>
              </m:sup>
            </m:sSubSup>
          </m:e>
        </m:rad>
      </m:oMath>
      <w:r>
        <w:rPr>
          <w:lang w:val="en-US"/>
        </w:rPr>
        <w:t xml:space="preserve"> </w:t>
      </w:r>
      <w:r>
        <w:tab/>
      </w:r>
      <w:r>
        <w:rPr>
          <w:lang w:val="en-US"/>
        </w:rPr>
        <w:t>(6)</w:t>
      </w:r>
    </w:p>
    <w:p>
      <w:pPr>
        <w:pStyle w:val="TTPParagraphothers"/>
      </w:pPr>
      <w:r>
        <w:rPr>
          <w:b/>
          <w:bCs/>
        </w:rPr>
        <w:t>Dot product dari dua vektor segmen tulang yang bersebelahan:</w:t>
      </w:r>
    </w:p>
    <w:p>
      <w:pPr>
        <w:pStyle w:val="TTPEquation"/>
        <w:tabs>
          <w:tab w:pos="9000" w:val="right"/>
        </w:tabs>
        <w:spacing w:after="60" w:before="60"/>
        <w:jc w:val="left"/>
        <w:rPr>
          <w:lang w:val="en-US"/>
        </w:rPr>
      </w:pPr>
      <m:oMath xmlns:mml="http://www.w3.org/1998/Math/MathML">
        <m:limUpp>
          <m:e>
            <m:r>
              <w:rPr>
                <w:rFonts w:ascii="Cambria Math" w:hAnsi="Cambria Math" w:eastAsia="Cambria Math" w:cs="Cambria Math"/>
                <w:sz w:val="24"/>
                <w:szCs w:val="24"/>
              </w:rPr>
              <m:t>A</m:t>
            </m:r>
          </m:e>
          <m:lim>
            <m:r>
              <w:rPr>
                <w:rFonts w:ascii="Cambria Math" w:hAnsi="Cambria Math" w:eastAsia="Cambria Math" w:cs="Cambria Math"/>
                <w:sz w:val="24"/>
                <w:szCs w:val="24"/>
              </w:rPr>
              <m:t>→</m:t>
            </m:r>
          </m:lim>
        </m:limUpp>
        <m:r>
          <w:rPr>
            <w:rFonts w:ascii="Cambria Math" w:hAnsi="Cambria Math" w:eastAsia="Cambria Math" w:cs="Cambria Math"/>
            <w:sz w:val="24"/>
            <w:szCs w:val="24"/>
          </w:rPr>
          <m:t>·</m:t>
        </m:r>
        <m:limUpp>
          <m:e>
            <m:r>
              <w:rPr>
                <w:rFonts w:ascii="Cambria Math" w:hAnsi="Cambria Math" w:eastAsia="Cambria Math" w:cs="Cambria Math"/>
                <w:sz w:val="24"/>
                <w:szCs w:val="24"/>
              </w:rPr>
              <m:t>B</m:t>
            </m:r>
          </m:e>
          <m:lim>
            <m:r>
              <w:rPr>
                <w:rFonts w:ascii="Cambria Math" w:hAnsi="Cambria Math" w:eastAsia="Cambria Math" w:cs="Cambria Math"/>
                <w:sz w:val="24"/>
                <w:szCs w:val="24"/>
              </w:rPr>
              <m:t>→</m:t>
            </m:r>
          </m:lim>
        </m:limUpp>
        <m:r>
          <w:rPr>
            <w:rFonts w:ascii="Cambria Math" w:hAnsi="Cambria Math" w:eastAsia="Cambria Math" w:cs="Cambria Math"/>
            <w:sz w:val="24"/>
            <w:szCs w:val="24"/>
          </w:rPr>
          <m:t>=</m:t>
        </m:r>
        <m:sSub>
          <m:e>
            <m:r>
              <w:rPr>
                <w:rFonts w:ascii="Cambria Math" w:hAnsi="Cambria Math" w:eastAsia="Cambria Math" w:cs="Cambria Math"/>
                <w:sz w:val="24"/>
                <w:szCs w:val="24"/>
              </w:rPr>
              <m:t>A</m:t>
            </m:r>
          </m:e>
          <m:sub>
            <m:r>
              <w:rPr>
                <w:rFonts w:ascii="Cambria Math" w:hAnsi="Cambria Math" w:eastAsia="Cambria Math" w:cs="Cambria Math"/>
                <w:sz w:val="24"/>
                <w:szCs w:val="24"/>
              </w:rPr>
              <m:t>x</m:t>
            </m:r>
          </m:sub>
        </m:sSub>
        <m:sSub>
          <m:e>
            <m:r>
              <w:rPr>
                <w:rFonts w:ascii="Cambria Math" w:hAnsi="Cambria Math" w:eastAsia="Cambria Math" w:cs="Cambria Math"/>
                <w:sz w:val="24"/>
                <w:szCs w:val="24"/>
              </w:rPr>
              <m:t>B</m:t>
            </m:r>
          </m:e>
          <m:sub>
            <m:r>
              <w:rPr>
                <w:rFonts w:ascii="Cambria Math" w:hAnsi="Cambria Math" w:eastAsia="Cambria Math" w:cs="Cambria Math"/>
                <w:sz w:val="24"/>
                <w:szCs w:val="24"/>
              </w:rPr>
              <m:t>x</m:t>
            </m:r>
          </m:sub>
        </m:sSub>
        <m:r>
          <w:rPr>
            <w:rFonts w:ascii="Cambria Math" w:hAnsi="Cambria Math" w:eastAsia="Cambria Math" w:cs="Cambria Math"/>
            <w:sz w:val="24"/>
            <w:szCs w:val="24"/>
          </w:rPr>
          <m:t>+</m:t>
        </m:r>
        <m:sSub>
          <m:e>
            <m:r>
              <w:rPr>
                <w:rFonts w:ascii="Cambria Math" w:hAnsi="Cambria Math" w:eastAsia="Cambria Math" w:cs="Cambria Math"/>
                <w:sz w:val="24"/>
                <w:szCs w:val="24"/>
              </w:rPr>
              <m:t>A</m:t>
            </m:r>
          </m:e>
          <m:sub>
            <m:r>
              <w:rPr>
                <w:rFonts w:ascii="Cambria Math" w:hAnsi="Cambria Math" w:eastAsia="Cambria Math" w:cs="Cambria Math"/>
                <w:sz w:val="24"/>
                <w:szCs w:val="24"/>
              </w:rPr>
              <m:t>y</m:t>
            </m:r>
          </m:sub>
        </m:sSub>
        <m:sSub>
          <m:e>
            <m:r>
              <w:rPr>
                <w:rFonts w:ascii="Cambria Math" w:hAnsi="Cambria Math" w:eastAsia="Cambria Math" w:cs="Cambria Math"/>
                <w:sz w:val="24"/>
                <w:szCs w:val="24"/>
              </w:rPr>
              <m:t>B</m:t>
            </m:r>
          </m:e>
          <m:sub>
            <m:r>
              <w:rPr>
                <w:rFonts w:ascii="Cambria Math" w:hAnsi="Cambria Math" w:eastAsia="Cambria Math" w:cs="Cambria Math"/>
                <w:sz w:val="24"/>
                <w:szCs w:val="24"/>
              </w:rPr>
              <m:t>y</m:t>
            </m:r>
          </m:sub>
        </m:sSub>
      </m:oMath>
      <w:r>
        <w:rPr>
          <w:lang w:val="en-US"/>
        </w:rPr>
        <w:t xml:space="preserve"> </w:t>
      </w:r>
      <w:r>
        <w:tab/>
      </w:r>
      <w:r>
        <w:rPr>
          <w:lang w:val="en-US"/>
        </w:rPr>
        <w:t>(7)</w:t>
      </w:r>
    </w:p>
    <w:p>
      <w:pPr>
        <w:pStyle w:val="TTPParagraphothers"/>
      </w:pPr>
      <w:r>
        <w:rPr>
          <w:b/>
          <w:bCs/>
        </w:rPr>
        <w:t>Sudut antar-sendi, untuk tiga landmark berurutan (</w:t>
      </w:r>
      <m:oMath xmlns:mml="http://www.w3.org/1998/Math/MathML">
        <m:r>
          <w:rPr>
            <w:rFonts w:ascii="Cambria Math" w:hAnsi="Cambria Math" w:eastAsia="Cambria Math" w:cs="Cambria Math"/>
            <w:sz w:val="24"/>
            <w:szCs w:val="24"/>
          </w:rPr>
          <m:t>A</m:t>
        </m:r>
      </m:oMath>
      <w:r>
        <w:rPr>
          <w:b/>
          <w:bCs/>
        </w:rPr>
        <w:t xml:space="preserve"> = ujung jari, </w:t>
      </w:r>
      <m:oMath xmlns:mml="http://www.w3.org/1998/Math/MathML">
        <m:r>
          <w:rPr>
            <w:rFonts w:ascii="Cambria Math" w:hAnsi="Cambria Math" w:eastAsia="Cambria Math" w:cs="Cambria Math"/>
            <w:sz w:val="24"/>
            <w:szCs w:val="24"/>
          </w:rPr>
          <m:t>B</m:t>
        </m:r>
      </m:oMath>
      <w:r>
        <w:rPr>
          <w:b/>
          <w:bCs/>
        </w:rPr>
        <w:t xml:space="preserve"> = sendi tengah, </w:t>
      </w:r>
      <m:oMath xmlns:mml="http://www.w3.org/1998/Math/MathML">
        <m:r>
          <w:rPr>
            <w:rFonts w:ascii="Cambria Math" w:hAnsi="Cambria Math" w:eastAsia="Cambria Math" w:cs="Cambria Math"/>
            <w:sz w:val="24"/>
            <w:szCs w:val="24"/>
          </w:rPr>
          <m:t>C</m:t>
        </m:r>
      </m:oMath>
      <w:r>
        <w:rPr>
          <w:b/>
          <w:bCs/>
        </w:rPr>
        <w:t xml:space="preserve"> = pangkal):</w:t>
      </w:r>
    </w:p>
    <w:p>
      <w:pPr>
        <w:pStyle w:val="TTPEquation"/>
        <w:tabs>
          <w:tab w:pos="9000" w:val="right"/>
        </w:tabs>
        <w:spacing w:after="60" w:before="60"/>
        <w:jc w:val="left"/>
        <w:rPr>
          <w:lang w:val="en-US"/>
        </w:rPr>
      </w:pPr>
      <m:oMath xmlns:mml="http://www.w3.org/1998/Math/MathML">
        <m:r>
          <w:rPr>
            <w:rFonts w:ascii="Cambria Math" w:hAnsi="Cambria Math" w:eastAsia="Cambria Math" w:cs="Cambria Math"/>
            <w:sz w:val="24"/>
            <w:szCs w:val="24"/>
          </w:rPr>
          <m:t>θ=</m:t>
        </m:r>
        <m:sSup>
          <m:e>
            <m:r>
              <w:rPr>
                <w:rFonts w:ascii="Cambria Math" w:hAnsi="Cambria Math" w:eastAsia="Cambria Math" w:cs="Cambria Math"/>
                <w:sz w:val="24"/>
                <w:szCs w:val="24"/>
              </w:rPr>
              <m:rPr>
                <m:sty m:val="p"/>
              </m:rPr>
              <m:t>cos</m:t>
            </m:r>
          </m:e>
          <m:sup>
            <m:r>
              <w:rPr>
                <w:rFonts w:ascii="Cambria Math" w:hAnsi="Cambria Math" w:eastAsia="Cambria Math" w:cs="Cambria Math"/>
                <w:sz w:val="24"/>
                <w:szCs w:val="24"/>
              </w:rPr>
              <m:t>−1</m:t>
            </m:r>
          </m:sup>
        </m:sSup>
        <m:r>
          <w:rPr>
            <w:rFonts w:ascii="Cambria Math" w:hAnsi="Cambria Math" w:eastAsia="Cambria Math" w:cs="Cambria Math"/>
            <w:sz w:val="24"/>
            <w:szCs w:val="24"/>
          </w:rPr>
          <m:t>(</m:t>
        </m:r>
        <m:f>
          <m:fPr>
            <m:type m:val="bar"/>
          </m:fPr>
          <m:num>
            <m:limUpp>
              <m:e>
                <m:r>
                  <w:rPr>
                    <w:rFonts w:ascii="Cambria Math" w:hAnsi="Cambria Math" w:eastAsia="Cambria Math" w:cs="Cambria Math"/>
                    <w:sz w:val="24"/>
                    <w:szCs w:val="24"/>
                  </w:rPr>
                  <m:t>BA</m:t>
                </m:r>
              </m:e>
              <m:lim>
                <m:r>
                  <w:rPr>
                    <w:rFonts w:ascii="Cambria Math" w:hAnsi="Cambria Math" w:eastAsia="Cambria Math" w:cs="Cambria Math"/>
                    <w:sz w:val="24"/>
                    <w:szCs w:val="24"/>
                  </w:rPr>
                  <m:t>→</m:t>
                </m:r>
              </m:lim>
            </m:limUpp>
            <m:r>
              <w:rPr>
                <w:rFonts w:ascii="Cambria Math" w:hAnsi="Cambria Math" w:eastAsia="Cambria Math" w:cs="Cambria Math"/>
                <w:sz w:val="24"/>
                <w:szCs w:val="24"/>
              </w:rPr>
              <m:t>·</m:t>
            </m:r>
            <m:limUpp>
              <m:e>
                <m:r>
                  <w:rPr>
                    <w:rFonts w:ascii="Cambria Math" w:hAnsi="Cambria Math" w:eastAsia="Cambria Math" w:cs="Cambria Math"/>
                    <w:sz w:val="24"/>
                    <w:szCs w:val="24"/>
                  </w:rPr>
                  <m:t>BC</m:t>
                </m:r>
              </m:e>
              <m:lim>
                <m:r>
                  <w:rPr>
                    <w:rFonts w:ascii="Cambria Math" w:hAnsi="Cambria Math" w:eastAsia="Cambria Math" w:cs="Cambria Math"/>
                    <w:sz w:val="24"/>
                    <w:szCs w:val="24"/>
                  </w:rPr>
                  <m:t>→</m:t>
                </m:r>
              </m:lim>
            </m:limUpp>
          </m:num>
          <m:den>
            <m:r>
              <w:rPr>
                <w:rFonts w:ascii="Cambria Math" w:hAnsi="Cambria Math" w:eastAsia="Cambria Math" w:cs="Cambria Math"/>
                <w:sz w:val="24"/>
                <w:szCs w:val="24"/>
              </w:rPr>
              <m:t>|</m:t>
            </m:r>
            <m:limUpp>
              <m:e>
                <m:r>
                  <w:rPr>
                    <w:rFonts w:ascii="Cambria Math" w:hAnsi="Cambria Math" w:eastAsia="Cambria Math" w:cs="Cambria Math"/>
                    <w:sz w:val="24"/>
                    <w:szCs w:val="24"/>
                  </w:rPr>
                  <m:t>BA</m:t>
                </m:r>
              </m:e>
              <m:lim>
                <m:r>
                  <w:rPr>
                    <w:rFonts w:ascii="Cambria Math" w:hAnsi="Cambria Math" w:eastAsia="Cambria Math" w:cs="Cambria Math"/>
                    <w:sz w:val="24"/>
                    <w:szCs w:val="24"/>
                  </w:rPr>
                  <m:t>→</m:t>
                </m:r>
              </m:lim>
            </m:limUpp>
            <m:r>
              <w:rPr>
                <w:rFonts w:ascii="Cambria Math" w:hAnsi="Cambria Math" w:eastAsia="Cambria Math" w:cs="Cambria Math"/>
                <w:sz w:val="24"/>
                <w:szCs w:val="24"/>
              </w:rPr>
              <m:t>|·|</m:t>
            </m:r>
            <m:limUpp>
              <m:e>
                <m:r>
                  <w:rPr>
                    <w:rFonts w:ascii="Cambria Math" w:hAnsi="Cambria Math" w:eastAsia="Cambria Math" w:cs="Cambria Math"/>
                    <w:sz w:val="24"/>
                    <w:szCs w:val="24"/>
                  </w:rPr>
                  <m:t>BC</m:t>
                </m:r>
              </m:e>
              <m:lim>
                <m:r>
                  <w:rPr>
                    <w:rFonts w:ascii="Cambria Math" w:hAnsi="Cambria Math" w:eastAsia="Cambria Math" w:cs="Cambria Math"/>
                    <w:sz w:val="24"/>
                    <w:szCs w:val="24"/>
                  </w:rPr>
                  <m:t>→</m:t>
                </m:r>
              </m:lim>
            </m:limUpp>
            <m:r>
              <w:rPr>
                <w:rFonts w:ascii="Cambria Math" w:hAnsi="Cambria Math" w:eastAsia="Cambria Math" w:cs="Cambria Math"/>
                <w:sz w:val="24"/>
                <w:szCs w:val="24"/>
              </w:rPr>
              <m:t>|</m:t>
            </m:r>
          </m:den>
        </m:f>
        <m:r>
          <w:rPr>
            <w:rFonts w:ascii="Cambria Math" w:hAnsi="Cambria Math" w:eastAsia="Cambria Math" w:cs="Cambria Math"/>
            <w:sz w:val="24"/>
            <w:szCs w:val="24"/>
          </w:rPr>
          <m:t>)</m:t>
        </m:r>
      </m:oMath>
      <w:r>
        <w:rPr>
          <w:lang w:val="en-US"/>
        </w:rPr>
        <w:t xml:space="preserve"> </w:t>
      </w:r>
      <w:r>
        <w:tab/>
      </w:r>
      <w:r>
        <w:rPr>
          <w:lang w:val="en-US"/>
        </w:rPr>
        <w:t>(8)</w:t>
      </w:r>
    </w:p>
    <w:p>
      <w:pPr>
        <w:pStyle w:val="TTPParagraphothers"/>
      </w:pPr>
      <w:r>
        <w:rPr>
          <w:b/>
          <w:bCs/>
        </w:rPr>
        <w:t xml:space="preserve">Sudut </w:t>
      </w:r>
      <m:oMath xmlns:mml="http://www.w3.org/1998/Math/MathML">
        <m:r>
          <w:rPr>
            <w:rFonts w:ascii="Cambria Math" w:hAnsi="Cambria Math" w:eastAsia="Cambria Math" w:cs="Cambria Math"/>
            <w:sz w:val="24"/>
            <w:szCs w:val="24"/>
          </w:rPr>
          <m:t>θ</m:t>
        </m:r>
      </m:oMath>
      <w:r>
        <w:rPr>
          <w:b/>
          <w:bCs/>
        </w:rPr>
        <w:t xml:space="preserve"> menentukan apakah jari terektensi atau tertutup. Setelah kalibrasi, </w:t>
      </w:r>
      <m:oMath xmlns:mml="http://www.w3.org/1998/Math/MathML">
        <m:sSub>
          <m:e>
            <m:r>
              <w:rPr>
                <w:rFonts w:ascii="Cambria Math" w:hAnsi="Cambria Math" w:eastAsia="Cambria Math" w:cs="Cambria Math"/>
                <w:sz w:val="24"/>
                <w:szCs w:val="24"/>
              </w:rPr>
              <m:t>θ</m:t>
            </m:r>
          </m:e>
          <m:sub>
            <m:r>
              <w:rPr>
                <w:rFonts w:ascii="Cambria Math" w:hAnsi="Cambria Math" w:eastAsia="Cambria Math" w:cs="Cambria Math"/>
                <w:sz w:val="24"/>
                <w:szCs w:val="24"/>
              </w:rPr>
              <m:rPr>
                <m:sty m:val="p"/>
              </m:rPr>
              <m:t>open</m:t>
            </m:r>
          </m:sub>
        </m:sSub>
        <m:r>
          <w:rPr>
            <w:rFonts w:ascii="Cambria Math" w:hAnsi="Cambria Math" w:eastAsia="Cambria Math" w:cs="Cambria Math"/>
            <w:sz w:val="24"/>
            <w:szCs w:val="24"/>
          </w:rPr>
          <m:t>≈</m:t>
        </m:r>
        <m:sSup>
          <m:e>
            <m:r>
              <w:rPr>
                <w:rFonts w:ascii="Cambria Math" w:hAnsi="Cambria Math" w:eastAsia="Cambria Math" w:cs="Cambria Math"/>
                <w:sz w:val="24"/>
                <w:szCs w:val="24"/>
              </w:rPr>
              <m:t>160</m:t>
            </m:r>
          </m:e>
          <m:sup>
            <m:r>
              <w:rPr>
                <w:rFonts w:ascii="Cambria Math" w:hAnsi="Cambria Math" w:eastAsia="Cambria Math" w:cs="Cambria Math"/>
                <w:sz w:val="24"/>
                <w:szCs w:val="24"/>
              </w:rPr>
              <m:t>∘</m:t>
            </m:r>
          </m:sup>
        </m:sSup>
      </m:oMath>
      <w:r>
        <w:rPr>
          <w:b/>
          <w:bCs/>
        </w:rPr>
        <w:t xml:space="preserve"> dan </w:t>
      </w:r>
      <m:oMath xmlns:mml="http://www.w3.org/1998/Math/MathML">
        <m:sSub>
          <m:e>
            <m:r>
              <w:rPr>
                <w:rFonts w:ascii="Cambria Math" w:hAnsi="Cambria Math" w:eastAsia="Cambria Math" w:cs="Cambria Math"/>
                <w:sz w:val="24"/>
                <w:szCs w:val="24"/>
              </w:rPr>
              <m:t>θ</m:t>
            </m:r>
          </m:e>
          <m:sub>
            <m:r>
              <w:rPr>
                <w:rFonts w:ascii="Cambria Math" w:hAnsi="Cambria Math" w:eastAsia="Cambria Math" w:cs="Cambria Math"/>
                <w:sz w:val="24"/>
                <w:szCs w:val="24"/>
              </w:rPr>
              <m:rPr>
                <m:sty m:val="p"/>
              </m:rPr>
              <m:t>close</m:t>
            </m:r>
          </m:sub>
        </m:sSub>
        <m:r>
          <w:rPr>
            <w:rFonts w:ascii="Cambria Math" w:hAnsi="Cambria Math" w:eastAsia="Cambria Math" w:cs="Cambria Math"/>
            <w:sz w:val="24"/>
            <w:szCs w:val="24"/>
          </w:rPr>
          <m:t>≈</m:t>
        </m:r>
        <m:sSup>
          <m:e>
            <m:r>
              <w:rPr>
                <w:rFonts w:ascii="Cambria Math" w:hAnsi="Cambria Math" w:eastAsia="Cambria Math" w:cs="Cambria Math"/>
                <w:sz w:val="24"/>
                <w:szCs w:val="24"/>
              </w:rPr>
              <m:t>140</m:t>
            </m:r>
          </m:e>
          <m:sup>
            <m:r>
              <w:rPr>
                <w:rFonts w:ascii="Cambria Math" w:hAnsi="Cambria Math" w:eastAsia="Cambria Math" w:cs="Cambria Math"/>
                <w:sz w:val="24"/>
                <w:szCs w:val="24"/>
              </w:rPr>
              <m:t>∘</m:t>
            </m:r>
          </m:sup>
        </m:sSup>
      </m:oMath>
      <w:r>
        <w:rPr>
          <w:b/>
          <w:bCs/>
        </w:rPr>
        <w:t xml:space="preserve">. Jika </w:t>
      </w:r>
      <m:oMath xmlns:mml="http://www.w3.org/1998/Math/MathML">
        <m:r>
          <w:rPr>
            <w:rFonts w:ascii="Cambria Math" w:hAnsi="Cambria Math" w:eastAsia="Cambria Math" w:cs="Cambria Math"/>
            <w:sz w:val="24"/>
            <w:szCs w:val="24"/>
          </w:rPr>
          <m:t>θ&gt;</m:t>
        </m:r>
        <m:sSub>
          <m:e>
            <m:r>
              <w:rPr>
                <w:rFonts w:ascii="Cambria Math" w:hAnsi="Cambria Math" w:eastAsia="Cambria Math" w:cs="Cambria Math"/>
                <w:sz w:val="24"/>
                <w:szCs w:val="24"/>
              </w:rPr>
              <m:t>θ</m:t>
            </m:r>
          </m:e>
          <m:sub>
            <m:r>
              <w:rPr>
                <w:rFonts w:ascii="Cambria Math" w:hAnsi="Cambria Math" w:eastAsia="Cambria Math" w:cs="Cambria Math"/>
                <w:sz w:val="24"/>
                <w:szCs w:val="24"/>
              </w:rPr>
              <m:rPr>
                <m:sty m:val="p"/>
              </m:rPr>
              <m:t>open</m:t>
            </m:r>
          </m:sub>
        </m:sSub>
      </m:oMath>
      <w:r>
        <w:rPr>
          <w:b/>
          <w:bCs/>
        </w:rPr>
        <w:t xml:space="preserve"> maka jari terektensi (</w:t>
      </w:r>
      <m:oMath xmlns:mml="http://www.w3.org/1998/Math/MathML">
        <m:sSub>
          <m:e>
            <m:r>
              <w:rPr>
                <w:rFonts w:ascii="Cambria Math" w:hAnsi="Cambria Math" w:eastAsia="Cambria Math" w:cs="Cambria Math"/>
                <w:sz w:val="24"/>
                <w:szCs w:val="24"/>
              </w:rPr>
              <m:t>f</m:t>
            </m:r>
          </m:e>
          <m:sub>
            <m:r>
              <w:rPr>
                <w:rFonts w:ascii="Cambria Math" w:hAnsi="Cambria Math" w:eastAsia="Cambria Math" w:cs="Cambria Math"/>
                <w:sz w:val="24"/>
                <w:szCs w:val="24"/>
              </w:rPr>
              <m:t>i</m:t>
            </m:r>
          </m:sub>
        </m:sSub>
        <m:r>
          <w:rPr>
            <w:rFonts w:ascii="Cambria Math" w:hAnsi="Cambria Math" w:eastAsia="Cambria Math" w:cs="Cambria Math"/>
            <w:sz w:val="24"/>
            <w:szCs w:val="24"/>
          </w:rPr>
          <m:t>=1</m:t>
        </m:r>
      </m:oMath>
      <w:r>
        <w:rPr>
          <w:b/>
          <w:bCs/>
        </w:rPr>
        <w:t xml:space="preserve">); di bawah </w:t>
      </w:r>
      <m:oMath xmlns:mml="http://www.w3.org/1998/Math/MathML">
        <m:sSub>
          <m:e>
            <m:r>
              <w:rPr>
                <w:rFonts w:ascii="Cambria Math" w:hAnsi="Cambria Math" w:eastAsia="Cambria Math" w:cs="Cambria Math"/>
                <w:sz w:val="24"/>
                <w:szCs w:val="24"/>
              </w:rPr>
              <m:t>θ</m:t>
            </m:r>
          </m:e>
          <m:sub>
            <m:r>
              <w:rPr>
                <w:rFonts w:ascii="Cambria Math" w:hAnsi="Cambria Math" w:eastAsia="Cambria Math" w:cs="Cambria Math"/>
                <w:sz w:val="24"/>
                <w:szCs w:val="24"/>
              </w:rPr>
              <m:rPr>
                <m:sty m:val="p"/>
              </m:rPr>
              <m:t>close</m:t>
            </m:r>
          </m:sub>
        </m:sSub>
      </m:oMath>
      <w:r>
        <w:rPr>
          <w:b/>
          <w:bCs/>
        </w:rPr>
        <w:t xml:space="preserve"> maka tertutup (</w:t>
      </w:r>
      <m:oMath xmlns:mml="http://www.w3.org/1998/Math/MathML">
        <m:sSub>
          <m:e>
            <m:r>
              <w:rPr>
                <w:rFonts w:ascii="Cambria Math" w:hAnsi="Cambria Math" w:eastAsia="Cambria Math" w:cs="Cambria Math"/>
                <w:sz w:val="24"/>
                <w:szCs w:val="24"/>
              </w:rPr>
              <m:t>f</m:t>
            </m:r>
          </m:e>
          <m:sub>
            <m:r>
              <w:rPr>
                <w:rFonts w:ascii="Cambria Math" w:hAnsi="Cambria Math" w:eastAsia="Cambria Math" w:cs="Cambria Math"/>
                <w:sz w:val="24"/>
                <w:szCs w:val="24"/>
              </w:rPr>
              <m:t>i</m:t>
            </m:r>
          </m:sub>
        </m:sSub>
        <m:r>
          <w:rPr>
            <w:rFonts w:ascii="Cambria Math" w:hAnsi="Cambria Math" w:eastAsia="Cambria Math" w:cs="Cambria Math"/>
            <w:sz w:val="24"/>
            <w:szCs w:val="24"/>
          </w:rPr>
          <m:t>=0</m:t>
        </m:r>
      </m:oMath>
      <w:r>
        <w:rPr>
          <w:b/>
          <w:bCs/>
        </w:rPr>
        <w:t>):</w:t>
      </w:r>
    </w:p>
    <w:p>
      <w:pPr>
        <w:pStyle w:val="TTPEquation"/>
        <w:tabs>
          <w:tab w:pos="9000" w:val="right"/>
        </w:tabs>
        <w:spacing w:after="60" w:before="60"/>
        <w:jc w:val="left"/>
        <w:rPr>
          <w:lang w:val="en-US"/>
        </w:rPr>
      </w:pPr>
      <m:oMath xmlns:mml="http://www.w3.org/1998/Math/MathML">
        <m:sSub>
          <m:e>
            <m:r>
              <w:rPr>
                <w:rFonts w:ascii="Cambria Math" w:hAnsi="Cambria Math" w:eastAsia="Cambria Math" w:cs="Cambria Math"/>
                <w:sz w:val="24"/>
                <w:szCs w:val="24"/>
              </w:rPr>
              <m:t>f</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r>
          <w:rPr>
            <w:rFonts w:ascii="Cambria Math" w:hAnsi="Cambria Math" w:eastAsia="Cambria Math" w:cs="Cambria Math"/>
            <w:sz w:val="24"/>
            <w:szCs w:val="24"/>
          </w:rPr>
          <m:t>{</m:t>
        </m:r>
        <m:m>
          <m:mPr>
            <m:baseJc m:val="center"/>
            <m:plcHide m:val="on"/>
            <m:mcs>
              <m:mc>
                <m:mcPr>
                  <m:count m:val="2"/>
                  <m:mcJc m:val="center"/>
                </m:mcPr>
              </m:mc>
            </m:mcs>
          </m:mPr>
          <m:mr>
            <m:e>
              <m:r>
                <w:rPr>
                  <w:rFonts w:ascii="Cambria Math" w:hAnsi="Cambria Math" w:eastAsia="Cambria Math" w:cs="Cambria Math"/>
                  <w:sz w:val="24"/>
                  <w:szCs w:val="24"/>
                </w:rPr>
                <m:t>1,</m:t>
              </m:r>
            </m:e>
            <m:e>
              <m:sSub>
                <m:e>
                  <m:r>
                    <w:rPr>
                      <w:rFonts w:ascii="Cambria Math" w:hAnsi="Cambria Math" w:eastAsia="Cambria Math" w:cs="Cambria Math"/>
                      <w:sz w:val="24"/>
                      <w:szCs w:val="24"/>
                    </w:rPr>
                    <m:t>θ</m:t>
                  </m:r>
                </m:e>
                <m:sub>
                  <m:r>
                    <w:rPr>
                      <w:rFonts w:ascii="Cambria Math" w:hAnsi="Cambria Math" w:eastAsia="Cambria Math" w:cs="Cambria Math"/>
                      <w:sz w:val="24"/>
                      <w:szCs w:val="24"/>
                    </w:rPr>
                    <m:t>i</m:t>
                  </m:r>
                </m:sub>
              </m:sSub>
              <m:r>
                <w:rPr>
                  <w:rFonts w:ascii="Cambria Math" w:hAnsi="Cambria Math" w:eastAsia="Cambria Math" w:cs="Cambria Math"/>
                  <w:sz w:val="24"/>
                  <w:szCs w:val="24"/>
                </w:rPr>
                <m:t>&gt;</m:t>
              </m:r>
              <m:sSub>
                <m:e>
                  <m:r>
                    <w:rPr>
                      <w:rFonts w:ascii="Cambria Math" w:hAnsi="Cambria Math" w:eastAsia="Cambria Math" w:cs="Cambria Math"/>
                      <w:sz w:val="24"/>
                      <w:szCs w:val="24"/>
                    </w:rPr>
                    <m:t>θ</m:t>
                  </m:r>
                </m:e>
                <m:sub>
                  <m:r>
                    <w:rPr>
                      <w:rFonts w:ascii="Cambria Math" w:hAnsi="Cambria Math" w:eastAsia="Cambria Math" w:cs="Cambria Math"/>
                      <w:sz w:val="24"/>
                      <w:szCs w:val="24"/>
                    </w:rPr>
                    <m:rPr>
                      <m:sty m:val="p"/>
                    </m:rPr>
                    <m:t>open</m:t>
                  </m:r>
                </m:sub>
              </m:sSub>
            </m:e>
          </m:mr>
          <m:mr>
            <m:e>
              <m:r>
                <w:rPr>
                  <w:rFonts w:ascii="Cambria Math" w:hAnsi="Cambria Math" w:eastAsia="Cambria Math" w:cs="Cambria Math"/>
                  <w:sz w:val="24"/>
                  <w:szCs w:val="24"/>
                </w:rPr>
                <m:t>0,</m:t>
              </m:r>
            </m:e>
            <m:e>
              <m:sSub>
                <m:e>
                  <m:r>
                    <w:rPr>
                      <w:rFonts w:ascii="Cambria Math" w:hAnsi="Cambria Math" w:eastAsia="Cambria Math" w:cs="Cambria Math"/>
                      <w:sz w:val="24"/>
                      <w:szCs w:val="24"/>
                    </w:rPr>
                    <m:t>θ</m:t>
                  </m:r>
                </m:e>
                <m:sub>
                  <m:r>
                    <w:rPr>
                      <w:rFonts w:ascii="Cambria Math" w:hAnsi="Cambria Math" w:eastAsia="Cambria Math" w:cs="Cambria Math"/>
                      <w:sz w:val="24"/>
                      <w:szCs w:val="24"/>
                    </w:rPr>
                    <m:t>i</m:t>
                  </m:r>
                </m:sub>
              </m:sSub>
              <m:r>
                <w:rPr>
                  <w:rFonts w:ascii="Cambria Math" w:hAnsi="Cambria Math" w:eastAsia="Cambria Math" w:cs="Cambria Math"/>
                  <w:sz w:val="24"/>
                  <w:szCs w:val="24"/>
                </w:rPr>
                <m:t>&lt;</m:t>
              </m:r>
              <m:sSub>
                <m:e>
                  <m:r>
                    <w:rPr>
                      <w:rFonts w:ascii="Cambria Math" w:hAnsi="Cambria Math" w:eastAsia="Cambria Math" w:cs="Cambria Math"/>
                      <w:sz w:val="24"/>
                      <w:szCs w:val="24"/>
                    </w:rPr>
                    <m:t>θ</m:t>
                  </m:r>
                </m:e>
                <m:sub>
                  <m:r>
                    <w:rPr>
                      <w:rFonts w:ascii="Cambria Math" w:hAnsi="Cambria Math" w:eastAsia="Cambria Math" w:cs="Cambria Math"/>
                      <w:sz w:val="24"/>
                      <w:szCs w:val="24"/>
                    </w:rPr>
                    <m:rPr>
                      <m:sty m:val="p"/>
                    </m:rPr>
                    <m:t>close</m:t>
                  </m:r>
                </m:sub>
              </m:sSub>
            </m:e>
          </m:mr>
        </m:m>
      </m:oMath>
      <w:r>
        <w:rPr>
          <w:lang w:val="en-US"/>
        </w:rPr>
        <w:t xml:space="preserve"> </w:t>
      </w:r>
      <w:r>
        <w:tab/>
      </w:r>
      <w:r>
        <w:rPr>
          <w:lang w:val="en-US"/>
        </w:rPr>
        <w:t>(9)</w:t>
      </w:r>
    </w:p>
    <w:p>
      <w:pPr>
        <w:pStyle w:val="TTPParagraphothers"/>
      </w:pPr>
      <w:r>
        <w:rPr>
          <w:b/>
          <w:bCs/>
        </w:rPr>
        <w:t xml:space="preserve">Threshold tunggal menyebabkan toggling cepat di dekat batas saat tangan diputar. Diperbaiki dengan histeresis dua batas terpisah, </w:t>
      </w:r>
      <m:oMath xmlns:mml="http://www.w3.org/1998/Math/MathML">
        <m:r>
          <w:rPr>
            <w:rFonts w:ascii="Cambria Math" w:hAnsi="Cambria Math" w:eastAsia="Cambria Math" w:cs="Cambria Math"/>
            <w:sz w:val="24"/>
            <w:szCs w:val="24"/>
          </w:rPr>
          <m:t>het</m:t>
        </m:r>
        <m:sSub>
          <m:e>
            <m:r>
              <w:rPr>
                <w:rFonts w:ascii="Cambria Math" w:hAnsi="Cambria Math" w:eastAsia="Cambria Math" w:cs="Cambria Math"/>
                <w:sz w:val="24"/>
                <w:szCs w:val="24"/>
              </w:rPr>
              <m:t>a</m:t>
            </m:r>
          </m:e>
          <m:sub>
            <m:r>
              <w:rPr>
                <w:rFonts w:ascii="Cambria Math" w:hAnsi="Cambria Math" w:eastAsia="Cambria Math" w:cs="Cambria Math"/>
                <w:sz w:val="24"/>
                <w:szCs w:val="24"/>
              </w:rPr>
              <m:rPr>
                <m:sty m:val="p"/>
              </m:rPr>
              <m:t>high</m:t>
            </m:r>
          </m:sub>
        </m:sSub>
      </m:oMath>
      <w:r>
        <w:rPr>
          <w:b/>
          <w:bCs/>
        </w:rPr>
        <w:t xml:space="preserve"> dan </w:t>
      </w:r>
      <m:oMath xmlns:mml="http://www.w3.org/1998/Math/MathML">
        <m:r>
          <w:rPr>
            <w:rFonts w:ascii="Cambria Math" w:hAnsi="Cambria Math" w:eastAsia="Cambria Math" w:cs="Cambria Math"/>
            <w:sz w:val="24"/>
            <w:szCs w:val="24"/>
          </w:rPr>
          <m:t>het</m:t>
        </m:r>
        <m:sSub>
          <m:e>
            <m:r>
              <w:rPr>
                <w:rFonts w:ascii="Cambria Math" w:hAnsi="Cambria Math" w:eastAsia="Cambria Math" w:cs="Cambria Math"/>
                <w:sz w:val="24"/>
                <w:szCs w:val="24"/>
              </w:rPr>
              <m:t>a</m:t>
            </m:r>
          </m:e>
          <m:sub>
            <m:r>
              <w:rPr>
                <w:rFonts w:ascii="Cambria Math" w:hAnsi="Cambria Math" w:eastAsia="Cambria Math" w:cs="Cambria Math"/>
                <w:sz w:val="24"/>
                <w:szCs w:val="24"/>
              </w:rPr>
              <m:rPr>
                <m:sty m:val="p"/>
              </m:rPr>
              <m:t>low</m:t>
            </m:r>
          </m:sub>
        </m:sSub>
      </m:oMath>
      <w:r>
        <w:rPr>
          <w:b/>
          <w:bCs/>
        </w:rPr>
        <w:t>:</w:t>
      </w:r>
    </w:p>
    <w:p>
      <w:pPr>
        <w:pStyle w:val="TTPEquation"/>
        <w:tabs>
          <w:tab w:pos="9000" w:val="right"/>
        </w:tabs>
        <w:spacing w:after="60" w:before="60"/>
        <w:jc w:val="left"/>
        <w:rPr>
          <w:lang w:val="en-US"/>
        </w:rPr>
      </w:pPr>
      <m:oMath xmlns:mml="http://www.w3.org/1998/Math/MathML">
        <m:sSub>
          <m:e>
            <m:r>
              <w:rPr>
                <w:rFonts w:ascii="Cambria Math" w:hAnsi="Cambria Math" w:eastAsia="Cambria Math" w:cs="Cambria Math"/>
                <w:sz w:val="24"/>
                <w:szCs w:val="24"/>
              </w:rPr>
              <m:t>f</m:t>
            </m:r>
          </m:e>
          <m:sub>
            <m:r>
              <w:rPr>
                <w:rFonts w:ascii="Cambria Math" w:hAnsi="Cambria Math" w:eastAsia="Cambria Math" w:cs="Cambria Math"/>
                <w:sz w:val="24"/>
                <w:szCs w:val="24"/>
              </w:rPr>
              <m:t>i</m:t>
            </m:r>
          </m:sub>
        </m:sSub>
        <m:r>
          <w:rPr>
            <w:rFonts w:ascii="Cambria Math" w:hAnsi="Cambria Math" w:eastAsia="Cambria Math" w:cs="Cambria Math"/>
            <w:sz w:val="24"/>
            <w:szCs w:val="24"/>
          </w:rPr>
          <m:t>(t)=</m:t>
        </m:r>
        <m:r>
          <w:rPr>
            <w:rFonts w:ascii="Cambria Math" w:hAnsi="Cambria Math" w:eastAsia="Cambria Math" w:cs="Cambria Math"/>
            <w:sz w:val="24"/>
            <w:szCs w:val="24"/>
          </w:rPr>
          <m:t>{</m:t>
        </m:r>
        <m:m>
          <m:mPr>
            <m:baseJc m:val="center"/>
            <m:plcHide m:val="on"/>
            <m:mcs>
              <m:mc>
                <m:mcPr>
                  <m:count m:val="2"/>
                  <m:mcJc m:val="center"/>
                </m:mcPr>
              </m:mc>
            </m:mcs>
          </m:mPr>
          <m:mr>
            <m:e>
              <m:r>
                <w:rPr>
                  <w:rFonts w:ascii="Cambria Math" w:hAnsi="Cambria Math" w:eastAsia="Cambria Math" w:cs="Cambria Math"/>
                  <w:sz w:val="24"/>
                  <w:szCs w:val="24"/>
                </w:rPr>
                <m:t>1,</m:t>
              </m:r>
            </m:e>
            <m:e>
              <m:sSub>
                <m:e>
                  <m:r>
                    <w:rPr>
                      <w:rFonts w:ascii="Cambria Math" w:hAnsi="Cambria Math" w:eastAsia="Cambria Math" w:cs="Cambria Math"/>
                      <w:sz w:val="24"/>
                      <w:szCs w:val="24"/>
                    </w:rPr>
                    <m:t>θ</m:t>
                  </m:r>
                </m:e>
                <m:sub>
                  <m:r>
                    <w:rPr>
                      <w:rFonts w:ascii="Cambria Math" w:hAnsi="Cambria Math" w:eastAsia="Cambria Math" w:cs="Cambria Math"/>
                      <w:sz w:val="24"/>
                      <w:szCs w:val="24"/>
                    </w:rPr>
                    <m:t>i</m:t>
                  </m:r>
                </m:sub>
              </m:sSub>
              <m:r>
                <w:rPr>
                  <w:rFonts w:ascii="Cambria Math" w:hAnsi="Cambria Math" w:eastAsia="Cambria Math" w:cs="Cambria Math"/>
                  <w:sz w:val="24"/>
                  <w:szCs w:val="24"/>
                </w:rPr>
                <m:t>&gt;</m:t>
              </m:r>
              <m:sSub>
                <m:e>
                  <m:r>
                    <w:rPr>
                      <w:rFonts w:ascii="Cambria Math" w:hAnsi="Cambria Math" w:eastAsia="Cambria Math" w:cs="Cambria Math"/>
                      <w:sz w:val="24"/>
                      <w:szCs w:val="24"/>
                    </w:rPr>
                    <m:t>θ</m:t>
                  </m:r>
                </m:e>
                <m:sub>
                  <m:r>
                    <w:rPr>
                      <w:rFonts w:ascii="Cambria Math" w:hAnsi="Cambria Math" w:eastAsia="Cambria Math" w:cs="Cambria Math"/>
                      <w:sz w:val="24"/>
                      <w:szCs w:val="24"/>
                    </w:rPr>
                    <m:rPr>
                      <m:sty m:val="p"/>
                    </m:rPr>
                    <m:t>high</m:t>
                  </m:r>
                </m:sub>
              </m:sSub>
            </m:e>
          </m:mr>
          <m:mr>
            <m:e>
              <m:r>
                <w:rPr>
                  <w:rFonts w:ascii="Cambria Math" w:hAnsi="Cambria Math" w:eastAsia="Cambria Math" w:cs="Cambria Math"/>
                  <w:sz w:val="24"/>
                  <w:szCs w:val="24"/>
                </w:rPr>
                <m:t>0,</m:t>
              </m:r>
            </m:e>
            <m:e>
              <m:sSub>
                <m:e>
                  <m:r>
                    <w:rPr>
                      <w:rFonts w:ascii="Cambria Math" w:hAnsi="Cambria Math" w:eastAsia="Cambria Math" w:cs="Cambria Math"/>
                      <w:sz w:val="24"/>
                      <w:szCs w:val="24"/>
                    </w:rPr>
                    <m:t>θ</m:t>
                  </m:r>
                </m:e>
                <m:sub>
                  <m:r>
                    <w:rPr>
                      <w:rFonts w:ascii="Cambria Math" w:hAnsi="Cambria Math" w:eastAsia="Cambria Math" w:cs="Cambria Math"/>
                      <w:sz w:val="24"/>
                      <w:szCs w:val="24"/>
                    </w:rPr>
                    <m:t>i</m:t>
                  </m:r>
                </m:sub>
              </m:sSub>
              <m:r>
                <w:rPr>
                  <w:rFonts w:ascii="Cambria Math" w:hAnsi="Cambria Math" w:eastAsia="Cambria Math" w:cs="Cambria Math"/>
                  <w:sz w:val="24"/>
                  <w:szCs w:val="24"/>
                </w:rPr>
                <m:t>&lt;</m:t>
              </m:r>
              <m:sSub>
                <m:e>
                  <m:r>
                    <w:rPr>
                      <w:rFonts w:ascii="Cambria Math" w:hAnsi="Cambria Math" w:eastAsia="Cambria Math" w:cs="Cambria Math"/>
                      <w:sz w:val="24"/>
                      <w:szCs w:val="24"/>
                    </w:rPr>
                    <m:t>θ</m:t>
                  </m:r>
                </m:e>
                <m:sub>
                  <m:r>
                    <w:rPr>
                      <w:rFonts w:ascii="Cambria Math" w:hAnsi="Cambria Math" w:eastAsia="Cambria Math" w:cs="Cambria Math"/>
                      <w:sz w:val="24"/>
                      <w:szCs w:val="24"/>
                    </w:rPr>
                    <m:rPr>
                      <m:sty m:val="p"/>
                    </m:rPr>
                    <m:t>low</m:t>
                  </m:r>
                </m:sub>
              </m:sSub>
            </m:e>
          </m:mr>
          <m:mr>
            <m:e>
              <m:sSub>
                <m:e>
                  <m:r>
                    <w:rPr>
                      <w:rFonts w:ascii="Cambria Math" w:hAnsi="Cambria Math" w:eastAsia="Cambria Math" w:cs="Cambria Math"/>
                      <w:sz w:val="24"/>
                      <w:szCs w:val="24"/>
                    </w:rPr>
                    <m:t>f</m:t>
                  </m:r>
                </m:e>
                <m:sub>
                  <m:r>
                    <w:rPr>
                      <w:rFonts w:ascii="Cambria Math" w:hAnsi="Cambria Math" w:eastAsia="Cambria Math" w:cs="Cambria Math"/>
                      <w:sz w:val="24"/>
                      <w:szCs w:val="24"/>
                    </w:rPr>
                    <m:t>i</m:t>
                  </m:r>
                </m:sub>
              </m:sSub>
              <m:r>
                <w:rPr>
                  <w:rFonts w:ascii="Cambria Math" w:hAnsi="Cambria Math" w:eastAsia="Cambria Math" w:cs="Cambria Math"/>
                  <w:sz w:val="24"/>
                  <w:szCs w:val="24"/>
                </w:rPr>
                <m:t>(t−1),</m:t>
              </m:r>
            </m:e>
            <m:e>
              <m:r>
                <w:rPr>
                  <w:rFonts w:ascii="Cambria Math" w:hAnsi="Cambria Math" w:eastAsia="Cambria Math" w:cs="Cambria Math"/>
                  <w:sz w:val="24"/>
                  <w:szCs w:val="24"/>
                </w:rPr>
                <m:rPr>
                  <m:sty m:val="p"/>
                </m:rPr>
                <m:t>otherwise</m:t>
              </m:r>
            </m:e>
          </m:mr>
        </m:m>
      </m:oMath>
      <w:r>
        <w:rPr>
          <w:lang w:val="en-US"/>
        </w:rPr>
        <w:t xml:space="preserve"> </w:t>
      </w:r>
      <w:r>
        <w:tab/>
      </w:r>
      <w:r>
        <w:rPr>
          <w:lang w:val="en-US"/>
        </w:rPr>
        <w:t>(10)</w:t>
      </w:r>
    </w:p>
    <w:p>
      <w:pPr>
        <w:pStyle w:val="TTPParagraphothers"/>
      </w:pPr>
      <w:r>
        <w:rPr>
          <w:b/>
          <w:bCs/>
        </w:rPr>
        <w:t xml:space="preserve">Di atas histeresis, voting mayoritas sliding-window menghaluskan output di sepanjang </w:t>
      </w:r>
      <m:oMath xmlns:mml="http://www.w3.org/1998/Math/MathML">
        <m:r>
          <w:rPr>
            <w:rFonts w:ascii="Cambria Math" w:hAnsi="Cambria Math" w:eastAsia="Cambria Math" w:cs="Cambria Math"/>
            <w:sz w:val="24"/>
            <w:szCs w:val="24"/>
          </w:rPr>
          <m:t>N</m:t>
        </m:r>
      </m:oMath>
      <w:r>
        <w:rPr>
          <w:b/>
          <w:bCs/>
        </w:rPr>
        <w:t xml:space="preserve"> frame terakhir:</w:t>
      </w:r>
    </w:p>
    <w:p>
      <w:pPr>
        <w:pStyle w:val="TTPEquation"/>
        <w:tabs>
          <w:tab w:pos="9000" w:val="right"/>
        </w:tabs>
        <w:spacing w:after="60" w:before="60"/>
        <w:jc w:val="left"/>
        <w:rPr>
          <w:lang w:val="en-US"/>
        </w:rPr>
      </w:pPr>
      <m:oMath xmlns:mml="http://www.w3.org/1998/Math/MathML">
        <m:sSub>
          <m:e>
            <m:r>
              <w:rPr>
                <w:rFonts w:ascii="Cambria Math" w:hAnsi="Cambria Math" w:eastAsia="Cambria Math" w:cs="Cambria Math"/>
                <w:sz w:val="24"/>
                <w:szCs w:val="24"/>
              </w:rPr>
              <m:t>F</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f>
          <m:fPr>
            <m:type m:val="bar"/>
          </m:fPr>
          <m:num>
            <m:r>
              <w:rPr>
                <w:rFonts w:ascii="Cambria Math" w:hAnsi="Cambria Math" w:eastAsia="Cambria Math" w:cs="Cambria Math"/>
                <w:sz w:val="24"/>
                <w:szCs w:val="24"/>
              </w:rPr>
              <m:t>1</m:t>
            </m:r>
          </m:num>
          <m:den>
            <m:r>
              <w:rPr>
                <w:rFonts w:ascii="Cambria Math" w:hAnsi="Cambria Math" w:eastAsia="Cambria Math" w:cs="Cambria Math"/>
                <w:sz w:val="24"/>
                <w:szCs w:val="24"/>
              </w:rPr>
              <m:t>N</m:t>
            </m:r>
          </m:den>
        </m:f>
        <m:nary>
          <m:naryPr>
            <m:chr m:val="∑"/>
            <m:limLoc m:val="subSup"/>
            <m:grow m:val="1"/>
            <m:subHide m:val="off"/>
            <m:supHide m:val="off"/>
          </m:naryPr>
          <m:sub>
            <m:r>
              <w:rPr>
                <w:rFonts w:ascii="Cambria Math" w:hAnsi="Cambria Math" w:eastAsia="Cambria Math" w:cs="Cambria Math"/>
                <w:sz w:val="24"/>
                <w:szCs w:val="24"/>
              </w:rPr>
              <m:t>k=0</m:t>
            </m:r>
          </m:sub>
          <m:sup>
            <m:r>
              <w:rPr>
                <w:rFonts w:ascii="Cambria Math" w:hAnsi="Cambria Math" w:eastAsia="Cambria Math" w:cs="Cambria Math"/>
                <w:sz w:val="24"/>
                <w:szCs w:val="24"/>
              </w:rPr>
              <m:t>N−1</m:t>
            </m:r>
          </m:sup>
          <m:e>
            <m:sSub>
              <m:e>
                <m:r>
                  <w:rPr>
                    <w:rFonts w:ascii="Cambria Math" w:hAnsi="Cambria Math" w:eastAsia="Cambria Math" w:cs="Cambria Math"/>
                    <w:sz w:val="24"/>
                    <w:szCs w:val="24"/>
                  </w:rPr>
                  <m:t>f</m:t>
                </m:r>
              </m:e>
              <m:sub>
                <m:r>
                  <w:rPr>
                    <w:rFonts w:ascii="Cambria Math" w:hAnsi="Cambria Math" w:eastAsia="Cambria Math" w:cs="Cambria Math"/>
                    <w:sz w:val="24"/>
                    <w:szCs w:val="24"/>
                  </w:rPr>
                  <m:t>i</m:t>
                </m:r>
              </m:sub>
            </m:sSub>
            <m:r>
              <w:rPr>
                <w:rFonts w:ascii="Cambria Math" w:hAnsi="Cambria Math" w:eastAsia="Cambria Math" w:cs="Cambria Math"/>
                <w:sz w:val="24"/>
                <w:szCs w:val="24"/>
              </w:rPr>
              <m:t>(t−k)</m:t>
            </m:r>
          </m:e>
        </m:nary>
      </m:oMath>
      <w:r>
        <w:rPr>
          <w:lang w:val="en-US"/>
        </w:rPr>
        <w:t xml:space="preserve"> </w:t>
      </w:r>
      <w:r>
        <w:tab/>
      </w:r>
      <w:r>
        <w:rPr>
          <w:lang w:val="en-US"/>
        </w:rPr>
        <w:t>(11)</w:t>
      </w:r>
    </w:p>
    <w:p>
      <w:pPr>
        <w:pStyle w:val="TTPParagraphothers"/>
      </w:pPr>
      <w:r>
        <w:rPr>
          <w:b/>
          <w:bCs/>
        </w:rPr>
        <w:t xml:space="preserve">Output biner final </w:t>
      </w:r>
      <m:oMath xmlns:mml="http://www.w3.org/1998/Math/MathML">
        <m:sSub>
          <m:e>
            <m:acc>
              <m:accPr>
                <m:chr m:val="̂"/>
              </m:accPr>
              <m:e>
                <m:r>
                  <w:rPr>
                    <w:rFonts w:ascii="Cambria Math" w:hAnsi="Cambria Math" w:eastAsia="Cambria Math" w:cs="Cambria Math"/>
                    <w:sz w:val="24"/>
                    <w:szCs w:val="24"/>
                  </w:rPr>
                  <m:t>f</m:t>
                </m:r>
              </m:e>
            </m:acc>
          </m:e>
          <m:sub>
            <m:r>
              <w:rPr>
                <w:rFonts w:ascii="Cambria Math" w:hAnsi="Cambria Math" w:eastAsia="Cambria Math" w:cs="Cambria Math"/>
                <w:sz w:val="24"/>
                <w:szCs w:val="24"/>
              </w:rPr>
              <m:t>i</m:t>
            </m:r>
          </m:sub>
        </m:sSub>
      </m:oMath>
      <w:r>
        <w:rPr>
          <w:b/>
          <w:bCs/>
        </w:rPr>
        <w:t xml:space="preserve"> bernilai 1 hanya jika lebih dari fraksi </w:t>
      </w:r>
      <m:oMath xmlns:mml="http://www.w3.org/1998/Math/MathML">
        <m:r>
          <w:rPr>
            <w:rFonts w:ascii="Cambria Math" w:hAnsi="Cambria Math" w:eastAsia="Cambria Math" w:cs="Cambria Math"/>
            <w:sz w:val="24"/>
            <w:szCs w:val="24"/>
          </w:rPr>
          <m:t>T</m:t>
        </m:r>
      </m:oMath>
      <w:r>
        <w:rPr>
          <w:b/>
          <w:bCs/>
        </w:rPr>
        <w:t xml:space="preserve"> dari frame terbaru menyetujui bahwa jari terektensi:</w:t>
      </w:r>
    </w:p>
    <w:p>
      <w:pPr>
        <w:pStyle w:val="TTPEquation"/>
        <w:tabs>
          <w:tab w:pos="9000" w:val="right"/>
        </w:tabs>
        <w:spacing w:after="60" w:before="60"/>
        <w:jc w:val="left"/>
        <w:rPr>
          <w:lang w:val="en-US"/>
        </w:rPr>
      </w:pPr>
      <m:oMath xmlns:mml="http://www.w3.org/1998/Math/MathML">
        <m:sSub>
          <m:e>
            <m:acc>
              <m:accPr>
                <m:chr m:val="̂"/>
              </m:accPr>
              <m:e>
                <m:r>
                  <w:rPr>
                    <w:rFonts w:ascii="Cambria Math" w:hAnsi="Cambria Math" w:eastAsia="Cambria Math" w:cs="Cambria Math"/>
                    <w:sz w:val="24"/>
                    <w:szCs w:val="24"/>
                  </w:rPr>
                  <m:t>f</m:t>
                </m:r>
              </m:e>
            </m:acc>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r>
          <w:rPr>
            <w:rFonts w:ascii="Cambria Math" w:hAnsi="Cambria Math" w:eastAsia="Cambria Math" w:cs="Cambria Math"/>
            <w:sz w:val="24"/>
            <w:szCs w:val="24"/>
          </w:rPr>
          <m:t>{</m:t>
        </m:r>
        <m:m>
          <m:mPr>
            <m:baseJc m:val="center"/>
            <m:plcHide m:val="on"/>
            <m:mcs>
              <m:mc>
                <m:mcPr>
                  <m:count m:val="2"/>
                  <m:mcJc m:val="center"/>
                </m:mcPr>
              </m:mc>
            </m:mcs>
          </m:mPr>
          <m:mr>
            <m:e>
              <m:r>
                <w:rPr>
                  <w:rFonts w:ascii="Cambria Math" w:hAnsi="Cambria Math" w:eastAsia="Cambria Math" w:cs="Cambria Math"/>
                  <w:sz w:val="24"/>
                  <w:szCs w:val="24"/>
                </w:rPr>
                <m:t>1,</m:t>
              </m:r>
            </m:e>
            <m:e>
              <m:sSub>
                <m:e>
                  <m:r>
                    <w:rPr>
                      <w:rFonts w:ascii="Cambria Math" w:hAnsi="Cambria Math" w:eastAsia="Cambria Math" w:cs="Cambria Math"/>
                      <w:sz w:val="24"/>
                      <w:szCs w:val="24"/>
                    </w:rPr>
                    <m:t>F</m:t>
                  </m:r>
                </m:e>
                <m:sub>
                  <m:r>
                    <w:rPr>
                      <w:rFonts w:ascii="Cambria Math" w:hAnsi="Cambria Math" w:eastAsia="Cambria Math" w:cs="Cambria Math"/>
                      <w:sz w:val="24"/>
                      <w:szCs w:val="24"/>
                    </w:rPr>
                    <m:t>i</m:t>
                  </m:r>
                </m:sub>
              </m:sSub>
              <m:r>
                <w:rPr>
                  <w:rFonts w:ascii="Cambria Math" w:hAnsi="Cambria Math" w:eastAsia="Cambria Math" w:cs="Cambria Math"/>
                  <w:sz w:val="24"/>
                  <w:szCs w:val="24"/>
                </w:rPr>
                <m:t>&gt;T</m:t>
              </m:r>
            </m:e>
          </m:mr>
          <m:mr>
            <m:e>
              <m:r>
                <w:rPr>
                  <w:rFonts w:ascii="Cambria Math" w:hAnsi="Cambria Math" w:eastAsia="Cambria Math" w:cs="Cambria Math"/>
                  <w:sz w:val="24"/>
                  <w:szCs w:val="24"/>
                </w:rPr>
                <m:t>0,</m:t>
              </m:r>
            </m:e>
            <m:e>
              <m:r>
                <w:rPr>
                  <w:rFonts w:ascii="Cambria Math" w:hAnsi="Cambria Math" w:eastAsia="Cambria Math" w:cs="Cambria Math"/>
                  <w:sz w:val="24"/>
                  <w:szCs w:val="24"/>
                </w:rPr>
                <m:rPr>
                  <m:sty m:val="p"/>
                </m:rPr>
                <m:t>otherwise</m:t>
              </m:r>
            </m:e>
          </m:mr>
        </m:m>
      </m:oMath>
      <w:r>
        <w:rPr>
          <w:lang w:val="en-US"/>
        </w:rPr>
        <w:t xml:space="preserve"> </w:t>
      </w:r>
      <w:r>
        <w:tab/>
      </w:r>
      <w:r>
        <w:rPr>
          <w:lang w:val="en-US"/>
        </w:rPr>
        <w:t>(12)</w:t>
      </w:r>
    </w:p>
    <w:p>
      <w:pPr>
        <w:pStyle w:val="TTPParagraphothers"/>
      </w:pPr>
      <w:r>
        <w:rPr>
          <w:b/>
          <w:bCs/>
        </w:rPr>
        <w:t xml:space="preserve">Histeresis ditambah voting berjendela memangkas false-trigger mendekati nol pada kondisi normal. Trade-off-nya: latensi. Pada </w:t>
      </w:r>
      <m:oMath xmlns:mml="http://www.w3.org/1998/Math/MathML">
        <m:r>
          <w:rPr>
            <w:rFonts w:ascii="Cambria Math" w:hAnsi="Cambria Math" w:eastAsia="Cambria Math" w:cs="Cambria Math"/>
            <w:sz w:val="24"/>
            <w:szCs w:val="24"/>
          </w:rPr>
          <m:t>N=5</m:t>
        </m:r>
      </m:oMath>
      <w:r>
        <w:rPr>
          <w:b/>
          <w:bCs/>
        </w:rPr>
        <w:t xml:space="preserve"> dan 30 fps, debounce menambahkan ~83 ms, karena gestur biasanya stabil dalam 2-3 frame. Array biner </w:t>
      </w:r>
      <m:oMath xmlns:mml="http://www.w3.org/1998/Math/MathML">
        <m:sSub>
          <m:e>
            <m:acc>
              <m:accPr>
                <m:chr m:val="̂"/>
              </m:accPr>
              <m:e>
                <m:r>
                  <w:rPr>
                    <w:rFonts w:ascii="Cambria Math" w:hAnsi="Cambria Math" w:eastAsia="Cambria Math" w:cs="Cambria Math"/>
                    <w:sz w:val="24"/>
                    <w:szCs w:val="24"/>
                  </w:rPr>
                  <m:t>f</m:t>
                </m:r>
              </m:e>
            </m:acc>
          </m:e>
          <m:sub>
            <m:r>
              <w:rPr>
                <w:rFonts w:ascii="Cambria Math" w:hAnsi="Cambria Math" w:eastAsia="Cambria Math" w:cs="Cambria Math"/>
                <w:sz w:val="24"/>
                <w:szCs w:val="24"/>
              </w:rPr>
              <m:t>i</m:t>
            </m:r>
          </m:sub>
        </m:sSub>
      </m:oMath>
      <w:r>
        <w:rPr>
          <w:b/>
          <w:bCs/>
        </w:rPr>
        <w:t xml:space="preserve"> kemudian diantrikan untuk penulisan Modbus FC15.</w:t>
      </w:r>
    </w:p>
    <w:p>
      <w:pPr>
        <w:pStyle w:val="TTPParagraph1st"/>
      </w:pPr>
      <w:r>
        <w:rPr>
          <w:b/>
          <w:bCs/>
        </w:rPr>
        <w:t>Integrasi MediaPipe dan Pymodbus.</w:t>
      </w:r>
      <w:r>
        <w:t xml:space="preserve"> </w:t>
      </w:r>
      <w: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Times New Roman" w:hAnsi="Times New Roman" w:eastAsia="Times New Roman" w:cs="Times New Roman"/>
          <w:b/>
          <w:i w:val="0"/>
          <w:sz w:val="20"/>
        </w:rPr>
        <w:t>Table I. Pemetaan Gestur ke Coil Modbus</w:t>
      </w:r>
    </w:p>
    <w:tbl>
      <w:tblPr>
        <w:tblW w:type="auto" w:w="0"/>
        <w:tblLayout w:type="autofit"/>
        <w:tblLook w:firstColumn="1" w:firstRow="1" w:lastColumn="0" w:lastRow="0" w:noHBand="0" w:noVBand="1" w:val="04A0"/>
        <w:jc w:val="center"/>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2410"/>
        <w:gridCol w:w="2410"/>
        <w:gridCol w:w="2410"/>
        <w:gridCol w:w="2410"/>
      </w:tblGrid>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Gestur</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Jumlah Jari</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State Coil Modbus</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Output PLC</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Kepalan Tangan</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M200=0, M201=0, M202=0, M203=0</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Q0-Q3=OFF</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 Jari (Telunjuk)</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M200=1, M201=0, M202=0, M203=0</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Q0=ON</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 Jari (Peace)</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M200=1, M201=1, M202=0, M203=0</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Q0-Q1=ON</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 Jari</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M200=1, M201=1, M202=1, M203=0</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Q0-Q2=ON</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4 Jari</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4</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M200=1, M201=1, M202=1, M203=1</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Q0-Q3=ON</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5 Jari (Telapak)</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5</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M200=1, M201=1, M202=1, M203=1</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Q0-Q3=ON (Semua)</w:t>
            </w:r>
          </w:p>
        </w:tc>
      </w:tr>
    </w:tbl>
    <w:p>
      <w:pPr>
        <w:pStyle w:val="TTPParagraphothers"/>
      </w:pPr>
      <w:r>
        <w:rPr>
          <w:b/>
          <w:bCs/>
        </w:rPr>
        <w:t>PLCGui menjalankan ketiga thread. Saat gestur dikonfirmasi oleh filter debounce, pola coil ditulis ke PLC via PyModbus dan setiap hasil dicatat dalam log. LED panel depan PLC sesuai dengan indikator GUI setiap penulisan berhasil.</w:t>
      </w:r>
    </w:p>
    <w:p>
      <w:pPr>
        <w:spacing w:before="60" w:after="60"/>
        <w:jc w:val="center"/>
      </w:pPr>
      <w:r>
        <w:rPr>
          <w:rFonts w:ascii="Times New Roman" w:hAnsi="Times New Roman" w:eastAsia="Times New Roman" w:cs="Times New Roman"/>
          <w:i/>
          <w:sz w:val="20"/>
        </w:rPr>
        <w:t>[Figure content is not provided in the source JSON.]</w:t>
      </w:r>
    </w:p>
    <w:p>
      <w:pPr>
        <w:spacing w:before="60" w:after="120"/>
        <w:jc w:val="center"/>
      </w:pPr>
      <w:r>
        <w:rPr>
          <w:rFonts w:ascii="Times New Roman" w:hAnsi="Times New Roman" w:eastAsia="Times New Roman" w:cs="Times New Roman"/>
          <w:b w:val="0"/>
          <w:i w:val="0"/>
          <w:sz w:val="20"/>
        </w:rPr>
        <w:t>Fig. 8. Setup Hardware Laboratorium Lengkap</w:t>
      </w:r>
    </w:p>
    <w:p>
      <w:pPr>
        <w:pStyle w:val="TTPParagraphothers"/>
      </w:pPr>
      <w:r>
        <w:rPr>
          <w:b/>
          <w:bCs/>
        </w:rPr>
        <w:t>Rig pengujian terlihat pada Gbr. 8. Webcam pada tripod menghadap tangan operator, kabel Cat-5e langsung ke panel PLC.</w:t>
      </w:r>
    </w:p>
    <w:p>
      <w:pPr>
        <w:pStyle w:val="TTPSectionHeading"/>
      </w:pPr>
      <w:r>
        <w:t>HASIL EKSPERIMEN</w:t>
      </w:r>
    </w:p>
    <w:p>
      <w:pPr>
        <w:pStyle w:val="TTPParagraph1st"/>
      </w:pPr>
      <w:r>
        <w:rPr>
          <w:b/>
          <w:bCs/>
        </w:rPr>
        <w:t>Akurasi Deteksi Gestur.</w:t>
      </w:r>
      <w:r>
        <w:t xml:space="preserve"> </w:t>
      </w:r>
      <w: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Times New Roman" w:hAnsi="Times New Roman" w:eastAsia="Times New Roman" w:cs="Times New Roman"/>
          <w:b/>
          <w:i w:val="0"/>
          <w:sz w:val="20"/>
        </w:rPr>
        <w:t>Table II. Performa Klasifikasi Gestur pada 300 Lux</w:t>
      </w:r>
    </w:p>
    <w:tbl>
      <w:tblPr>
        <w:tblW w:type="auto" w:w="0"/>
        <w:tblLayout w:type="autofit"/>
        <w:tblLook w:firstColumn="1" w:firstRow="1" w:lastColumn="0" w:lastRow="0" w:noHBand="0" w:noVBand="1" w:val="04A0"/>
        <w:jc w:val="center"/>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1606"/>
        <w:gridCol w:w="1606"/>
        <w:gridCol w:w="1606"/>
        <w:gridCol w:w="1606"/>
        <w:gridCol w:w="1606"/>
        <w:gridCol w:w="1606"/>
      </w:tblGrid>
      <w:tr>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Gestur</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Sampel</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Benar</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Presisi (%)</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Recall (%)</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Skor F1 (%)</w:t>
            </w:r>
          </w:p>
        </w:tc>
      </w:tr>
      <w:tr>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 jari (Kepalan)</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100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97</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98,0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97,0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97,5</w:t>
            </w:r>
          </w:p>
        </w:tc>
      </w:tr>
      <w:tr>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 jari (Telunjuk)</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100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95</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96,9</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95,0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95,9</w:t>
            </w:r>
          </w:p>
        </w:tc>
      </w:tr>
      <w:tr>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 jari (Peace)</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100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94</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95,9</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94,0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94,9</w:t>
            </w:r>
          </w:p>
        </w:tc>
      </w:tr>
      <w:tr>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 jari</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100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93</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94,9</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93,0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93,9</w:t>
            </w:r>
          </w:p>
        </w:tc>
      </w:tr>
      <w:tr>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4 jari</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100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92</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93,9</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92,0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92,9</w:t>
            </w:r>
          </w:p>
        </w:tc>
      </w:tr>
      <w:tr>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5 jari (Telapak Terbuka)</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100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98</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97,0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98,0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97,5</w:t>
            </w:r>
          </w:p>
        </w:tc>
      </w:tr>
      <w:tr>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\bRata-rata Keseluruhan (Makro)\b</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600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569</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\b96,1\b</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\b94,8\b</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\b95,4\b</w:t>
            </w:r>
          </w:p>
        </w:tc>
      </w:tr>
    </w:tbl>
    <w:p>
      <w:pPr>
        <w:pStyle w:val="TTPParagraphothers"/>
      </w:pPr>
      <w:r>
        <w:rPr>
          <w:b/>
          <w:bCs/>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Times New Roman" w:hAnsi="Times New Roman" w:eastAsia="Times New Roman" w:cs="Times New Roman"/>
          <w:b/>
          <w:i w:val="0"/>
          <w:sz w:val="20"/>
        </w:rPr>
        <w:t>Table III. Matriks Konfusi pada 300 Lux (n=100 per kelas)</w:t>
      </w:r>
    </w:p>
    <w:tbl>
      <w:tblPr>
        <w:tblW w:type="auto" w:w="0"/>
        <w:tblLayout w:type="autofit"/>
        <w:tblLook w:firstColumn="1" w:firstRow="1" w:lastColumn="0" w:lastRow="0" w:noHBand="0" w:noVBand="1" w:val="04A0"/>
        <w:jc w:val="center"/>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1377"/>
        <w:gridCol w:w="1377"/>
        <w:gridCol w:w="1377"/>
        <w:gridCol w:w="1377"/>
        <w:gridCol w:w="1377"/>
        <w:gridCol w:w="1377"/>
        <w:gridCol w:w="1377"/>
      </w:tblGrid>
      <w:tr>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Aktual \ Prediksi</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0 (Kepalan)</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1 (Telunjuk)</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2 (Peace)</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3</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4</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5 (Telapak)</w:t>
            </w:r>
          </w:p>
        </w:tc>
      </w:tr>
      <w:tr>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 (Kepalan)</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97</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w:t>
            </w:r>
          </w:p>
        </w:tc>
      </w:tr>
      <w:tr>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 (Telunjuk)</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95</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w:t>
            </w:r>
          </w:p>
        </w:tc>
      </w:tr>
      <w:tr>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 (Peace)</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94</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5</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r>
      <w:tr>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4</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93</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r>
      <w:tr>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4</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92</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6</w:t>
            </w:r>
          </w:p>
        </w:tc>
      </w:tr>
      <w:tr>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5 (Telapak)</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98</w:t>
            </w:r>
          </w:p>
        </w:tc>
      </w:tr>
    </w:tbl>
    <w:p>
      <w:pPr>
        <w:pStyle w:val="TTPParagraphothers"/>
      </w:pPr>
      <w:r>
        <w:rPr>
          <w:b/>
          <w:bCs/>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60" w:after="60"/>
        <w:jc w:val="center"/>
      </w:pPr>
      <w:r>
        <w:rPr>
          <w:rFonts w:ascii="Times New Roman" w:hAnsi="Times New Roman" w:eastAsia="Times New Roman" w:cs="Times New Roman"/>
          <w:i/>
          <w:sz w:val="20"/>
        </w:rPr>
        <w:t>[Figure content is not provided in the source JSON.]</w:t>
      </w:r>
    </w:p>
    <w:p>
      <w:pPr>
        <w:spacing w:before="60" w:after="120"/>
        <w:jc w:val="center"/>
      </w:pPr>
      <w:r>
        <w:rPr>
          <w:rFonts w:ascii="Times New Roman" w:hAnsi="Times New Roman" w:eastAsia="Times New Roman" w:cs="Times New Roman"/>
          <w:b w:val="0"/>
          <w:i w:val="0"/>
          <w:sz w:val="20"/>
        </w:rPr>
        <w:t>Fig. 9. Heatmap Matriks Konfusi</w:t>
      </w:r>
    </w:p>
    <w:p>
      <w:pPr>
        <w:pStyle w:val="TTPParagraphothers"/>
      </w:pPr>
      <w:r>
        <w:rPr>
          <w:b/>
          <w:bCs/>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60" w:after="60"/>
        <w:jc w:val="center"/>
      </w:pPr>
      <w:r>
        <w:rPr>
          <w:rFonts w:ascii="Times New Roman" w:hAnsi="Times New Roman" w:eastAsia="Times New Roman" w:cs="Times New Roman"/>
          <w:i/>
          <w:sz w:val="20"/>
        </w:rPr>
        <w:t>[Figure content is not provided in the source JSON.]</w:t>
      </w:r>
    </w:p>
    <w:p>
      <w:pPr>
        <w:spacing w:before="60" w:after="120"/>
        <w:jc w:val="center"/>
      </w:pPr>
      <w:r>
        <w:rPr>
          <w:rFonts w:ascii="Times New Roman" w:hAnsi="Times New Roman" w:eastAsia="Times New Roman" w:cs="Times New Roman"/>
          <w:b w:val="0"/>
          <w:i w:val="0"/>
          <w:sz w:val="20"/>
        </w:rPr>
        <w:t>Fig. 10. Skor F1 pada Tiga Kondisi Pencahayaan</w:t>
      </w:r>
    </w:p>
    <w:p>
      <w:pPr>
        <w:pStyle w:val="TTPParagraphothers"/>
      </w:pPr>
      <w:r>
        <w:rPr>
          <w:b/>
          <w:bCs/>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60" w:after="60"/>
        <w:jc w:val="center"/>
      </w:pPr>
      <w:r>
        <w:rPr>
          <w:rFonts w:ascii="Times New Roman" w:hAnsi="Times New Roman" w:eastAsia="Times New Roman" w:cs="Times New Roman"/>
          <w:i/>
          <w:sz w:val="20"/>
        </w:rPr>
        <w:t>[Figure content is not provided in the source JSON.]</w:t>
      </w:r>
    </w:p>
    <w:p>
      <w:pPr>
        <w:spacing w:before="60" w:after="120"/>
        <w:jc w:val="center"/>
      </w:pPr>
      <w:r>
        <w:rPr>
          <w:rFonts w:ascii="Times New Roman" w:hAnsi="Times New Roman" w:eastAsia="Times New Roman" w:cs="Times New Roman"/>
          <w:b w:val="0"/>
          <w:i w:val="0"/>
          <w:sz w:val="20"/>
        </w:rPr>
        <w:t>Fig. 11. Presisi, Recall, Skor F1 per Kelas pada 300 Lux</w:t>
      </w:r>
    </w:p>
    <w:p>
      <w:pPr>
        <w:pStyle w:val="TTPParagraphothers"/>
      </w:pPr>
      <w:r>
        <w:rPr>
          <w:b/>
          <w:bCs/>
        </w:rPr>
        <w:t>Presisi dan recall pada 300 lux (Gbr. 11) saling berdekatan untuk keenam kelas. Kepalan dan telapak terbuka tertinggi karena keduanya paling berbeda dalam proyeksi 2-D. Akurasi keseluruhan:</w:t>
      </w:r>
    </w:p>
    <w:p>
      <w:pPr>
        <w:pStyle w:val="TTPEquation"/>
        <w:tabs>
          <w:tab w:pos="9000" w:val="right"/>
        </w:tabs>
        <w:spacing w:after="60" w:before="60"/>
        <w:jc w:val="left"/>
        <w:rPr>
          <w:lang w:val="en-US"/>
        </w:rPr>
      </w:pPr>
      <m:oMath xmlns:mml="http://www.w3.org/1998/Math/MathML">
        <m:r>
          <w:rPr>
            <w:rFonts w:ascii="Cambria Math" w:hAnsi="Cambria Math" w:eastAsia="Cambria Math" w:cs="Cambria Math"/>
            <w:sz w:val="24"/>
            <w:szCs w:val="24"/>
          </w:rPr>
          <m:rPr>
            <m:sty m:val="p"/>
          </m:rPr>
          <m:t>Accuracy</m:t>
        </m:r>
        <m:r>
          <w:rPr>
            <w:rFonts w:ascii="Cambria Math" w:hAnsi="Cambria Math" w:eastAsia="Cambria Math" w:cs="Cambria Math"/>
            <w:sz w:val="24"/>
            <w:szCs w:val="24"/>
          </w:rPr>
          <m:t>=</m:t>
        </m:r>
        <m:f>
          <m:fPr>
            <m:type m:val="bar"/>
          </m:fPr>
          <m:num>
            <m:nary>
              <m:naryPr>
                <m:chr m:val="∑"/>
                <m:limLoc m:val="subSup"/>
                <m:grow m:val="1"/>
                <m:subHide m:val="off"/>
                <m:supHide m:val="off"/>
              </m:naryPr>
              <m:sub>
                <m:r>
                  <w:rPr>
                    <w:rFonts w:ascii="Cambria Math" w:hAnsi="Cambria Math" w:eastAsia="Cambria Math" w:cs="Cambria Math"/>
                    <w:sz w:val="24"/>
                    <w:szCs w:val="24"/>
                  </w:rPr>
                  <m:t>k=0</m:t>
                </m:r>
              </m:sub>
              <m:sup>
                <m:r>
                  <w:rPr>
                    <w:rFonts w:ascii="Cambria Math" w:hAnsi="Cambria Math" w:eastAsia="Cambria Math" w:cs="Cambria Math"/>
                    <w:sz w:val="24"/>
                    <w:szCs w:val="24"/>
                  </w:rPr>
                  <m:t>5</m:t>
                </m:r>
              </m:sup>
              <m:e>
                <m:r>
                  <w:rPr>
                    <w:rFonts w:ascii="Cambria Math" w:hAnsi="Cambria Math" w:eastAsia="Cambria Math" w:cs="Cambria Math"/>
                    <w:sz w:val="24"/>
                    <w:szCs w:val="24"/>
                  </w:rPr>
                  <m:t>T</m:t>
                </m:r>
                <m:sSub>
                  <m:e>
                    <m:r>
                      <w:rPr>
                        <w:rFonts w:ascii="Cambria Math" w:hAnsi="Cambria Math" w:eastAsia="Cambria Math" w:cs="Cambria Math"/>
                        <w:sz w:val="24"/>
                        <w:szCs w:val="24"/>
                      </w:rPr>
                      <m:t>P</m:t>
                    </m:r>
                  </m:e>
                  <m:sub>
                    <m:r>
                      <w:rPr>
                        <w:rFonts w:ascii="Cambria Math" w:hAnsi="Cambria Math" w:eastAsia="Cambria Math" w:cs="Cambria Math"/>
                        <w:sz w:val="24"/>
                        <w:szCs w:val="24"/>
                      </w:rPr>
                      <m:t>k</m:t>
                    </m:r>
                  </m:sub>
                </m:sSub>
              </m:e>
            </m:nary>
          </m:num>
          <m:den>
            <m:nary>
              <m:naryPr>
                <m:chr m:val="∑"/>
                <m:limLoc m:val="subSup"/>
                <m:grow m:val="1"/>
                <m:subHide m:val="off"/>
                <m:supHide m:val="off"/>
              </m:naryPr>
              <m:sub>
                <m:r>
                  <w:rPr>
                    <w:rFonts w:ascii="Cambria Math" w:hAnsi="Cambria Math" w:eastAsia="Cambria Math" w:cs="Cambria Math"/>
                    <w:sz w:val="24"/>
                    <w:szCs w:val="24"/>
                  </w:rPr>
                  <m:t>k=0</m:t>
                </m:r>
              </m:sub>
              <m:sup>
                <m:r>
                  <w:rPr>
                    <w:rFonts w:ascii="Cambria Math" w:hAnsi="Cambria Math" w:eastAsia="Cambria Math" w:cs="Cambria Math"/>
                    <w:sz w:val="24"/>
                    <w:szCs w:val="24"/>
                  </w:rPr>
                  <m:t>5</m:t>
                </m:r>
              </m:sup>
              <m:e>
                <m:r>
                  <w:rPr>
                    <w:rFonts w:ascii="Cambria Math" w:hAnsi="Cambria Math" w:eastAsia="Cambria Math" w:cs="Cambria Math"/>
                    <w:sz w:val="24"/>
                    <w:szCs w:val="24"/>
                  </w:rPr>
                  <m:t>(T</m:t>
                </m:r>
                <m:sSub>
                  <m:e>
                    <m:r>
                      <w:rPr>
                        <w:rFonts w:ascii="Cambria Math" w:hAnsi="Cambria Math" w:eastAsia="Cambria Math" w:cs="Cambria Math"/>
                        <w:sz w:val="24"/>
                        <w:szCs w:val="24"/>
                      </w:rPr>
                      <m:t>P</m:t>
                    </m:r>
                  </m:e>
                  <m:sub>
                    <m:r>
                      <w:rPr>
                        <w:rFonts w:ascii="Cambria Math" w:hAnsi="Cambria Math" w:eastAsia="Cambria Math" w:cs="Cambria Math"/>
                        <w:sz w:val="24"/>
                        <w:szCs w:val="24"/>
                      </w:rPr>
                      <m:t>k</m:t>
                    </m:r>
                  </m:sub>
                </m:sSub>
                <m:r>
                  <w:rPr>
                    <w:rFonts w:ascii="Cambria Math" w:hAnsi="Cambria Math" w:eastAsia="Cambria Math" w:cs="Cambria Math"/>
                    <w:sz w:val="24"/>
                    <w:szCs w:val="24"/>
                  </w:rPr>
                  <m:t>+F</m:t>
                </m:r>
                <m:sSub>
                  <m:e>
                    <m:r>
                      <w:rPr>
                        <w:rFonts w:ascii="Cambria Math" w:hAnsi="Cambria Math" w:eastAsia="Cambria Math" w:cs="Cambria Math"/>
                        <w:sz w:val="24"/>
                        <w:szCs w:val="24"/>
                      </w:rPr>
                      <m:t>N</m:t>
                    </m:r>
                  </m:e>
                  <m:sub>
                    <m:r>
                      <w:rPr>
                        <w:rFonts w:ascii="Cambria Math" w:hAnsi="Cambria Math" w:eastAsia="Cambria Math" w:cs="Cambria Math"/>
                        <w:sz w:val="24"/>
                        <w:szCs w:val="24"/>
                      </w:rPr>
                      <m:t>k</m:t>
                    </m:r>
                  </m:sub>
                </m:sSub>
                <m:r>
                  <w:rPr>
                    <w:rFonts w:ascii="Cambria Math" w:hAnsi="Cambria Math" w:eastAsia="Cambria Math" w:cs="Cambria Math"/>
                    <w:sz w:val="24"/>
                    <w:szCs w:val="24"/>
                  </w:rPr>
                  <m:t>)</m:t>
                </m:r>
              </m:e>
            </m:nary>
          </m:den>
        </m:f>
        <m:r>
          <w:rPr>
            <w:rFonts w:ascii="Cambria Math" w:hAnsi="Cambria Math" w:eastAsia="Cambria Math" w:cs="Cambria Math"/>
            <w:sz w:val="24"/>
            <w:szCs w:val="24"/>
          </w:rPr>
          <m:t>×100%</m:t>
        </m:r>
      </m:oMath>
      <w:r>
        <w:rPr>
          <w:lang w:val="en-US"/>
        </w:rPr>
        <w:t xml:space="preserve"> </w:t>
      </w:r>
      <w:r>
        <w:tab/>
      </w:r>
      <w:r>
        <w:rPr>
          <w:lang w:val="en-US"/>
        </w:rPr>
        <w:t>(13)</w:t>
      </w:r>
    </w:p>
    <w:p>
      <w:pPr>
        <w:pStyle w:val="TTPParagraphothers"/>
      </w:pPr>
      <w:r>
        <w:rPr>
          <w:b/>
          <w:bCs/>
        </w:rPr>
        <w:t xml:space="preserve">Pada persamaan (13), </w:t>
      </w:r>
      <m:oMath xmlns:mml="http://www.w3.org/1998/Math/MathML">
        <m:r>
          <w:rPr>
            <w:rFonts w:ascii="Cambria Math" w:hAnsi="Cambria Math" w:eastAsia="Cambria Math" w:cs="Cambria Math"/>
            <w:sz w:val="24"/>
            <w:szCs w:val="24"/>
          </w:rPr>
          <m:t>T</m:t>
        </m:r>
        <m:sSub>
          <m:e>
            <m:r>
              <w:rPr>
                <w:rFonts w:ascii="Cambria Math" w:hAnsi="Cambria Math" w:eastAsia="Cambria Math" w:cs="Cambria Math"/>
                <w:sz w:val="24"/>
                <w:szCs w:val="24"/>
              </w:rPr>
              <m:t>P</m:t>
            </m:r>
          </m:e>
          <m:sub>
            <m:r>
              <w:rPr>
                <w:rFonts w:ascii="Cambria Math" w:hAnsi="Cambria Math" w:eastAsia="Cambria Math" w:cs="Cambria Math"/>
                <w:sz w:val="24"/>
                <w:szCs w:val="24"/>
              </w:rPr>
              <m:t>k</m:t>
            </m:r>
          </m:sub>
        </m:sSub>
      </m:oMath>
      <w:r>
        <w:rPr>
          <w:b/>
          <w:bCs/>
        </w:rPr>
        <w:t xml:space="preserve"> adalah true-positive dan </w:t>
      </w:r>
      <m:oMath xmlns:mml="http://www.w3.org/1998/Math/MathML">
        <m:r>
          <w:rPr>
            <w:rFonts w:ascii="Cambria Math" w:hAnsi="Cambria Math" w:eastAsia="Cambria Math" w:cs="Cambria Math"/>
            <w:sz w:val="24"/>
            <w:szCs w:val="24"/>
          </w:rPr>
          <m:t>F</m:t>
        </m:r>
        <m:sSub>
          <m:e>
            <m:r>
              <w:rPr>
                <w:rFonts w:ascii="Cambria Math" w:hAnsi="Cambria Math" w:eastAsia="Cambria Math" w:cs="Cambria Math"/>
                <w:sz w:val="24"/>
                <w:szCs w:val="24"/>
              </w:rPr>
              <m:t>N</m:t>
            </m:r>
          </m:e>
          <m:sub>
            <m:r>
              <w:rPr>
                <w:rFonts w:ascii="Cambria Math" w:hAnsi="Cambria Math" w:eastAsia="Cambria Math" w:cs="Cambria Math"/>
                <w:sz w:val="24"/>
                <w:szCs w:val="24"/>
              </w:rPr>
              <m:t>k</m:t>
            </m:r>
          </m:sub>
        </m:sSub>
      </m:oMath>
      <w:r>
        <w:rPr>
          <w:b/>
          <w:bCs/>
        </w:rPr>
        <w:t xml:space="preserve"> false-negative untuk kelas </w:t>
      </w:r>
      <m:oMath xmlns:mml="http://www.w3.org/1998/Math/MathML">
        <m:r>
          <w:rPr>
            <w:rFonts w:ascii="Cambria Math" w:hAnsi="Cambria Math" w:eastAsia="Cambria Math" w:cs="Cambria Math"/>
            <w:sz w:val="24"/>
            <w:szCs w:val="24"/>
          </w:rPr>
          <m:t>k</m:t>
        </m:r>
      </m:oMath>
      <w:r>
        <w:rPr>
          <w:b/>
          <w:bCs/>
        </w:rPr>
        <w:t>. F1 makro digunakan sebagai metrik utama karena semua kelas terwakili merata. Pada 300 lux, classifier bekerja andal di bawah pencahayaan indoor standar.</w:t>
      </w:r>
    </w:p>
    <w:p>
      <w:pPr>
        <w:pStyle w:val="TTPParagraph1st"/>
      </w:pPr>
      <w:r>
        <w:rPr>
          <w:b/>
          <w:bCs/>
        </w:rPr>
        <w:t>Latensi Komunikasi Modbus TCP.</w:t>
      </w:r>
      <w:r>
        <w:t xml:space="preserve"> </w:t>
      </w:r>
      <w:r>
        <w:t>Thread 3 mencatat wall-clock start dan end dari setiap permintaan Modbus pada 10.000 sampel per kondisi. Beban CPU divariasikan menggunakan tugas video-encoding paralel dalam proses terpisah.</w:t>
      </w:r>
    </w:p>
    <w:p>
      <w:pPr>
        <w:spacing w:before="120" w:after="60"/>
        <w:jc w:val="center"/>
      </w:pPr>
      <w:r>
        <w:rPr>
          <w:rFonts w:ascii="Times New Roman" w:hAnsi="Times New Roman" w:eastAsia="Times New Roman" w:cs="Times New Roman"/>
          <w:b/>
          <w:i w:val="0"/>
          <w:sz w:val="20"/>
        </w:rPr>
        <w:t>Table IV. Distribusi Latensi Modbus TCP (n=10.000 per kondisi)</w:t>
      </w:r>
    </w:p>
    <w:tbl>
      <w:tblPr>
        <w:tblW w:type="auto" w:w="0"/>
        <w:tblLayout w:type="autofit"/>
        <w:tblLook w:firstColumn="1" w:firstRow="1" w:lastColumn="0" w:lastRow="0" w:noHBand="0" w:noVBand="1" w:val="04A0"/>
        <w:jc w:val="center"/>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1205"/>
        <w:gridCol w:w="1205"/>
        <w:gridCol w:w="1205"/>
        <w:gridCol w:w="1205"/>
        <w:gridCol w:w="1205"/>
        <w:gridCol w:w="1205"/>
        <w:gridCol w:w="1205"/>
        <w:gridCol w:w="1205"/>
      </w:tblGrid>
      <w:tr>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Beban CPU (%)</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Min (ms)</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Median (ms)</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Mean (ms)</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P95 (ms)</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P99 (ms)</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Maks (ms)</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Std Dev (ms)</w:t>
            </w:r>
          </w:p>
        </w:tc>
      </w:tr>
      <w:tr>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Idle (0-10%)</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1,2</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8,4</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9,1</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18,7</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27,3</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42,1</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5,8</w:t>
            </w:r>
          </w:p>
        </w:tc>
      </w:tr>
      <w:tr>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Moderat (45-55%)</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1,8</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10,2</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12,3</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24,9</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38,6</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67,4</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8,4</w:t>
            </w:r>
          </w:p>
        </w:tc>
      </w:tr>
      <w:tr>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Intensif (75-85%)</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2,1</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14,7</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17,8</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41,2</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78,9</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312,4</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19,7</w:t>
            </w:r>
          </w:p>
        </w:tc>
      </w:tr>
    </w:tbl>
    <w:p>
      <w:pPr>
        <w:pStyle w:val="TTPParagraphothers"/>
      </w:pPr>
      <w:r>
        <w:rPr>
          <w:b/>
          <w:bCs/>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60" w:after="60"/>
        <w:jc w:val="center"/>
      </w:pPr>
      <w:r>
        <w:rPr>
          <w:rFonts w:ascii="Times New Roman" w:hAnsi="Times New Roman" w:eastAsia="Times New Roman" w:cs="Times New Roman"/>
          <w:i/>
          <w:sz w:val="20"/>
        </w:rPr>
        <w:t>[Figure content is not provided in the source JSON.]</w:t>
      </w:r>
    </w:p>
    <w:p>
      <w:pPr>
        <w:spacing w:before="60" w:after="120"/>
        <w:jc w:val="center"/>
      </w:pPr>
      <w:r>
        <w:rPr>
          <w:rFonts w:ascii="Times New Roman" w:hAnsi="Times New Roman" w:eastAsia="Times New Roman" w:cs="Times New Roman"/>
          <w:b w:val="0"/>
          <w:i w:val="0"/>
          <w:sz w:val="20"/>
        </w:rPr>
        <w:t>Fig. 12. Latensi Modbus TCP berdasarkan Beban CPU</w:t>
      </w:r>
    </w:p>
    <w:p>
      <w:pPr>
        <w:pStyle w:val="TTPParagraphothers"/>
      </w:pPr>
      <w:r>
        <w:rPr>
          <w:b/>
          <w:bCs/>
        </w:rPr>
        <w:t xml:space="preserve">Kurva idle dan moderat (Gbr. 12) mengelompok di bawah 40 ms. Kurva beban intensif mencapai 312,4 ms, namun 99% sampel masih di bawah 78,9 ms. Komponen delay pipeline: penangkapan kamera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cap</m:t>
            </m:r>
          </m:sub>
        </m:sSub>
        <m:r>
          <w:rPr>
            <w:rFonts w:ascii="Cambria Math" w:hAnsi="Cambria Math" w:eastAsia="Cambria Math" w:cs="Cambria Math"/>
            <w:sz w:val="24"/>
            <w:szCs w:val="24"/>
          </w:rPr>
          <m:t>≈3,2</m:t>
        </m:r>
      </m:oMath>
      <w:r>
        <w:rPr>
          <w:b/>
          <w:bCs/>
        </w:rPr>
        <w:t xml:space="preserve"> ms, inferensi MediaPipe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inf</m:t>
            </m:r>
          </m:sub>
        </m:sSub>
        <m:r>
          <w:rPr>
            <w:rFonts w:ascii="Cambria Math" w:hAnsi="Cambria Math" w:eastAsia="Cambria Math" w:cs="Cambria Math"/>
            <w:sz w:val="24"/>
            <w:szCs w:val="24"/>
          </w:rPr>
          <m:t>≈18,4</m:t>
        </m:r>
      </m:oMath>
      <w:r>
        <w:rPr>
          <w:b/>
          <w:bCs/>
        </w:rPr>
        <w:t xml:space="preserve"> ms, jendela debounce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deb</m:t>
            </m:r>
          </m:sub>
        </m:sSub>
        <m:r>
          <w:rPr>
            <w:rFonts w:ascii="Cambria Math" w:hAnsi="Cambria Math" w:eastAsia="Cambria Math" w:cs="Cambria Math"/>
            <w:sz w:val="24"/>
            <w:szCs w:val="24"/>
          </w:rPr>
          <m:t>≈83,3</m:t>
        </m:r>
      </m:oMath>
      <w:r>
        <w:rPr>
          <w:b/>
          <w:bCs/>
        </w:rPr>
        <w:t xml:space="preserve"> ms, round-trip Modbus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modbus</m:t>
            </m:r>
          </m:sub>
        </m:sSub>
        <m:r>
          <w:rPr>
            <w:rFonts w:ascii="Cambria Math" w:hAnsi="Cambria Math" w:eastAsia="Cambria Math" w:cs="Cambria Math"/>
            <w:sz w:val="24"/>
            <w:szCs w:val="24"/>
          </w:rPr>
          <m:t>≈12,3</m:t>
        </m:r>
      </m:oMath>
      <w:r>
        <w:rPr>
          <w:b/>
          <w:bCs/>
        </w:rPr>
        <w:t xml:space="preserve"> ms.</w:t>
      </w:r>
    </w:p>
    <w:p>
      <w:pPr>
        <w:spacing w:before="60" w:after="60"/>
        <w:jc w:val="center"/>
      </w:pPr>
      <w:r>
        <w:rPr>
          <w:rFonts w:ascii="Times New Roman" w:hAnsi="Times New Roman" w:eastAsia="Times New Roman" w:cs="Times New Roman"/>
          <w:i/>
          <w:sz w:val="20"/>
        </w:rPr>
        <w:t>[Figure content is not provided in the source JSON.]</w:t>
      </w:r>
    </w:p>
    <w:p>
      <w:pPr>
        <w:spacing w:before="60" w:after="120"/>
        <w:jc w:val="center"/>
      </w:pPr>
      <w:r>
        <w:rPr>
          <w:rFonts w:ascii="Times New Roman" w:hAnsi="Times New Roman" w:eastAsia="Times New Roman" w:cs="Times New Roman"/>
          <w:b w:val="0"/>
          <w:i w:val="0"/>
          <w:sz w:val="20"/>
        </w:rPr>
        <w:t>Fig. 13. Rincian Komponen Latensi</w:t>
      </w:r>
    </w:p>
    <w:p>
      <w:pPr>
        <w:pStyle w:val="TTPParagraphothers"/>
      </w:pPr>
      <w:r>
        <w:rPr>
          <w:b/>
          <w:bCs/>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TTPParagraph1st"/>
      </w:pPr>
      <w:r>
        <w:rPr>
          <w:b/>
          <w:bCs/>
        </w:rPr>
        <w:t>Uji Ketahanan 24 Jam.</w:t>
      </w:r>
      <w:r>
        <w:t xml:space="preserve"> </w:t>
      </w:r>
      <w: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Times New Roman" w:hAnsi="Times New Roman" w:eastAsia="Times New Roman" w:cs="Times New Roman"/>
          <w:b/>
          <w:i w:val="0"/>
          <w:sz w:val="20"/>
        </w:rPr>
        <w:t>Table V. Hasil Uji Ketahanan 24 Jam</w:t>
      </w:r>
    </w:p>
    <w:tbl>
      <w:tblPr>
        <w:tblW w:type="auto" w:w="0"/>
        <w:tblLayout w:type="autofit"/>
        <w:tblLook w:firstColumn="1" w:firstRow="1" w:lastColumn="0" w:lastRow="0" w:noHBand="0" w:noVBand="1" w:val="04A0"/>
        <w:jc w:val="center"/>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4819"/>
        <w:gridCol w:w="4819"/>
      </w:tblGrid>
      <w:tr>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Metrik</w:t>
            </w:r>
          </w:p>
        </w:tc>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Hasil</w:t>
            </w:r>
          </w:p>
        </w:tc>
      </w:tr>
      <w:tr>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Total Transaksi Modbus (FC1 + FC15)</w:t>
            </w:r>
          </w:p>
        </w:tc>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872.640</w:t>
            </w:r>
          </w:p>
        </w:tc>
      </w:tr>
      <w:tr>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Transaksi Berhasil</w:t>
            </w:r>
          </w:p>
        </w:tc>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872.000</w:t>
            </w:r>
          </w:p>
        </w:tc>
      </w:tr>
      <w:tr>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Tingkat Keberhasilan Tulis FC15</w:t>
            </w:r>
          </w:p>
        </w:tc>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99,97%</w:t>
            </w:r>
          </w:p>
        </w:tc>
      </w:tr>
      <w:tr>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Tingkat Keberhasilan Baca FC1</w:t>
            </w:r>
          </w:p>
        </w:tc>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99,92%</w:t>
            </w:r>
          </w:p>
        </w:tc>
      </w:tr>
      <w:tr>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MTBF (Mean Time Between Failures)</w:t>
            </w:r>
          </w:p>
        </w:tc>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8,2 jam</w:t>
            </w:r>
          </w:p>
        </w:tc>
      </w:tr>
      <w:tr>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Pertumbuhan Memori</w:t>
            </w:r>
          </w:p>
        </w:tc>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12,4 MB</w:t>
            </w:r>
          </w:p>
        </w:tc>
      </w:tr>
      <w:tr>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Frame Rate (target 30 fps)</w:t>
            </w:r>
          </w:p>
        </w:tc>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29,7 fps</w:t>
            </w:r>
          </w:p>
        </w:tc>
      </w:tr>
    </w:tbl>
    <w:p>
      <w:pPr>
        <w:pStyle w:val="TTPParagraphothers"/>
      </w:pPr>
      <w:r>
        <w:rPr>
          <w:b/>
          <w:bCs/>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60" w:after="60"/>
        <w:jc w:val="center"/>
      </w:pPr>
      <w:r>
        <w:rPr>
          <w:rFonts w:ascii="Times New Roman" w:hAnsi="Times New Roman" w:eastAsia="Times New Roman" w:cs="Times New Roman"/>
          <w:i/>
          <w:sz w:val="20"/>
        </w:rPr>
        <w:t>[Figure content is not provided in the source JSON.]</w:t>
      </w:r>
    </w:p>
    <w:p>
      <w:pPr>
        <w:spacing w:before="60" w:after="120"/>
        <w:jc w:val="center"/>
      </w:pPr>
      <w:r>
        <w:rPr>
          <w:rFonts w:ascii="Times New Roman" w:hAnsi="Times New Roman" w:eastAsia="Times New Roman" w:cs="Times New Roman"/>
          <w:b w:val="0"/>
          <w:i w:val="0"/>
          <w:sz w:val="20"/>
        </w:rPr>
        <w:t>Fig. 14. Tingkat Keberhasilan Modbus 24 Jam</w:t>
      </w:r>
    </w:p>
    <w:p>
      <w:pPr>
        <w:pStyle w:val="TTPParagraphothers"/>
      </w:pPr>
      <w:r>
        <w:rPr>
          <w:b/>
          <w:bCs/>
        </w:rPr>
        <w:t>Tingkat keberhasilan (Gbr. 14) bertahan di atas 99,7% untuk FC1 maupun FC15, dengan penurunan di sekitar jam ke-7, 15, dan 22. Ketiga penurunan sesuai dengan tiga kegagalan komunikasi dalam log, konsisten dengan MTBF 8,2 jam.</w:t>
      </w:r>
    </w:p>
    <w:p>
      <w:pPr>
        <w:pStyle w:val="TTPSectionHeading"/>
      </w:pPr>
      <w:r>
        <w:t>KESIMPULAN</w:t>
      </w:r>
    </w:p>
    <w:p>
      <w:pPr>
        <w:pStyle w:val="TTPParagraph1st"/>
      </w:pPr>
      <w: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TTPParagraphothers"/>
      </w:pPr>
      <w:r>
        <w:rPr>
          <w:b/>
          <w:bCs/>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TTPSectionHeading"/>
      </w:pPr>
      <w:r>
        <w:t>REFERENCES</w:t>
      </w:r>
    </w:p>
    <w:p>
      <w:pPr>
        <w:pStyle w:val="TTPReference"/>
        <w:ind w:left="426" w:hanging="426"/>
        <w:rPr>
          <w:lang w:val="en-US"/>
        </w:rPr>
      </w:pPr>
      <w:r>
        <w:rPr>
          <w:lang w:val="en-US"/>
        </w:rPr>
        <w:t xml:space="preserve">[1] </w:t>
      </w:r>
      <w:r>
        <w:rPr>
          <w:lang w:val="en-US"/>
        </w:rPr>
        <w:t>C. Lugaresi et al., "MediaPipe: A Framework for Building Perception Pipelines," preprint arXiv:1906.08172, Jun. 2019.</w:t>
      </w:r>
    </w:p>
    <w:p>
      <w:pPr>
        <w:pStyle w:val="TTPReference"/>
        <w:ind w:left="426" w:hanging="426"/>
        <w:rPr>
          <w:lang w:val="en-US"/>
        </w:rPr>
      </w:pPr>
      <w:r>
        <w:rPr>
          <w:lang w:val="en-US"/>
        </w:rPr>
        <w:t xml:space="preserve">[2] </w:t>
      </w:r>
      <w:r>
        <w:rPr>
          <w:lang w:val="en-US"/>
        </w:rPr>
        <w:t>S. Vijayachitra, K. Prabhu, S. Agilan, M. Ahamed Salih, and S. Madhumitha, "Advanced PLC-based Automation for Converging System and Warehousing," in Proc. 5th Int. Conf. Trends Mater. Sci. Invent. Mater. (ICTMIM), 2025, pp. 1–6, doi: 10.1109/ICTMIM65579.2025.10988042.</w:t>
      </w:r>
    </w:p>
    <w:p>
      <w:pPr>
        <w:pStyle w:val="TTPReference"/>
        <w:ind w:left="426" w:hanging="426"/>
        <w:rPr>
          <w:lang w:val="en-US"/>
        </w:rPr>
      </w:pPr>
      <w:r>
        <w:rPr>
          <w:lang w:val="en-US"/>
        </w:rPr>
        <w:t xml:space="preserve">[3] </w:t>
      </w:r>
      <w:r>
        <w:rPr>
          <w:lang w:val="en-US"/>
        </w:rPr>
        <w:t>Yashika, A. Patra, and N. S. Das, "Human-Machine Interaction in Industrial Automation: Gesture-Based PLC Control," in Proc. 15th Int. Conf. Comput. Commun. Netw. Technol. (ICCCNT), 2024, pp. 1–7, doi: 10.1109/ICCCNT61001.2024.10726180.</w:t>
      </w:r>
    </w:p>
    <w:p>
      <w:pPr>
        <w:pStyle w:val="TTPReference"/>
        <w:ind w:left="426" w:hanging="426"/>
        <w:rPr>
          <w:lang w:val="en-US"/>
        </w:rPr>
      </w:pPr>
      <w:r>
        <w:rPr>
          <w:lang w:val="en-US"/>
        </w:rPr>
        <w:t xml:space="preserve">[4] </w:t>
      </w:r>
      <w:r>
        <w:rPr>
          <w:lang w:val="en-US"/>
        </w:rPr>
        <w:t>Y. Li, J. Zhang, Y. Xiong, H. Wu, and F. Yang, "Design of Industrial Equipment Remote Control System Based on Python," in Proc. 8th Int. Conf. Electron. Technol. (ICET), 2025, pp. 1–6, doi: 10.1109/ICET64964.2025.11103226.</w:t>
      </w:r>
    </w:p>
    <w:p>
      <w:pPr>
        <w:pStyle w:val="TTPReference"/>
        <w:ind w:left="426" w:hanging="426"/>
        <w:rPr>
          <w:lang w:val="en-US"/>
        </w:rPr>
      </w:pPr>
      <w:r>
        <w:rPr>
          <w:lang w:val="en-US"/>
        </w:rPr>
        <w:t xml:space="preserve">[5] </w:t>
      </w:r>
      <w:r>
        <w:rPr>
          <w:lang w:val="en-US"/>
        </w:rPr>
        <w:t>M. Jamage, S. Rane, J. Raktate, and N. Chavan, "Real-Time Hand Gesture Recognition Using CNN-LSTM for Gesture-to-Voice and Device Control," in Proc. 9th Int. Conf. Comput. Commun. Control Autom. (ICCUBEA), 2025, pp. 1–7, doi: 10.1109/ICCUBEA65967.2025.11284053.</w:t>
      </w:r>
    </w:p>
    <w:p>
      <w:pPr>
        <w:pStyle w:val="TTPReference"/>
        <w:ind w:left="426" w:hanging="426"/>
        <w:rPr>
          <w:lang w:val="en-US"/>
        </w:rPr>
      </w:pPr>
      <w:r>
        <w:rPr>
          <w:lang w:val="en-US"/>
        </w:rPr>
        <w:t xml:space="preserve">[6] </w:t>
      </w:r>
      <w:r>
        <w:rPr>
          <w:lang w:val="en-US"/>
        </w:rPr>
        <w:t>C. Nikolajew and H. Eichelberger, "Industry 4.0 Connectors – A Performance Experiment with Modbus/TCP," preprint arXiv:2410.15813, Oct. 2024.</w:t>
      </w:r>
    </w:p>
    <w:p>
      <w:pPr>
        <w:pStyle w:val="TTPReference"/>
        <w:ind w:left="426" w:hanging="426"/>
        <w:rPr>
          <w:lang w:val="en-US"/>
        </w:rPr>
      </w:pPr>
      <w:r>
        <w:rPr>
          <w:lang w:val="en-US"/>
        </w:rPr>
        <w:t xml:space="preserve">[7] </w:t>
      </w:r>
      <w:r>
        <w:rPr>
          <w:lang w:val="en-US"/>
        </w:rPr>
        <w:t>E. Tapia, L. Sastoque-Pinilla, U. Lopez-Novoa, I. Bediaga, and N. López de Lacalle, "Assessing Industrial Communication Protocols to Bridge the Gap between Machine Tools and Software Monitoring," Sensors, vol. 23, no. 12, art. 5694, 2023, doi: 10.3390/s23125694.</w:t>
      </w:r>
    </w:p>
    <w:p>
      <w:pPr>
        <w:pStyle w:val="TTPReference"/>
        <w:ind w:left="426" w:hanging="426"/>
        <w:rPr>
          <w:lang w:val="en-US"/>
        </w:rPr>
      </w:pPr>
      <w:r>
        <w:rPr>
          <w:lang w:val="en-US"/>
        </w:rPr>
        <w:t xml:space="preserve">[8] </w:t>
      </w:r>
      <w:r>
        <w:rPr>
          <w:lang w:val="en-US"/>
        </w:rPr>
        <w:t>Y. K. Yep, Y. H. Goh, T. H. Chiew, K. M. Chin, J. J. Ong, and K. S. Eu, "AI-Driven Hand Gesture Recognition for Robotic Arm Control," in Proc. 5th Int. Conf. Artif. Intell. Robot. Commun. (ICAIRC), 2025, pp. 1–5, doi: 10.1109/ICAIRC68035.2025.11384947.</w:t>
      </w:r>
    </w:p>
    <w:p>
      <w:pPr>
        <w:pStyle w:val="TTPReference"/>
        <w:ind w:left="426" w:hanging="426"/>
        <w:rPr>
          <w:lang w:val="en-US"/>
        </w:rPr>
      </w:pPr>
      <w:r>
        <w:rPr>
          <w:lang w:val="en-US"/>
        </w:rPr>
        <w:t xml:space="preserve">[9] </w:t>
      </w:r>
      <w:r>
        <w:rPr>
          <w:lang w:val="en-US"/>
        </w:rPr>
        <w:t>Qurrat-ul-Ain, S. N. Talpur, N. U. Z. Laghari, and M. S. Rattar, "Machine Control Using Hand Gesture Recognition," Gyancity J. Electron. Comput. Sci., vol. 5, no. 1, pp. 19–28, Mar. 2020, doi: 10.21058/gjecs.2020.51003.</w:t>
      </w:r>
    </w:p>
    <w:p>
      <w:pPr>
        <w:pStyle w:val="TTPReference"/>
        <w:ind w:left="426" w:hanging="426"/>
        <w:rPr>
          <w:lang w:val="en-US"/>
        </w:rPr>
      </w:pPr>
      <w:r>
        <w:rPr>
          <w:lang w:val="en-US"/>
        </w:rPr>
        <w:t xml:space="preserve">[10] </w:t>
      </w:r>
      <w:r>
        <w:rPr>
          <w:lang w:val="en-US"/>
        </w:rPr>
        <w:t>P. Nguyen Huu and T. Phung Ngoc, "Hand Gesture Recognition Algorithm Using SVM and HOG Model for Control of Robotic System," J. Robot., vol. 2021, art. 3986497, 2021, doi: 10.1155/2021/3986497.</w:t>
      </w:r>
    </w:p>
    <w:p>
      <w:pPr>
        <w:pStyle w:val="TTPReference"/>
        <w:ind w:left="426" w:hanging="426"/>
        <w:rPr>
          <w:lang w:val="en-US"/>
        </w:rPr>
      </w:pPr>
      <w:r>
        <w:rPr>
          <w:lang w:val="en-US"/>
        </w:rPr>
        <w:t xml:space="preserve">[11] </w:t>
      </w:r>
      <w:r>
        <w:rPr>
          <w:lang w:val="en-US"/>
        </w:rPr>
        <w:t>M. Shaikh, P. Shah, and R. Sekhar, "Communication Protocols in Industry 4.0," in Proc. Int. Conf. Sustain. Emerg. Innov. Eng. Technol. (ICSEIET), 2023, pp. 1–6, doi: 10.1109/ICSEIET58677.2023.10303397.</w:t>
      </w:r>
    </w:p>
    <w:p>
      <w:pPr>
        <w:pStyle w:val="TTPReference"/>
        <w:ind w:left="426" w:hanging="426"/>
        <w:rPr>
          <w:lang w:val="en-US"/>
        </w:rPr>
      </w:pPr>
      <w:r>
        <w:rPr>
          <w:lang w:val="en-US"/>
        </w:rPr>
        <w:t xml:space="preserve">[12] </w:t>
      </w:r>
      <w:r>
        <w:rPr>
          <w:lang w:val="en-US"/>
        </w:rPr>
        <w:t>M. Bensaadallah, N. Ghoggali, L. Saidi, and W. Ghoggali, "Deep Learning-Based Real-Time Hand Landmark Recognition with MediaPipe for R12 Robot Control," in Proc. Int. Conf. Elect. Eng. Adv. Technol. (ICEEAT), 2023, pp. 1–6, doi: 10.1109/ICEEAT60471.2023.10426264.</w:t>
      </w:r>
    </w:p>
    <w:p>
      <w:pPr>
        <w:pStyle w:val="TTPReference"/>
        <w:ind w:left="426" w:hanging="426"/>
        <w:rPr>
          <w:lang w:val="en-US"/>
        </w:rPr>
      </w:pPr>
      <w:r>
        <w:rPr>
          <w:lang w:val="en-US"/>
        </w:rPr>
        <w:t xml:space="preserve">[13] </w:t>
      </w:r>
      <w:r>
        <w:rPr>
          <w:lang w:val="en-US"/>
        </w:rPr>
        <w:t>M. Peral, A. Sanfeliu, and A. Garrell, "Efficient Hand Gesture Recognition for Human-Robot Interaction," IEEE Robot. Autom. Lett., vol. 7, no. 4, pp. 10272–10279, Oct. 2022, doi: 10.1109/LRA.2022.3193251.</w:t>
      </w:r>
    </w:p>
    <w:p>
      <w:pPr>
        <w:pStyle w:val="TTPReference"/>
        <w:ind w:left="426" w:hanging="426"/>
        <w:rPr>
          <w:lang w:val="en-US"/>
        </w:rPr>
      </w:pPr>
      <w:r>
        <w:rPr>
          <w:lang w:val="en-US"/>
        </w:rPr>
        <w:t xml:space="preserve">[14] </w:t>
      </w:r>
      <w:r>
        <w:rPr>
          <w:lang w:val="en-US"/>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TTPReference"/>
        <w:ind w:left="426" w:hanging="426"/>
        <w:rPr>
          <w:lang w:val="en-US"/>
        </w:rPr>
      </w:pPr>
      <w:r>
        <w:rPr>
          <w:lang w:val="en-US"/>
        </w:rPr>
        <w:t xml:space="preserve">[15] </w:t>
      </w:r>
      <w:r>
        <w:rPr>
          <w:lang w:val="en-US"/>
        </w:rPr>
        <w:t>B. Kwolek, "Continuous Hand Gesture Recognition for Human-Robot Collaborative Assembly," in Proc. IEEE/CVF Int. Conf. Comput. Vis. Workshops (ICCVW), 2023, pp. 1992–1999, doi: 10.1109/ICCVW60793.2023.00214.</w:t>
      </w:r>
    </w:p>
    <w:p>
      <w:pPr>
        <w:pStyle w:val="TTPReference"/>
        <w:ind w:left="426" w:hanging="426"/>
        <w:rPr>
          <w:lang w:val="en-US"/>
        </w:rPr>
      </w:pPr>
      <w:r>
        <w:rPr>
          <w:lang w:val="en-US"/>
        </w:rPr>
        <w:t xml:space="preserve">[16] </w:t>
      </w:r>
      <w:r>
        <w:rPr>
          <w:lang w:val="en-US"/>
        </w:rPr>
        <w:t>Y. Wang, D. Peng, E. Qi, and H. Wang, "Modbus/TCP Data Acquisition System Based on Industrial Ethernet Technology," in Proc. 4th IEEE Int. Conf. Elect. Eng. Control Technol. (CEECT), 2022, pp. 1–5, doi: 10.1109/CEECT55960.2022.10030131.</w:t>
      </w:r>
    </w:p>
    <w:p>
      <w:pPr>
        <w:pStyle w:val="TTPReference"/>
        <w:ind w:left="426" w:hanging="426"/>
        <w:rPr>
          <w:lang w:val="en-US"/>
        </w:rPr>
      </w:pPr>
      <w:r>
        <w:rPr>
          <w:lang w:val="en-US"/>
        </w:rPr>
        <w:t xml:space="preserve">[17] </w:t>
      </w:r>
      <w:r>
        <w:rPr>
          <w:lang w:val="en-US"/>
        </w:rP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TTPReference"/>
        <w:ind w:left="426" w:hanging="426"/>
        <w:rPr>
          <w:lang w:val="en-US"/>
        </w:rPr>
      </w:pPr>
      <w:r>
        <w:rPr>
          <w:lang w:val="en-US"/>
        </w:rPr>
        <w:t xml:space="preserve">[18] </w:t>
      </w:r>
      <w:r>
        <w:rPr>
          <w:lang w:val="en-US"/>
        </w:rPr>
        <w:t>C. D. Sawarkar, V. Vaidya, V. Sharma, S. Sheikh, A. Neware, and P. Chaudhari, "AI Based Real Time Hand Gesture Recognition System," Int. Res. J. Modernization Eng. Technol. Sci., vol. 6, no. 1, pp. 1–8, Jan. 2024, doi: 10.56726/IRJMETS48782.</w:t>
      </w:r>
    </w:p>
    <w:p>
      <w:pPr>
        <w:pStyle w:val="TTPReference"/>
        <w:ind w:left="426" w:hanging="426"/>
        <w:rPr>
          <w:lang w:val="en-US"/>
        </w:rPr>
      </w:pPr>
      <w:r>
        <w:rPr>
          <w:lang w:val="en-US"/>
        </w:rPr>
        <w:t xml:space="preserve">[19] </w:t>
      </w:r>
      <w:r>
        <w:rPr>
          <w:lang w:val="en-US"/>
        </w:rPr>
        <w:t>R. Tchantchane, H. Zhou, S. Zhang, and G. Alici, "A Review of Hand Gesture Recognition Systems Based on Noninvasive Wearable Sensors," Adv. Intell. Syst., vol. 5, no. 2, art. 2300207, 2023, doi: 10.1002/aisy.202300207.</w:t>
      </w:r>
    </w:p>
    <w:p>
      <w:pPr>
        <w:pStyle w:val="TTPReference"/>
        <w:ind w:left="426" w:hanging="426"/>
        <w:rPr>
          <w:lang w:val="en-US"/>
        </w:rPr>
      </w:pPr>
      <w:r>
        <w:rPr>
          <w:lang w:val="en-US"/>
        </w:rPr>
        <w:t xml:space="preserve">[20] </w:t>
      </w:r>
      <w:r>
        <w:rPr>
          <w:lang w:val="en-US"/>
        </w:rPr>
        <w:t>Schneider Electric, "Modicon M221 Logic Controller – Programming Guide," Tech. Rep., ver. 1.7, 2022. [Online]. Available: https://www.schneider-electric.com</w:t>
      </w:r>
    </w:p>
    <w:sectPr w:rsidR="004C48B6" w:rsidRPr="00824720">
      <w:headerReference w:type="even" r:id="rId8"/>
      <w:headerReference w:type="default" r:id="rId9"/>
      <w:pgSz w:w="11907" w:h="16840" w:code="9"/>
      <w:pgMar w:top="1418" w:right="1134" w:bottom="851" w:left="1134" w:header="709" w:footer="284" w:gutter="0"/>
      <w:cols w:space="709"/>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BDBFD" w14:textId="77777777" w:rsidR="000F717A" w:rsidRDefault="000F717A">
      <w:r>
        <w:separator/>
      </w:r>
    </w:p>
  </w:endnote>
  <w:endnote w:type="continuationSeparator" w:id="0">
    <w:p w14:paraId="3F08B65F" w14:textId="77777777" w:rsidR="000F717A" w:rsidRDefault="000F7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C8DD9" w14:textId="77777777" w:rsidR="000F717A" w:rsidRDefault="000F717A">
      <w:r>
        <w:separator/>
      </w:r>
    </w:p>
  </w:footnote>
  <w:footnote w:type="continuationSeparator" w:id="0">
    <w:p w14:paraId="059C427A" w14:textId="77777777" w:rsidR="000F717A" w:rsidRDefault="000F7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91881" w14:textId="77777777" w:rsidR="00F30817" w:rsidRDefault="00F30817">
    <w:pPr>
      <w:pStyle w:val="Header"/>
      <w:spacing w:after="24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E39E9" w14:textId="77777777" w:rsidR="00F30817" w:rsidRDefault="00F30817">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C1625F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C537FBC"/>
    <w:multiLevelType w:val="hybridMultilevel"/>
    <w:tmpl w:val="AC7CB384"/>
    <w:lvl w:ilvl="0" w:tplc="6144C124">
      <w:numFmt w:val="bullet"/>
      <w:lvlText w:val=""/>
      <w:lvlJc w:val="left"/>
      <w:pPr>
        <w:tabs>
          <w:tab w:val="num" w:pos="1080"/>
        </w:tabs>
        <w:ind w:left="1080" w:hanging="720"/>
      </w:pPr>
      <w:rPr>
        <w:rFonts w:ascii="Wingdings" w:eastAsia="Times New Roman" w:hAnsi="Wingdings" w:hint="default"/>
        <w:b/>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292179006">
    <w:abstractNumId w:val="1"/>
  </w:num>
  <w:num w:numId="2" w16cid:durableId="1038895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doNotTrackMoves/>
  <w:defaultTabStop w:val="709"/>
  <w:hyphenationZone w:val="425"/>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0817"/>
    <w:rsid w:val="00016628"/>
    <w:rsid w:val="00031665"/>
    <w:rsid w:val="000F717A"/>
    <w:rsid w:val="00192CBA"/>
    <w:rsid w:val="001C5B52"/>
    <w:rsid w:val="001F56DE"/>
    <w:rsid w:val="00295485"/>
    <w:rsid w:val="003122FB"/>
    <w:rsid w:val="00386238"/>
    <w:rsid w:val="00441E27"/>
    <w:rsid w:val="004C48B6"/>
    <w:rsid w:val="00535B63"/>
    <w:rsid w:val="006069EA"/>
    <w:rsid w:val="0061035A"/>
    <w:rsid w:val="00632857"/>
    <w:rsid w:val="006B347C"/>
    <w:rsid w:val="0072348C"/>
    <w:rsid w:val="00725E63"/>
    <w:rsid w:val="00824720"/>
    <w:rsid w:val="008D5755"/>
    <w:rsid w:val="00975783"/>
    <w:rsid w:val="009A3670"/>
    <w:rsid w:val="00A45AC9"/>
    <w:rsid w:val="00A76C04"/>
    <w:rsid w:val="00AA0211"/>
    <w:rsid w:val="00AD3A4F"/>
    <w:rsid w:val="00AE62D9"/>
    <w:rsid w:val="00B11627"/>
    <w:rsid w:val="00BB54A5"/>
    <w:rsid w:val="00BE1B56"/>
    <w:rsid w:val="00C55E5A"/>
    <w:rsid w:val="00C83653"/>
    <w:rsid w:val="00CC0CCE"/>
    <w:rsid w:val="00CF1396"/>
    <w:rsid w:val="00CF3BF2"/>
    <w:rsid w:val="00D21AFA"/>
    <w:rsid w:val="00D73D48"/>
    <w:rsid w:val="00DB0EE0"/>
    <w:rsid w:val="00DB7AC2"/>
    <w:rsid w:val="00DD36E1"/>
    <w:rsid w:val="00E1145F"/>
    <w:rsid w:val="00EB154E"/>
    <w:rsid w:val="00EE7B8A"/>
    <w:rsid w:val="00F30817"/>
    <w:rsid w:val="00FA14D3"/>
    <w:rsid w:val="00FB0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C9EC14C"/>
  <w15:chartTrackingRefBased/>
  <w15:docId w15:val="{3947742C-7902-4B25-A8D8-A28A0D5E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val="de-DE"/>
    </w:rPr>
  </w:style>
  <w:style w:type="paragraph" w:styleId="Heading1">
    <w:name w:val="heading 1"/>
    <w:basedOn w:val="Normal"/>
    <w:next w:val="Normal"/>
    <w:link w:val="Heading1Char"/>
    <w:uiPriority w:val="9"/>
    <w:qFormat/>
    <w:pPr>
      <w:keepNext/>
      <w:autoSpaceDE/>
      <w:autoSpaceDN/>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PTitle">
    <w:name w:val="TTP Title"/>
    <w:basedOn w:val="Normal"/>
    <w:next w:val="TTPAuthors"/>
    <w:uiPriority w:val="99"/>
    <w:pPr>
      <w:spacing w:after="120"/>
      <w:jc w:val="center"/>
    </w:pPr>
    <w:rPr>
      <w:rFonts w:ascii="Arial" w:hAnsi="Arial" w:cs="Arial"/>
      <w:b/>
      <w:bCs/>
      <w:sz w:val="30"/>
      <w:szCs w:val="30"/>
      <w:lang w:val="en-US"/>
    </w:rPr>
  </w:style>
  <w:style w:type="character" w:customStyle="1" w:styleId="Heading1Char">
    <w:name w:val="Heading 1 Char"/>
    <w:link w:val="Heading1"/>
    <w:uiPriority w:val="9"/>
    <w:locked/>
    <w:rPr>
      <w:rFonts w:ascii="Cambria" w:eastAsia="Times New Roman" w:hAnsi="Cambria" w:cs="Times New Roman"/>
      <w:b/>
      <w:bCs/>
      <w:kern w:val="32"/>
      <w:sz w:val="32"/>
      <w:szCs w:val="32"/>
      <w:lang w:val="de-DE" w:eastAsia="en-US"/>
    </w:rPr>
  </w:style>
  <w:style w:type="paragraph" w:customStyle="1" w:styleId="TTPAuthors">
    <w:name w:val="TTP Author(s)"/>
    <w:basedOn w:val="Normal"/>
    <w:next w:val="TTPAddress"/>
    <w:uiPriority w:val="99"/>
    <w:pPr>
      <w:spacing w:before="120"/>
      <w:jc w:val="center"/>
    </w:pPr>
    <w:rPr>
      <w:rFonts w:ascii="Arial" w:hAnsi="Arial" w:cs="Arial"/>
      <w:sz w:val="28"/>
      <w:szCs w:val="28"/>
      <w:lang w:val="en-US"/>
    </w:rPr>
  </w:style>
  <w:style w:type="paragraph" w:customStyle="1" w:styleId="TTPAddress">
    <w:name w:val="TTP Address"/>
    <w:basedOn w:val="Normal"/>
    <w:uiPriority w:val="99"/>
    <w:pPr>
      <w:spacing w:before="120"/>
      <w:jc w:val="center"/>
    </w:pPr>
    <w:rPr>
      <w:rFonts w:ascii="Arial" w:hAnsi="Arial" w:cs="Arial"/>
      <w:sz w:val="22"/>
      <w:szCs w:val="22"/>
      <w:lang w:val="en-US"/>
    </w:rPr>
  </w:style>
  <w:style w:type="paragraph" w:customStyle="1" w:styleId="TTPSectionHeading">
    <w:name w:val="TTP Section Heading"/>
    <w:basedOn w:val="Normal"/>
    <w:next w:val="TTPParagraph1st"/>
    <w:uiPriority w:val="99"/>
    <w:pPr>
      <w:spacing w:before="360" w:after="120"/>
      <w:jc w:val="both"/>
    </w:pPr>
    <w:rPr>
      <w:b/>
      <w:bCs/>
      <w:sz w:val="24"/>
      <w:szCs w:val="24"/>
      <w:lang w:val="en-US"/>
    </w:rPr>
  </w:style>
  <w:style w:type="paragraph" w:customStyle="1" w:styleId="TTPParagraph1st">
    <w:name w:val="TTP Paragraph (1st)"/>
    <w:basedOn w:val="Normal"/>
    <w:next w:val="TTPParagraphothers"/>
    <w:uiPriority w:val="99"/>
    <w:pPr>
      <w:jc w:val="both"/>
    </w:pPr>
    <w:rPr>
      <w:sz w:val="24"/>
      <w:szCs w:val="24"/>
      <w:lang w:val="en-US"/>
    </w:rPr>
  </w:style>
  <w:style w:type="paragraph" w:customStyle="1" w:styleId="TTPParagraphothers">
    <w:name w:val="TTP Paragraph (others)"/>
    <w:basedOn w:val="TTPParagraph1st"/>
    <w:uiPriority w:val="99"/>
    <w:pPr>
      <w:ind w:firstLine="283"/>
    </w:pPr>
  </w:style>
  <w:style w:type="paragraph" w:customStyle="1" w:styleId="TTPReference">
    <w:name w:val="TTP Reference"/>
    <w:basedOn w:val="Normal"/>
    <w:uiPriority w:val="99"/>
    <w:pPr>
      <w:tabs>
        <w:tab w:val="left" w:pos="426"/>
      </w:tabs>
      <w:spacing w:after="120" w:line="288" w:lineRule="atLeast"/>
      <w:jc w:val="both"/>
    </w:pPr>
    <w:rPr>
      <w:sz w:val="24"/>
      <w:szCs w:val="24"/>
    </w:rPr>
  </w:style>
  <w:style w:type="paragraph" w:customStyle="1" w:styleId="TTPKeywords">
    <w:name w:val="TTP Keywords"/>
    <w:basedOn w:val="Normal"/>
    <w:next w:val="TTPAbstract"/>
    <w:uiPriority w:val="99"/>
    <w:pPr>
      <w:spacing w:before="360"/>
      <w:jc w:val="both"/>
    </w:pPr>
    <w:rPr>
      <w:rFonts w:ascii="Arial" w:hAnsi="Arial" w:cs="Arial"/>
      <w:sz w:val="22"/>
      <w:szCs w:val="22"/>
      <w:lang w:val="en-US"/>
    </w:rPr>
  </w:style>
  <w:style w:type="paragraph" w:customStyle="1" w:styleId="TTPAbstract">
    <w:name w:val="TTP Abstract"/>
    <w:basedOn w:val="Normal"/>
    <w:next w:val="TTPSectionHeading"/>
    <w:uiPriority w:val="99"/>
    <w:pPr>
      <w:spacing w:before="360"/>
      <w:jc w:val="both"/>
    </w:pPr>
    <w:rPr>
      <w:sz w:val="24"/>
      <w:szCs w:val="24"/>
      <w:lang w:val="en-US"/>
    </w:rPr>
  </w:style>
  <w:style w:type="paragraph" w:customStyle="1" w:styleId="TTPEquation">
    <w:name w:val="TTP Equation"/>
    <w:basedOn w:val="Normal"/>
    <w:next w:val="TTPParagraph1st"/>
    <w:uiPriority w:val="99"/>
    <w:pPr>
      <w:tabs>
        <w:tab w:val="right" w:pos="9923"/>
      </w:tabs>
      <w:spacing w:before="240" w:after="240"/>
      <w:ind w:left="284" w:right="-11"/>
      <w:jc w:val="both"/>
    </w:pPr>
    <w:rPr>
      <w:sz w:val="24"/>
      <w:szCs w:val="24"/>
    </w:rPr>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character" w:customStyle="1" w:styleId="HeaderChar">
    <w:name w:val="Header Char"/>
    <w:link w:val="Header"/>
    <w:uiPriority w:val="99"/>
    <w:semiHidden/>
    <w:locked/>
    <w:rPr>
      <w:rFonts w:cs="Times New Roman"/>
      <w:sz w:val="20"/>
      <w:szCs w:val="20"/>
      <w:lang w:val="de-DE" w:eastAsia="en-US"/>
    </w:rPr>
  </w:style>
  <w:style w:type="paragraph" w:customStyle="1" w:styleId="TTPFootnote">
    <w:name w:val="TTP Footnote"/>
    <w:basedOn w:val="TTPParagraphothers"/>
    <w:uiPriority w:val="99"/>
    <w:pPr>
      <w:pBdr>
        <w:top w:val="single" w:sz="4" w:space="5" w:color="auto"/>
      </w:pBdr>
      <w:spacing w:before="600"/>
      <w:ind w:firstLine="284"/>
    </w:pPr>
    <w:rPr>
      <w:sz w:val="22"/>
      <w:szCs w:val="22"/>
    </w:rPr>
  </w:style>
  <w:style w:type="character" w:customStyle="1" w:styleId="FooterChar">
    <w:name w:val="Footer Char"/>
    <w:link w:val="Footer"/>
    <w:uiPriority w:val="99"/>
    <w:semiHidden/>
    <w:locked/>
    <w:rPr>
      <w:rFonts w:cs="Times New Roman"/>
      <w:sz w:val="20"/>
      <w:szCs w:val="20"/>
      <w:lang w:val="de-DE" w:eastAsia="en-US"/>
    </w:rPr>
  </w:style>
  <w:style w:type="character" w:styleId="Hyperlink">
    <w:name w:val="Hyperlink"/>
    <w:uiPriority w:val="99"/>
    <w:rPr>
      <w:rFonts w:cs="Times New Roman"/>
      <w:color w:val="0000FF"/>
      <w:u w:val="single"/>
    </w:rPr>
  </w:style>
  <w:style w:type="character" w:styleId="FollowedHyperlink">
    <w:name w:val="FollowedHyperlink"/>
    <w:uiPriority w:val="99"/>
    <w:rPr>
      <w:rFonts w:cs="Times New Roman"/>
      <w:color w:val="800080"/>
      <w:u w:val="single"/>
    </w:rPr>
  </w:style>
  <w:style w:type="paragraph" w:styleId="BalloonText">
    <w:name w:val="Balloon Text"/>
    <w:basedOn w:val="Normal"/>
    <w:link w:val="BalloonTextChar"/>
    <w:uiPriority w:val="99"/>
    <w:semiHidden/>
    <w:rPr>
      <w:rFonts w:ascii="Tahoma" w:hAnsi="Tahoma"/>
      <w:sz w:val="16"/>
      <w:szCs w:val="16"/>
    </w:rPr>
  </w:style>
  <w:style w:type="paragraph" w:styleId="FootnoteText">
    <w:name w:val="footnote text"/>
    <w:basedOn w:val="Normal"/>
    <w:link w:val="FootnoteTextChar"/>
    <w:uiPriority w:val="99"/>
    <w:semiHidden/>
  </w:style>
  <w:style w:type="character" w:customStyle="1" w:styleId="BalloonTextChar">
    <w:name w:val="Balloon Text Char"/>
    <w:link w:val="BalloonText"/>
    <w:uiPriority w:val="99"/>
    <w:semiHidden/>
    <w:locked/>
    <w:rPr>
      <w:rFonts w:ascii="Tahoma" w:hAnsi="Tahoma" w:cs="Tahoma"/>
      <w:sz w:val="16"/>
      <w:szCs w:val="16"/>
      <w:lang w:val="de-DE" w:eastAsia="en-US"/>
    </w:rPr>
  </w:style>
  <w:style w:type="character" w:styleId="FootnoteReference">
    <w:name w:val="footnote reference"/>
    <w:uiPriority w:val="99"/>
    <w:semiHidden/>
    <w:rPr>
      <w:rFonts w:cs="Times New Roman"/>
      <w:vertAlign w:val="superscript"/>
    </w:rPr>
  </w:style>
  <w:style w:type="character" w:customStyle="1" w:styleId="FootnoteTextChar">
    <w:name w:val="Footnote Text Char"/>
    <w:link w:val="FootnoteText"/>
    <w:uiPriority w:val="99"/>
    <w:semiHidden/>
    <w:locked/>
    <w:rPr>
      <w:rFonts w:cs="Times New Roman"/>
      <w:sz w:val="20"/>
      <w:szCs w:val="20"/>
      <w:lang w:val="de-DE" w:eastAsia="en-US"/>
    </w:rPr>
  </w:style>
  <w:style w:type="paragraph" w:styleId="HTMLPreformatted">
    <w:name w:val="HTML Preformatted"/>
    <w:basedOn w:val="Normal"/>
    <w:link w:val="HTMLPreformattedChar"/>
    <w:uiPriority w:val="99"/>
    <w:semiHidden/>
    <w:unhideWhenUsed/>
    <w:rsid w:val="001F5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lang w:val="x-none" w:eastAsia="x-none"/>
    </w:rPr>
  </w:style>
  <w:style w:type="character" w:customStyle="1" w:styleId="HTMLPreformattedChar">
    <w:name w:val="HTML Preformatted Char"/>
    <w:link w:val="HTMLPreformatted"/>
    <w:uiPriority w:val="99"/>
    <w:semiHidden/>
    <w:locked/>
    <w:rsid w:val="001F56DE"/>
    <w:rPr>
      <w:rFonts w:ascii="Courier New" w:hAnsi="Courier New" w:cs="Courier New"/>
      <w:sz w:val="20"/>
      <w:szCs w:val="20"/>
    </w:rPr>
  </w:style>
  <w:style w:type="character" w:customStyle="1" w:styleId="tlid-translation">
    <w:name w:val="tlid-translation"/>
    <w:rsid w:val="00610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190857">
      <w:bodyDiv w:val="1"/>
      <w:marLeft w:val="0"/>
      <w:marRight w:val="0"/>
      <w:marTop w:val="0"/>
      <w:marBottom w:val="0"/>
      <w:divBdr>
        <w:top w:val="none" w:sz="0" w:space="0" w:color="auto"/>
        <w:left w:val="none" w:sz="0" w:space="0" w:color="auto"/>
        <w:bottom w:val="none" w:sz="0" w:space="0" w:color="auto"/>
        <w:right w:val="none" w:sz="0" w:space="0" w:color="auto"/>
      </w:divBdr>
    </w:div>
    <w:div w:id="1845507172">
      <w:bodyDiv w:val="1"/>
      <w:marLeft w:val="0"/>
      <w:marRight w:val="0"/>
      <w:marTop w:val="0"/>
      <w:marBottom w:val="0"/>
      <w:divBdr>
        <w:top w:val="none" w:sz="0" w:space="0" w:color="auto"/>
        <w:left w:val="none" w:sz="0" w:space="0" w:color="auto"/>
        <w:bottom w:val="none" w:sz="0" w:space="0" w:color="auto"/>
        <w:right w:val="none" w:sz="0" w:space="0" w:color="auto"/>
      </w:divBdr>
    </w:div>
    <w:div w:id="2014649012">
      <w:marLeft w:val="0"/>
      <w:marRight w:val="0"/>
      <w:marTop w:val="0"/>
      <w:marBottom w:val="0"/>
      <w:divBdr>
        <w:top w:val="none" w:sz="0" w:space="0" w:color="auto"/>
        <w:left w:val="none" w:sz="0" w:space="0" w:color="auto"/>
        <w:bottom w:val="none" w:sz="0" w:space="0" w:color="auto"/>
        <w:right w:val="none" w:sz="0" w:space="0" w:color="auto"/>
      </w:divBdr>
    </w:div>
    <w:div w:id="2014649013">
      <w:marLeft w:val="0"/>
      <w:marRight w:val="0"/>
      <w:marTop w:val="0"/>
      <w:marBottom w:val="0"/>
      <w:divBdr>
        <w:top w:val="none" w:sz="0" w:space="0" w:color="auto"/>
        <w:left w:val="none" w:sz="0" w:space="0" w:color="auto"/>
        <w:bottom w:val="none" w:sz="0" w:space="0" w:color="auto"/>
        <w:right w:val="none" w:sz="0" w:space="0" w:color="auto"/>
      </w:divBdr>
    </w:div>
    <w:div w:id="2014649014">
      <w:marLeft w:val="0"/>
      <w:marRight w:val="0"/>
      <w:marTop w:val="0"/>
      <w:marBottom w:val="0"/>
      <w:divBdr>
        <w:top w:val="none" w:sz="0" w:space="0" w:color="auto"/>
        <w:left w:val="none" w:sz="0" w:space="0" w:color="auto"/>
        <w:bottom w:val="none" w:sz="0" w:space="0" w:color="auto"/>
        <w:right w:val="none" w:sz="0" w:space="0" w:color="auto"/>
      </w:divBdr>
    </w:div>
    <w:div w:id="201464901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22AD85-AEA0-425C-BC01-184E82FF2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Your Paper's Title Starts Here:</vt:lpstr>
    </vt:vector>
  </TitlesOfParts>
  <Company>Trans Tech Publications Ltd</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Paper's Title Starts Here:</dc:title>
  <dc:subject/>
  <dc:creator>Hans Neber-Aeschbacher</dc:creator>
  <cp:keywords/>
  <cp:lastModifiedBy>sirobo</cp:lastModifiedBy>
  <cp:revision>2</cp:revision>
  <cp:lastPrinted>2004-11-09T14:57:00Z</cp:lastPrinted>
  <dcterms:created xsi:type="dcterms:W3CDTF">2026-03-31T13:41:00Z</dcterms:created>
  <dcterms:modified xsi:type="dcterms:W3CDTF">2026-03-31T13:41:00Z</dcterms:modified>
</cp:coreProperties>
</file>