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EA5DCC" w:rsidRPr="00A96E00" w14:paraId="75E0D899" w14:textId="77777777" w:rsidTr="00512D87">
        <w:trPr>
          <w:trHeight w:val="422"/>
        </w:trPr>
        <w:tc>
          <w:tcPr>
            <w:tcW w:w="10422" w:type="dxa"/>
          </w:tcPr>
          <w:p w14:paraId="049EA196" w14:textId="0DED3AD9" w:rsidR="00EA5DCC" w:rsidRPr="00A96E00" w:rsidRDefault="00EA5DCC" w:rsidP="00EA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7"/>
              <w:rPr>
                <w:rFonts w:eastAsiaTheme="minorEastAsia"/>
                <w:color w:val="000000" w:themeColor="text1"/>
                <w:sz w:val="12"/>
                <w:szCs w:val="12"/>
                <w:lang w:val="en-US" w:eastAsia="ko-KR"/>
              </w:rPr>
            </w:pPr>
            <w:r w:rsidRPr="00A96E00">
              <w:rPr>
                <w:rFonts w:eastAsiaTheme="minorEastAsia"/>
                <w:color w:val="000000" w:themeColor="text1"/>
                <w:sz w:val="12"/>
                <w:szCs w:val="12"/>
                <w:lang w:val="en-US" w:eastAsia="ko-KR"/>
              </w:rPr>
              <w:t>© Jurnal Nasional Teknik Elektro dan Teknologi Informasi</w:t>
            </w:r>
          </w:p>
          <w:p w14:paraId="54A9B934" w14:textId="77777777" w:rsidR="00EA5DCC" w:rsidRPr="00A96E00" w:rsidRDefault="00EA5DCC" w:rsidP="00EA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7"/>
              <w:rPr>
                <w:rFonts w:eastAsiaTheme="minorEastAsia"/>
                <w:color w:val="000000" w:themeColor="text1"/>
                <w:sz w:val="12"/>
                <w:szCs w:val="12"/>
                <w:lang w:val="en-US" w:eastAsia="ko-KR"/>
              </w:rPr>
            </w:pPr>
            <w:r w:rsidRPr="00A96E00">
              <w:rPr>
                <w:rFonts w:eastAsiaTheme="minorEastAsia"/>
                <w:color w:val="000000" w:themeColor="text1"/>
                <w:sz w:val="12"/>
                <w:szCs w:val="12"/>
                <w:lang w:val="en-US" w:eastAsia="ko-KR"/>
              </w:rPr>
              <w:t>This work is licensed under a Creative Commons Attribution-ShareAlike 4.0 International License</w:t>
            </w:r>
          </w:p>
          <w:p w14:paraId="2E39AE4F" w14:textId="0E32E532" w:rsidR="00EA5DCC" w:rsidRPr="00A96E00" w:rsidRDefault="00EA5DCC" w:rsidP="00EA5DCC">
            <w:pPr>
              <w:ind w:left="-57"/>
              <w:rPr>
                <w:rFonts w:ascii="Helvetica" w:hAnsi="Helvetica"/>
                <w:b/>
                <w:bCs/>
                <w:color w:val="0070C0"/>
                <w:sz w:val="40"/>
                <w:szCs w:val="40"/>
                <w:lang w:val="en-US"/>
              </w:rPr>
            </w:pPr>
            <w:r w:rsidRPr="00A96E00">
              <w:rPr>
                <w:rFonts w:eastAsiaTheme="minorEastAsia"/>
                <w:color w:val="000000" w:themeColor="text1"/>
                <w:sz w:val="12"/>
                <w:szCs w:val="12"/>
                <w:lang w:val="en-US" w:eastAsia="ko-KR"/>
              </w:rPr>
              <w:t>DOI: 10.22146/jnteti.DOI number</w:t>
            </w:r>
          </w:p>
        </w:tc>
      </w:tr>
    </w:tbl>
    <w:p>
      <w:pPr>
        <w:spacing w:before="120" w:after="120"/>
        <w:rPr>
          <w:rFonts w:ascii="Helvetica" w:hAnsi="Helvetica"/>
          <w:b/>
          <w:bCs/>
          <w:sz w:val="18"/>
          <w:szCs w:val="18"/>
          <w:lang w:val="en-US"/>
        </w:rPr>
      </w:pPr>
      <w:r>
        <w:rPr>
          <w:rFonts w:ascii="Helvetica" w:hAnsi="Helvetica"/>
          <w:b/>
          <w:bCs/>
          <w:color w:val="0070C0"/>
          <w:sz w:val="40"/>
          <w:szCs w:val="40"/>
          <w:lang w:val="en-US"/>
        </w:rPr>
        <w:t>GestPLC: Real-Time Hand Gesture Recognition for PLC Control using MediaPipe and Modbus TCP for Industry 4.0 Applications</w:t>
      </w:r>
    </w:p>
    <w:p>
      <w:pPr>
        <w:spacing w:after="120"/>
        <w:rPr>
          <w:rFonts w:ascii="Helvetica" w:hAnsi="Helvetica"/>
          <w:b/>
          <w:bCs/>
          <w:sz w:val="18"/>
          <w:szCs w:val="18"/>
          <w:vertAlign w:val="superscript"/>
          <w:lang w:val="en-US"/>
        </w:rPr>
      </w:pPr>
      <w:r>
        <w:rPr>
          <w:rFonts w:ascii="Helvetica" w:hAnsi="Helvetica"/>
          <w:b/>
          <w:bCs/>
          <w:sz w:val="18"/>
          <w:szCs w:val="18"/>
          <w:lang w:val="en-US"/>
        </w:rPr>
        <w:t>Rofiq Cahyo Prayogo</w:t>
      </w:r>
      <w:r>
        <w:rPr>
          <w:rFonts w:ascii="Helvetica" w:hAnsi="Helvetica"/>
          <w:b/>
          <w:bCs/>
          <w:sz w:val="18"/>
          <w:szCs w:val="18"/>
          <w:vertAlign w:val="superscript"/>
          <w:lang w:val="en-US"/>
        </w:rPr>
        <w:t>1</w:t>
      </w:r>
      <w:r>
        <w:rPr>
          <w:rFonts w:ascii="Helvetica" w:hAnsi="Helvetica"/>
          <w:b/>
          <w:bCs/>
          <w:sz w:val="18"/>
          <w:szCs w:val="18"/>
          <w:lang w:val="en-US"/>
        </w:rPr>
        <w:t xml:space="preserve">, </w:t>
      </w:r>
      <w:r>
        <w:rPr>
          <w:rFonts w:ascii="Helvetica" w:hAnsi="Helvetica"/>
          <w:b/>
          <w:bCs/>
          <w:sz w:val="18"/>
          <w:szCs w:val="18"/>
          <w:lang w:val="en-US"/>
        </w:rPr>
        <w:t>Ahmad Ridlo Hanifudin Tahier</w:t>
      </w:r>
      <w:r>
        <w:rPr>
          <w:rFonts w:ascii="Helvetica" w:hAnsi="Helvetica"/>
          <w:b/>
          <w:bCs/>
          <w:sz w:val="18"/>
          <w:szCs w:val="18"/>
          <w:vertAlign w:val="superscript"/>
          <w:lang w:val="en-US"/>
        </w:rPr>
        <w:t>1</w:t>
      </w:r>
      <w:r>
        <w:rPr>
          <w:rFonts w:ascii="Helvetica" w:hAnsi="Helvetica"/>
          <w:b/>
          <w:bCs/>
          <w:sz w:val="18"/>
          <w:szCs w:val="18"/>
          <w:lang w:val="en-US"/>
        </w:rPr>
        <w:t xml:space="preserve">, </w:t>
      </w:r>
      <w:r>
        <w:rPr>
          <w:rFonts w:ascii="Helvetica" w:hAnsi="Helvetica"/>
          <w:b/>
          <w:bCs/>
          <w:sz w:val="18"/>
          <w:szCs w:val="18"/>
          <w:lang w:val="en-US"/>
        </w:rPr>
        <w:t>Munadi</w:t>
      </w:r>
      <w:r>
        <w:rPr>
          <w:rFonts w:ascii="Helvetica" w:hAnsi="Helvetica"/>
          <w:b/>
          <w:bCs/>
          <w:sz w:val="18"/>
          <w:szCs w:val="18"/>
          <w:vertAlign w:val="superscript"/>
          <w:lang w:val="en-US"/>
        </w:rPr>
        <w:t>2</w:t>
      </w:r>
    </w:p>
    <w:p>
      <w:pPr>
        <w:rPr>
          <w:strike/>
          <w:sz w:val="14"/>
          <w:szCs w:val="14"/>
          <w:lang w:val="en-US" w:eastAsia="en-GB"/>
        </w:rPr>
      </w:pPr>
      <w:r>
        <w:rPr>
          <w:sz w:val="14"/>
          <w:szCs w:val="14"/>
          <w:vertAlign w:val="superscript"/>
          <w:lang w:val="en-US" w:eastAsia="en-GB"/>
        </w:rPr>
        <w:t>1</w:t>
      </w:r>
      <w:r>
        <w:rPr>
          <w:sz w:val="14"/>
          <w:szCs w:val="14"/>
          <w:vertAlign w:val="superscript"/>
          <w:lang w:val="en-US" w:eastAsia="en-GB"/>
        </w:rPr>
        <w:t xml:space="preserve"> </w:t>
      </w:r>
      <w:r>
        <w:rPr>
          <w:sz w:val="14"/>
          <w:szCs w:val="14"/>
          <w:lang w:val="en-US" w:eastAsia="en-GB"/>
        </w:rPr>
        <w:t>Automation Engineering, Diponegoro University, Semarang, Indonesia</w:t>
      </w:r>
    </w:p>
    <w:p>
      <w:pPr>
        <w:ind w:left="113" w:hanging="113"/>
        <w:rPr>
          <w:sz w:val="14"/>
          <w:szCs w:val="14"/>
          <w:lang w:val="en-US" w:eastAsia="en-GB"/>
        </w:rPr>
      </w:pPr>
      <w:r>
        <w:rPr>
          <w:sz w:val="14"/>
          <w:szCs w:val="14"/>
          <w:vertAlign w:val="superscript"/>
          <w:lang w:val="en-US" w:eastAsia="en-GB"/>
        </w:rPr>
        <w:t>2</w:t>
      </w:r>
      <w:r>
        <w:rPr>
          <w:sz w:val="14"/>
          <w:szCs w:val="14"/>
          <w:vertAlign w:val="superscript"/>
          <w:lang w:val="en-US" w:eastAsia="en-GB"/>
        </w:rPr>
        <w:t xml:space="preserve"> </w:t>
      </w:r>
      <w:r>
        <w:rPr>
          <w:sz w:val="14"/>
          <w:szCs w:val="14"/>
          <w:lang w:val="en-US" w:eastAsia="en-GB"/>
        </w:rPr>
        <w:t>Mechanical Engineering, Diponegoro University, Semarang, Indonesia</w:t>
      </w:r>
    </w:p>
    <w:p>
      <w:pPr>
        <w:spacing w:before="120"/>
        <w:ind w:left="113" w:hanging="113"/>
        <w:rPr>
          <w:sz w:val="14"/>
          <w:szCs w:val="14"/>
          <w:lang w:val="en-US" w:eastAsia="en-GB"/>
        </w:rPr>
      </w:pPr>
      <w:r>
        <w:rPr>
          <w:sz w:val="14"/>
          <w:szCs w:val="14"/>
          <w:lang w:val="en-US" w:eastAsia="en-GB"/>
        </w:rPr>
        <w:t>[Received: DD MM YY, Revised: DD MM YY, Accepted: DD MM YY]</w:t>
      </w:r>
    </w:p>
    <w:p>
      <w:pPr>
        <w:spacing w:after="240"/>
        <w:contextualSpacing/>
        <w:rPr>
          <w:sz w:val="14"/>
          <w:szCs w:val="14"/>
          <w:lang w:val="en-US" w:eastAsia="en-GB"/>
        </w:rPr>
        <w:sectPr w:rsidR="00A225DD" w:rsidRPr="00A96E00" w:rsidSect="006D0510">
          <w:headerReference w:type="even" r:id="rId7"/>
          <w:headerReference w:type="default" r:id="rId8"/>
          <w:footerReference w:type="even" r:id="rId9"/>
          <w:footerReference w:type="default" r:id="rId10"/>
          <w:type w:val="continuous"/>
          <w:pgSz w:w="11906" w:h="16838"/>
          <w:pgMar w:top="1304" w:right="737" w:bottom="1021" w:left="737" w:header="431" w:footer="431" w:gutter="0"/>
          <w:cols w:space="403"/>
          <w:docGrid w:linePitch="360"/>
        </w:sectPr>
      </w:pPr>
      <w:r>
        <w:rPr>
          <w:sz w:val="14"/>
          <w:szCs w:val="14"/>
          <w:lang w:val="en-US" w:eastAsia="en-GB"/>
        </w:rPr>
        <w:t>Corresponding Author: Rofiq Cahyo Prayogo (email: rofiqotomasi@lecturer.undip.ac.id)</w:t>
      </w:r>
    </w:p>
    <w:p>
      <w:pPr>
        <w:contextualSpacing/>
        <w:rPr>
          <w:lang w:val="en-US"/>
        </w:rPr>
        <w:sectPr w:rsidR="00BD0603" w:rsidRPr="00A96E00" w:rsidSect="006D0510">
          <w:headerReference w:type="even" r:id="rId11"/>
          <w:headerReference w:type="default" r:id="rId12"/>
          <w:footerReference w:type="even" r:id="rId13"/>
          <w:footerReference w:type="default" r:id="rId14"/>
          <w:type w:val="continuous"/>
          <w:pgSz w:w="11906" w:h="16838"/>
          <w:pgMar w:top="1304" w:right="737" w:bottom="1021" w:left="737" w:header="431" w:footer="431" w:gutter="0"/>
          <w:cols w:space="403"/>
          <w:docGrid w:linePitch="360"/>
        </w:sectPr>
      </w:pPr>
    </w:p>
    <w:p>
      <w:pPr>
        <w:spacing w:after="240"/>
        <w:ind w:left="284" w:right="284"/>
        <w:contextualSpacing/>
        <w:jc w:val="both"/>
        <w:rPr>
          <w:sz w:val="18"/>
          <w:szCs w:val="18"/>
          <w:lang w:val="en-US"/>
        </w:rPr>
      </w:pPr>
      <w:r>
        <w:rPr>
          <w:rFonts w:ascii="Helvetica" w:hAnsi="Helvetica"/>
          <w:b/>
          <w:bCs/>
          <w:color w:val="0070C0"/>
          <w:sz w:val="18"/>
          <w:szCs w:val="20"/>
          <w:lang w:val="en-US"/>
        </w:rPr>
        <w:t>ABSTRACT</w:t>
      </w:r>
      <w:r>
        <w:rPr>
          <w:rFonts w:ascii="Helvetica" w:hAnsi="Helvetica"/>
          <w:b/>
          <w:bCs/>
          <w:color w:val="0070C0"/>
          <w:sz w:val="20"/>
          <w:szCs w:val="20"/>
          <w:lang w:val="en-US"/>
        </w:rPr>
        <w:t xml:space="preserve"> </w:t>
      </w:r>
      <w:r>
        <w:rPr>
          <w:color w:val="000000" w:themeColor="text1"/>
          <w:sz w:val="20"/>
          <w:szCs w:val="20"/>
          <w:lang w:val="en-US"/>
        </w:rPr>
        <w:t>—</w:t>
      </w:r>
      <w:r>
        <w:rPr>
          <w:color w:val="000000" w:themeColor="text1"/>
          <w:sz w:val="20"/>
          <w:szCs w:val="20"/>
          <w:lang w:val="en-US"/>
        </w:rPr>
        <w:t xml:space="preserve"> </w:t>
      </w:r>
      <w:r>
        <w:rPr>
          <w:b w:val="0"/>
          <w:i w:val="0"/>
          <w:color w:val="000000" w:themeColor="text1"/>
          <w:sz w:val="20"/>
          <w:szCs w:val="20"/>
          <w:u w:val="none"/>
          <w:lang w:val="en-US"/>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IEEEAbtract"/>
        <w:spacing w:after="360"/>
        <w:ind w:left="284" w:right="284"/>
        <w:contextualSpacing/>
        <w:rPr>
          <w:b w:val="0"/>
          <w:bCs/>
          <w:sz w:val="20"/>
          <w:szCs w:val="20"/>
          <w:shd w:val="clear" w:color="auto" w:fill="FFFFFF"/>
          <w:lang w:val="en-US"/>
        </w:rPr>
        <w:sectPr w:rsidR="00E04947" w:rsidRPr="00A96E00" w:rsidSect="006D0510">
          <w:type w:val="continuous"/>
          <w:pgSz w:w="11906" w:h="16838"/>
          <w:pgMar w:top="1304" w:right="737" w:bottom="1021" w:left="737" w:header="431" w:footer="431" w:gutter="0"/>
          <w:cols w:space="403"/>
          <w:docGrid w:linePitch="360"/>
        </w:sectPr>
      </w:pPr>
      <w:r>
        <w:rPr>
          <w:rStyle w:val="IEEEAbstractHeadingChar"/>
          <w:rFonts w:ascii="Helvetica" w:hAnsi="Helvetica"/>
          <w:b/>
          <w:i w:val="0"/>
          <w:iCs/>
          <w:color w:val="0070C0"/>
          <w:lang w:val="en-US"/>
          <w:sz w:val="18"/>
          <w:szCs w:val="20"/>
        </w:rPr>
        <w:t>KEYWORDS</w:t>
      </w:r>
      <w:r>
        <w:rPr>
          <w:rStyle w:val="IEEEAbstractHeadingChar"/>
          <w:rFonts w:ascii="Helvetica" w:hAnsi="Helvetica"/>
          <w:b/>
          <w:i w:val="0"/>
          <w:iCs/>
          <w:color w:val="0070C0"/>
          <w:lang w:val="en-US"/>
          <w:sz w:val="20"/>
          <w:szCs w:val="20"/>
        </w:rPr>
        <w:t xml:space="preserve"> </w:t>
      </w:r>
      <w:r>
        <w:rPr>
          <w:b w:val="0"/>
          <w:bCs/>
          <w:color w:val="000000" w:themeColor="text1"/>
          <w:szCs w:val="20"/>
          <w:lang w:val="en-US"/>
          <w:sz w:val="20"/>
        </w:rPr>
        <w:t>—</w:t>
      </w:r>
      <w:r>
        <w:rPr>
          <w:b w:val="0"/>
          <w:bCs/>
          <w:color w:val="000000" w:themeColor="text1"/>
          <w:szCs w:val="20"/>
          <w:lang w:val="en-US"/>
          <w:sz w:val="20"/>
        </w:rPr>
        <w:t xml:space="preserve"> </w:t>
      </w:r>
      <w:r>
        <w:rPr>
          <w:b w:val="0"/>
          <w:bCs/>
          <w:i w:val="0"/>
          <w:color w:val="000000" w:themeColor="text1"/>
          <w:szCs w:val="20"/>
          <w:u w:val="none"/>
          <w:lang w:val="en-US"/>
          <w:sz w:val="20"/>
        </w:rPr>
        <w:t>Hand Gesture Recognition, PLC Control, MediaPipe, Modbus TCP, Industry 4.0, Threading.</w:t>
      </w:r>
    </w:p>
    <w:p>
      <w:pPr>
        <w:pStyle w:val="IEEEHeading1"/>
        <w:spacing w:after="0"/>
        <w:contextualSpacing/>
        <w:jc w:val="left"/>
        <w:rPr>
          <w:b/>
          <w:bCs/>
          <w:color w:val="0070C0"/>
          <w:lang w:val="en-US"/>
        </w:rPr>
      </w:pPr>
      <w:r>
        <w:rPr>
          <w:rFonts w:ascii="Helvetica" w:hAnsi="Helvetica"/>
          <w:b/>
          <w:bCs/>
          <w:color w:val="0070C0"/>
          <w:sz w:val="18"/>
          <w:szCs w:val="18"/>
          <w:lang w:val="en-US"/>
        </w:rPr>
        <w:t>PENDAHULUAN</w:t>
      </w:r>
    </w:p>
    <w:p>
      <w:pPr>
        <w:pStyle w:val="IEEEParagraph"/>
        <w:ind w:firstLine="288"/>
        <w:rPr>
          <w:szCs w:val="20"/>
          <w:lang w:val="en-US"/>
        </w:rPr>
      </w:pPr>
      <w:r>
        <w:rPr>
          <w:b w:val="0"/>
          <w:i w:val="0"/>
          <w:szCs w:val="20"/>
          <w:u w:val="none"/>
          <w:lang w:val="en-US"/>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IEEEParagraph"/>
        <w:ind w:firstLine="288"/>
        <w:rPr>
          <w:szCs w:val="20"/>
          <w:lang w:val="en-US"/>
        </w:rPr>
      </w:pPr>
      <w:r>
        <w:rPr>
          <w:b w:val="0"/>
          <w:i w:val="0"/>
          <w:szCs w:val="20"/>
          <w:u w:val="none"/>
          <w:lang w:val="en-US"/>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IEEEParagraph"/>
        <w:ind w:firstLine="288"/>
        <w:rPr>
          <w:szCs w:val="20"/>
          <w:lang w:val="en-US"/>
        </w:rPr>
      </w:pPr>
      <w:r>
        <w:rPr>
          <w:b w:val="0"/>
          <w:i w:val="0"/>
          <w:szCs w:val="20"/>
          <w:u w:val="none"/>
          <w:lang w:val="en-US"/>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IEEEParagraph"/>
        <w:ind w:firstLine="288"/>
        <w:rPr>
          <w:szCs w:val="20"/>
          <w:lang w:val="en-US"/>
        </w:rPr>
      </w:pPr>
      <w:r>
        <w:rPr>
          <w:b w:val="0"/>
          <w:i w:val="0"/>
          <w:szCs w:val="20"/>
          <w:u w:val="none"/>
          <w:lang w:val="en-US"/>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IEEEParagraph"/>
        <w:ind w:firstLine="288"/>
        <w:rPr>
          <w:szCs w:val="20"/>
          <w:lang w:val="en-US"/>
        </w:rPr>
      </w:pPr>
      <w:r>
        <w:rPr>
          <w:b w:val="0"/>
          <w:i w:val="0"/>
          <w:szCs w:val="20"/>
          <w:u w:val="none"/>
          <w:lang w:val="en-US"/>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IEEEHeading1"/>
        <w:spacing w:after="0"/>
        <w:contextualSpacing/>
        <w:jc w:val="left"/>
        <w:rPr>
          <w:b/>
          <w:bCs/>
          <w:color w:val="0070C0"/>
          <w:lang w:val="en-US"/>
        </w:rPr>
      </w:pPr>
      <w:r>
        <w:rPr>
          <w:rFonts w:ascii="Helvetica" w:hAnsi="Helvetica"/>
          <w:b/>
          <w:bCs/>
          <w:color w:val="0070C0"/>
          <w:sz w:val="18"/>
          <w:szCs w:val="18"/>
          <w:lang w:val="en-US"/>
        </w:rPr>
        <w:t>TINJAUAN PUSTAKA</w:t>
      </w:r>
    </w:p>
    <w:p>
      <w:pPr>
        <w:pStyle w:val="IEEEHeading2"/>
        <w:numPr>
          <w:ilvl w:val="0"/>
          <w:numId w:val="18"/>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METODE PENGENALAN GESTUR TANGAN</w:t>
      </w:r>
    </w:p>
    <w:p>
      <w:pPr>
        <w:pStyle w:val="IEEEParagraph"/>
        <w:ind w:firstLine="288"/>
        <w:rPr>
          <w:szCs w:val="20"/>
          <w:lang w:val="en-US"/>
        </w:rPr>
      </w:pPr>
      <w:r>
        <w:rPr>
          <w:b w:val="0"/>
          <w:i w:val="0"/>
          <w:szCs w:val="20"/>
          <w:u w:val="none"/>
          <w:lang w:val="en-US"/>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jc w:val="center"/>
      </w:pPr>
      <w:r>
        <w:rPr>
          <w:i/>
          <w:color w:val="FF0000"/>
        </w:rPr>
        <w:t>[PROMPT UNTUK AI GAMBAR: Timeline Evolusi Teknologi Pengenalan Gestur Tangan. A clean, academic-style horizontal timeline infographic illustrating the evolution of hand gesture recognition technology from 1990 to 2024. The timeline flows left to right with labeled milestones at roughly 1990 for HOG and SVM handcrafted descriptors, 2005 for SIFT feature matching, 2012 for the deep CNN revolution, 2018 for LSTM temporal gesture models, and 2019 onward for MediaPipe lightweight landmark tracking. Each era features a small illustrative icon suggesting its dominant method. The background is white or light gray, typography is clean sans-serif, and color accents distinguish each technology generation. Style is consistent with IEEE conference paper figures, professional, readable, and uncluttered, with no decorative flourishes.]</w:t>
      </w:r>
    </w:p>
    <w:p>
      <w:pPr>
        <w:pStyle w:val="IEEEFigure"/>
        <w:spacing w:before="60" w:after="120"/>
        <w:jc w:val="center"/>
      </w:pPr>
      <w:r>
        <w:rPr>
          <w:rFonts w:ascii="Helvetica" w:hAnsi="Helvetica"/>
          <w:b/>
          <w:sz w:val="14"/>
        </w:rPr>
        <w:t xml:space="preserve">Figure 1. </w:t>
      </w:r>
      <w:r>
        <w:rPr>
          <w:rFonts w:ascii="Helvetica" w:hAnsi="Helvetica"/>
          <w:b w:val="0"/>
          <w:sz w:val="14"/>
        </w:rPr>
        <w:t>Timeline Evolusi Teknologi Pengenalan Gestur Tangan</w:t>
      </w:r>
    </w:p>
    <w:p>
      <w:pPr>
        <w:pStyle w:val="IEEEParagraph"/>
        <w:ind w:firstLine="288"/>
        <w:rPr>
          <w:szCs w:val="20"/>
          <w:lang w:val="en-US"/>
        </w:rPr>
      </w:pPr>
      <w:r>
        <w:rPr>
          <w:b w:val="0"/>
          <w:i w:val="0"/>
          <w:szCs w:val="20"/>
          <w:u w:val="none"/>
          <w:lang w:val="en-US"/>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w:rPr>
                <w:rFonts w:ascii="Cambria Math" w:hAnsi="Cambria Math"/>
                <w:sz w:val="20"/>
                <w:szCs w:val="20"/>
                <w:lang w:val="en-US"/>
              </w:rPr>
              <m:t>P</m:t>
            </m:r>
          </m:e>
          <m:sub>
            <m:r>
              <w:rPr>
                <w:rFonts w:ascii="Cambria Math" w:hAnsi="Cambria Math"/>
                <w:sz w:val="20"/>
                <w:szCs w:val="20"/>
                <w:lang w:val="en-US"/>
              </w:rPr>
              <m:t>i</m:t>
            </m:r>
          </m:sub>
        </m:sSub>
        <m:r>
          <w:rPr>
            <w:rFonts w:ascii="Cambria Math" w:hAnsi="Cambria Math"/>
            <w:sz w:val="20"/>
            <w:szCs w:val="20"/>
            <w:lang w:val="en-US"/>
          </w:rPr>
          <m:t>=(</m:t>
        </m:r>
        <m:sSub>
          <m:e>
            <m:r>
              <w:rPr>
                <w:rFonts w:ascii="Cambria Math" w:hAnsi="Cambria Math"/>
                <w:sz w:val="20"/>
                <w:szCs w:val="20"/>
                <w:lang w:val="en-US"/>
              </w:rPr>
              <m:t>x</m:t>
            </m:r>
          </m:e>
          <m:sub>
            <m:r>
              <w:rPr>
                <w:rFonts w:ascii="Cambria Math" w:hAnsi="Cambria Math"/>
                <w:sz w:val="20"/>
                <w:szCs w:val="20"/>
                <w:lang w:val="en-US"/>
              </w:rPr>
              <m:t>i</m:t>
            </m:r>
          </m:sub>
        </m:sSub>
        <m:r>
          <w:rPr>
            <w:rFonts w:ascii="Cambria Math" w:hAnsi="Cambria Math"/>
            <w:sz w:val="20"/>
            <w:szCs w:val="20"/>
            <w:lang w:val="en-US"/>
          </w:rPr>
          <m:t>,</m:t>
        </m:r>
        <m:sSub>
          <m:e>
            <m:r>
              <w:rPr>
                <w:rFonts w:ascii="Cambria Math" w:hAnsi="Cambria Math"/>
                <w:sz w:val="20"/>
                <w:szCs w:val="20"/>
                <w:lang w:val="en-US"/>
              </w:rPr>
              <m:t>y</m:t>
            </m:r>
          </m:e>
          <m:sub>
            <m:r>
              <w:rPr>
                <w:rFonts w:ascii="Cambria Math" w:hAnsi="Cambria Math"/>
                <w:sz w:val="20"/>
                <w:szCs w:val="20"/>
                <w:lang w:val="en-US"/>
              </w:rPr>
              <m:t>i</m:t>
            </m:r>
          </m:sub>
        </m:sSub>
        <m:r>
          <w:rPr>
            <w:rFonts w:ascii="Cambria Math" w:hAnsi="Cambria Math"/>
            <w:sz w:val="20"/>
            <w:szCs w:val="20"/>
            <w:lang w:val="en-US"/>
          </w:rPr>
          <m:t>,</m:t>
        </m:r>
        <m:sSub>
          <m:e>
            <m:r>
              <w:rPr>
                <w:rFonts w:ascii="Cambria Math" w:hAnsi="Cambria Math"/>
                <w:sz w:val="20"/>
                <w:szCs w:val="20"/>
                <w:lang w:val="en-US"/>
              </w:rPr>
              <m:t>z</m:t>
            </m:r>
          </m:e>
          <m:sub>
            <m:r>
              <w:rPr>
                <w:rFonts w:ascii="Cambria Math" w:hAnsi="Cambria Math"/>
                <w:sz w:val="20"/>
                <w:szCs w:val="20"/>
                <w:lang w:val="en-US"/>
              </w:rPr>
              <m:t>i</m:t>
            </m:r>
          </m:sub>
        </m:sSub>
        <m:r>
          <w:rPr>
            <w:rFonts w:ascii="Cambria Math" w:hAnsi="Cambria Math"/>
            <w:sz w:val="20"/>
            <w:szCs w:val="20"/>
            <w:lang w:val="en-US"/>
          </w:rPr>
          <m:t>)</m:t>
        </m:r>
      </m:oMath>
      <w:r>
        <w:rPr>
          <w:b w:val="0"/>
          <w:i w:val="0"/>
          <w:szCs w:val="20"/>
          <w:u w:val="none"/>
          <w:lang w:val="en-US"/>
        </w:rPr>
        <w:t xml:space="preserve"> diumpankan ke mesin aturan geometris yang berjalan di bawah satu milidetik tanpa data pelatihan. Perubahan set gestur hanya memerlukan penyesuaian threshold sudut.</w:t>
      </w:r>
    </w:p>
    <w:p>
      <w:pPr>
        <w:pStyle w:val="IEEEHeading2"/>
        <w:numPr>
          <w:ilvl w:val="0"/>
          <w:numId w:val="18"/>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PROTOKOL KOMUNIKASI PLC DAN MODBUS TCP</w:t>
      </w:r>
    </w:p>
    <w:p>
      <w:pPr>
        <w:pStyle w:val="IEEEParagraph"/>
        <w:ind w:firstLine="288"/>
        <w:rPr>
          <w:szCs w:val="20"/>
          <w:lang w:val="en-US"/>
        </w:rPr>
      </w:pPr>
      <w:r>
        <w:rPr>
          <w:b w:val="0"/>
          <w:i w:val="0"/>
          <w:szCs w:val="20"/>
          <w:u w:val="none"/>
          <w:lang w:val="en-US"/>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IEEEHeading2"/>
        <w:numPr>
          <w:ilvl w:val="0"/>
          <w:numId w:val="18"/>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ANTARMUKA MANUSIA-MESIN TANPA SENTUHAN</w:t>
      </w:r>
    </w:p>
    <w:p>
      <w:pPr>
        <w:pStyle w:val="IEEEParagraph"/>
        <w:ind w:firstLine="288"/>
        <w:rPr>
          <w:szCs w:val="20"/>
          <w:lang w:val="en-US"/>
        </w:rPr>
      </w:pPr>
      <w:r>
        <w:rPr>
          <w:b w:val="0"/>
          <w:i w:val="0"/>
          <w:szCs w:val="20"/>
          <w:u w:val="none"/>
          <w:lang w:val="en-US"/>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IEEEHeading1"/>
        <w:spacing w:after="0"/>
        <w:contextualSpacing/>
        <w:jc w:val="left"/>
        <w:rPr>
          <w:b/>
          <w:bCs/>
          <w:color w:val="0070C0"/>
          <w:lang w:val="en-US"/>
        </w:rPr>
      </w:pPr>
      <w:r>
        <w:rPr>
          <w:rFonts w:ascii="Helvetica" w:hAnsi="Helvetica"/>
          <w:b/>
          <w:bCs/>
          <w:color w:val="0070C0"/>
          <w:sz w:val="18"/>
          <w:szCs w:val="18"/>
          <w:lang w:val="en-US"/>
        </w:rPr>
        <w:t>METODOLOGI</w:t>
      </w:r>
    </w:p>
    <w:p>
      <w:pPr>
        <w:pStyle w:val="IEEEHeading2"/>
        <w:numPr>
          <w:ilvl w:val="0"/>
          <w:numId w:val="19"/>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ARSITEKTUR TIGA THREAD</w:t>
      </w:r>
    </w:p>
    <w:p>
      <w:pPr>
        <w:pStyle w:val="IEEEParagraph"/>
        <w:ind w:firstLine="288"/>
        <w:rPr>
          <w:szCs w:val="20"/>
          <w:lang w:val="en-US"/>
        </w:rPr>
      </w:pPr>
      <w:r>
        <w:rPr>
          <w:b w:val="0"/>
          <w:i w:val="0"/>
          <w:szCs w:val="20"/>
          <w:u w:val="none"/>
          <w:lang w:val="en-US"/>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jc w:val="center"/>
      </w:pPr>
      <w:r>
        <w:rPr>
          <w:i/>
          <w:color w:val="FF0000"/>
        </w:rPr>
        <w:t>[PROMPT UNTUK AI GAMBAR: Arsitektur Sistem GestPLC. A clear block-diagram of the GestPLC system architecture showing three main components connected in sequence: a USB webcam on the left, a personal computer in the center, and a Schneider Modicon M221 PLC on the right. Inside the PC block, three labeled thread boxes are shown: Thread 1 for frame capture via OpenCV, Thread 2 for MediaPipe gesture classification, and Thread 3 for Modbus TCP communication. Directional arrows indicate data flow from the webcam through the CPU threads to the PLC over a Cat-5e Ethernet link. Modbus FC1 read and FC15 write labels appear on the connecting line. Background is white, style is clean and minimal, suitable for an IEEE conference paper.]</w:t>
      </w:r>
    </w:p>
    <w:p>
      <w:pPr>
        <w:pStyle w:val="IEEEFigure"/>
        <w:spacing w:before="60" w:after="120"/>
        <w:jc w:val="center"/>
      </w:pPr>
      <w:r>
        <w:rPr>
          <w:rFonts w:ascii="Helvetica" w:hAnsi="Helvetica"/>
          <w:b/>
          <w:sz w:val="14"/>
        </w:rPr>
        <w:t xml:space="preserve">Figure 2. </w:t>
      </w:r>
      <w:r>
        <w:rPr>
          <w:rFonts w:ascii="Helvetica" w:hAnsi="Helvetica"/>
          <w:b w:val="0"/>
          <w:sz w:val="14"/>
        </w:rPr>
        <w:t>Arsitektur Sistem GestPLC</w:t>
      </w:r>
    </w:p>
    <w:p>
      <w:pPr>
        <w:pStyle w:val="IEEEParagraph"/>
        <w:ind w:firstLine="288"/>
        <w:rPr>
          <w:szCs w:val="20"/>
          <w:lang w:val="en-US"/>
        </w:rPr>
      </w:pPr>
      <w:r>
        <w:rPr>
          <w:b w:val="0"/>
          <w:i w:val="0"/>
          <w:szCs w:val="20"/>
          <w:u w:val="none"/>
          <w:lang w:val="en-US"/>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tabs>
          <w:tab w:val="center" w:pos="2410"/>
          <w:tab w:val="right" w:pos="4962"/>
        </w:tabs>
        <w:spacing w:before="120" w:after="120"/>
        <w:rPr>
          <w:lang w:val="en-US"/>
        </w:rPr>
      </w:pPr>
      <w:r>
        <w:tab/>
      </w:r>
      <m:oMath xmlns:mml="http://www.w3.org/1998/Math/MathML">
        <m:sSub>
          <m:e>
            <m:r>
              <w:rPr>
                <w:rFonts w:ascii="Cambria Math" w:hAnsi="Cambria Math"/>
                <w:sz w:val="20"/>
                <w:szCs w:val="20"/>
                <w:lang w:val="en-US"/>
              </w:rPr>
              <m:t>T</m:t>
            </m:r>
          </m:e>
          <m:sub>
            <m:r>
              <w:rPr>
                <w:rFonts w:ascii="Cambria Math" w:hAnsi="Cambria Math"/>
                <w:sz w:val="20"/>
                <w:szCs w:val="20"/>
                <w:lang w:val="en-US"/>
              </w:rPr>
              <m:rPr>
                <m:sty m:val="p"/>
              </m:rPr>
              <m:t>total</m:t>
            </m:r>
          </m:sub>
        </m:sSub>
        <m:r>
          <w:rPr>
            <w:rFonts w:ascii="Cambria Math" w:hAnsi="Cambria Math"/>
            <w:sz w:val="20"/>
            <w:szCs w:val="20"/>
            <w:lang w:val="en-US"/>
          </w:rPr>
          <m:t>≈max(</m:t>
        </m:r>
        <m:sSub>
          <m:e>
            <m:r>
              <w:rPr>
                <w:rFonts w:ascii="Cambria Math" w:hAnsi="Cambria Math"/>
                <w:sz w:val="20"/>
                <w:szCs w:val="20"/>
                <w:lang w:val="en-US"/>
              </w:rPr>
              <m:t>T</m:t>
            </m:r>
          </m:e>
          <m:sub>
            <m:r>
              <w:rPr>
                <w:rFonts w:ascii="Cambria Math" w:hAnsi="Cambria Math"/>
                <w:sz w:val="20"/>
                <w:szCs w:val="20"/>
                <w:lang w:val="en-US"/>
              </w:rPr>
              <m:rPr>
                <m:sty m:val="p"/>
              </m:rPr>
              <m:t>cap</m:t>
            </m:r>
          </m:sub>
        </m:sSub>
        <m:r>
          <w:rPr>
            <w:rFonts w:ascii="Cambria Math" w:hAnsi="Cambria Math"/>
            <w:sz w:val="20"/>
            <w:szCs w:val="20"/>
            <w:lang w:val="en-US"/>
          </w:rPr>
          <m:t>,</m:t>
        </m:r>
        <m:sSub>
          <m:e>
            <m:r>
              <w:rPr>
                <w:rFonts w:ascii="Cambria Math" w:hAnsi="Cambria Math"/>
                <w:sz w:val="20"/>
                <w:szCs w:val="20"/>
                <w:lang w:val="en-US"/>
              </w:rPr>
              <m:t>T</m:t>
            </m:r>
          </m:e>
          <m:sub>
            <m:r>
              <w:rPr>
                <w:rFonts w:ascii="Cambria Math" w:hAnsi="Cambria Math"/>
                <w:sz w:val="20"/>
                <w:szCs w:val="20"/>
                <w:lang w:val="en-US"/>
              </w:rPr>
              <m:rPr>
                <m:sty m:val="p"/>
              </m:rPr>
              <m:t>inf</m:t>
            </m:r>
          </m:sub>
        </m:sSub>
        <m:r>
          <w:rPr>
            <w:rFonts w:ascii="Cambria Math" w:hAnsi="Cambria Math"/>
            <w:sz w:val="20"/>
            <w:szCs w:val="20"/>
            <w:lang w:val="en-US"/>
          </w:rPr>
          <m:t>,</m:t>
        </m:r>
        <m:sSub>
          <m:e>
            <m:r>
              <w:rPr>
                <w:rFonts w:ascii="Cambria Math" w:hAnsi="Cambria Math"/>
                <w:sz w:val="20"/>
                <w:szCs w:val="20"/>
                <w:lang w:val="en-US"/>
              </w:rPr>
              <m:t>T</m:t>
            </m:r>
          </m:e>
          <m:sub>
            <m:r>
              <w:rPr>
                <w:rFonts w:ascii="Cambria Math" w:hAnsi="Cambria Math"/>
                <w:sz w:val="20"/>
                <w:szCs w:val="20"/>
                <w:lang w:val="en-US"/>
              </w:rPr>
              <m:rPr>
                <m:sty m:val="p"/>
              </m:rPr>
              <m:t>modbus</m:t>
            </m:r>
          </m:sub>
        </m:sSub>
        <m:r>
          <w:rPr>
            <w:rFonts w:ascii="Cambria Math" w:hAnsi="Cambria Math"/>
            <w:sz w:val="20"/>
            <w:szCs w:val="20"/>
            <w:lang w:val="en-US"/>
          </w:rPr>
          <m:t>)+</m:t>
        </m:r>
        <m:sSub>
          <m:e>
            <m:r>
              <w:rPr>
                <w:rFonts w:ascii="Cambria Math" w:hAnsi="Cambria Math"/>
                <w:sz w:val="20"/>
                <w:szCs w:val="20"/>
                <w:lang w:val="en-US"/>
              </w:rPr>
              <m:t>T</m:t>
            </m:r>
          </m:e>
          <m:sub>
            <m:r>
              <w:rPr>
                <w:rFonts w:ascii="Cambria Math" w:hAnsi="Cambria Math"/>
                <w:sz w:val="20"/>
                <w:szCs w:val="20"/>
                <w:lang w:val="en-US"/>
              </w:rPr>
              <m:rPr>
                <m:sty m:val="p"/>
              </m:rPr>
              <m:t>queue</m:t>
            </m:r>
          </m:sub>
        </m:sSub>
      </m:oMath>
      <w:r>
        <w:t xml:space="preserve"> </w:t>
      </w:r>
      <w:r>
        <w:tab/>
      </w:r>
      <w:r>
        <w:rPr>
          <w:iCs/>
          <w:sz w:val="20"/>
          <w:szCs w:val="20"/>
          <w:lang w:val="en-US"/>
        </w:rPr>
        <w:t>(1)</w:t>
      </w:r>
    </w:p>
    <w:p>
      <w:pPr>
        <w:pStyle w:val="IEEEParagraph"/>
        <w:ind w:firstLine="288"/>
        <w:rPr>
          <w:szCs w:val="20"/>
          <w:lang w:val="en-US"/>
        </w:rPr>
      </w:pPr>
      <w:r>
        <w:rPr>
          <w:b w:val="0"/>
          <w:i w:val="0"/>
          <w:szCs w:val="20"/>
          <w:u w:val="none"/>
          <w:lang w:val="en-US"/>
        </w:rPr>
        <w:t xml:space="preserve">Di sini </w:t>
      </w:r>
      <m:oMath xmlns:mml="http://www.w3.org/1998/Math/MathML">
        <m:sSub>
          <m:e>
            <m:r>
              <w:rPr>
                <w:rFonts w:ascii="Cambria Math" w:hAnsi="Cambria Math"/>
                <w:sz w:val="20"/>
                <w:szCs w:val="20"/>
                <w:lang w:val="en-US"/>
              </w:rPr>
              <m:t>T</m:t>
            </m:r>
          </m:e>
          <m:sub>
            <m:r>
              <w:rPr>
                <w:rFonts w:ascii="Cambria Math" w:hAnsi="Cambria Math"/>
                <w:sz w:val="20"/>
                <w:szCs w:val="20"/>
                <w:lang w:val="en-US"/>
              </w:rPr>
              <m:rPr>
                <m:sty m:val="p"/>
              </m:rPr>
              <m:t>cap</m:t>
            </m:r>
          </m:sub>
        </m:sSub>
      </m:oMath>
      <w:r>
        <w:rPr>
          <w:b w:val="0"/>
          <w:i w:val="0"/>
          <w:szCs w:val="20"/>
          <w:u w:val="none"/>
          <w:lang w:val="en-US"/>
        </w:rPr>
        <w:t xml:space="preserve"> adalah waktu penangkapan kamera, </w:t>
      </w:r>
      <m:oMath xmlns:mml="http://www.w3.org/1998/Math/MathML">
        <m:sSub>
          <m:e>
            <m:r>
              <w:rPr>
                <w:rFonts w:ascii="Cambria Math" w:hAnsi="Cambria Math"/>
                <w:sz w:val="20"/>
                <w:szCs w:val="20"/>
                <w:lang w:val="en-US"/>
              </w:rPr>
              <m:t>T</m:t>
            </m:r>
          </m:e>
          <m:sub>
            <m:r>
              <w:rPr>
                <w:rFonts w:ascii="Cambria Math" w:hAnsi="Cambria Math"/>
                <w:sz w:val="20"/>
                <w:szCs w:val="20"/>
                <w:lang w:val="en-US"/>
              </w:rPr>
              <m:rPr>
                <m:sty m:val="p"/>
              </m:rPr>
              <m:t>inf</m:t>
            </m:r>
          </m:sub>
        </m:sSub>
      </m:oMath>
      <w:r>
        <w:rPr>
          <w:b w:val="0"/>
          <w:i w:val="0"/>
          <w:szCs w:val="20"/>
          <w:u w:val="none"/>
          <w:lang w:val="en-US"/>
        </w:rPr>
        <w:t xml:space="preserve"> waktu inferensi MediaPipe, </w:t>
      </w:r>
      <m:oMath xmlns:mml="http://www.w3.org/1998/Math/MathML">
        <m:sSub>
          <m:e>
            <m:r>
              <w:rPr>
                <w:rFonts w:ascii="Cambria Math" w:hAnsi="Cambria Math"/>
                <w:sz w:val="20"/>
                <w:szCs w:val="20"/>
                <w:lang w:val="en-US"/>
              </w:rPr>
              <m:t>T</m:t>
            </m:r>
          </m:e>
          <m:sub>
            <m:r>
              <w:rPr>
                <w:rFonts w:ascii="Cambria Math" w:hAnsi="Cambria Math"/>
                <w:sz w:val="20"/>
                <w:szCs w:val="20"/>
                <w:lang w:val="en-US"/>
              </w:rPr>
              <m:rPr>
                <m:sty m:val="p"/>
              </m:rPr>
              <m:t>modbus</m:t>
            </m:r>
          </m:sub>
        </m:sSub>
      </m:oMath>
      <w:r>
        <w:rPr>
          <w:b w:val="0"/>
          <w:i w:val="0"/>
          <w:szCs w:val="20"/>
          <w:u w:val="none"/>
          <w:lang w:val="en-US"/>
        </w:rPr>
        <w:t xml:space="preserve"> satu round-trip Modbus, dan </w:t>
      </w:r>
      <m:oMath xmlns:mml="http://www.w3.org/1998/Math/MathML">
        <m:sSub>
          <m:e>
            <m:r>
              <w:rPr>
                <w:rFonts w:ascii="Cambria Math" w:hAnsi="Cambria Math"/>
                <w:sz w:val="20"/>
                <w:szCs w:val="20"/>
                <w:lang w:val="en-US"/>
              </w:rPr>
              <m:t>T</m:t>
            </m:r>
          </m:e>
          <m:sub>
            <m:r>
              <w:rPr>
                <w:rFonts w:ascii="Cambria Math" w:hAnsi="Cambria Math"/>
                <w:sz w:val="20"/>
                <w:szCs w:val="20"/>
                <w:lang w:val="en-US"/>
              </w:rPr>
              <m:rPr>
                <m:sty m:val="p"/>
              </m:rPr>
              <m:t>queue</m:t>
            </m:r>
          </m:sub>
        </m:sSub>
      </m:oMath>
      <w:r>
        <w:rPr>
          <w:b w:val="0"/>
          <w:i w:val="0"/>
          <w:szCs w:val="20"/>
          <w:u w:val="none"/>
          <w:lang w:val="en-US"/>
        </w:rPr>
        <w:t xml:space="preserve"> overhead antar-thread. Dalam pengukuran kami, </w:t>
      </w:r>
      <m:oMath xmlns:mml="http://www.w3.org/1998/Math/MathML">
        <m:sSub>
          <m:e>
            <m:r>
              <w:rPr>
                <w:rFonts w:ascii="Cambria Math" w:hAnsi="Cambria Math"/>
                <w:sz w:val="20"/>
                <w:szCs w:val="20"/>
                <w:lang w:val="en-US"/>
              </w:rPr>
              <m:t>T</m:t>
            </m:r>
          </m:e>
          <m:sub>
            <m:r>
              <w:rPr>
                <w:rFonts w:ascii="Cambria Math" w:hAnsi="Cambria Math"/>
                <w:sz w:val="20"/>
                <w:szCs w:val="20"/>
                <w:lang w:val="en-US"/>
              </w:rPr>
              <m:rPr>
                <m:sty m:val="p"/>
              </m:rPr>
              <m:t>queue</m:t>
            </m:r>
          </m:sub>
        </m:sSub>
      </m:oMath>
      <w:r>
        <w:rPr>
          <w:b w:val="0"/>
          <w:i w:val="0"/>
          <w:szCs w:val="20"/>
          <w:u w:val="none"/>
          <w:lang w:val="en-US"/>
        </w:rPr>
        <w:t xml:space="preserve"> konsisten di bawah 0,5 ms. Karena ketiga thread tumpang tindih, total delay sama dengan thread paling lambat ditambah overhead queue. Ini hanya berlaku karena backend C++ melepas GIL.</w:t>
      </w:r>
    </w:p>
    <w:p>
      <w:pPr>
        <w:pStyle w:val="IEEEHeading2"/>
        <w:numPr>
          <w:ilvl w:val="0"/>
          <w:numId w:val="19"/>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KONFIGURASI HARDWARE DAN SETUP PC-PLC</w:t>
      </w:r>
    </w:p>
    <w:p>
      <w:pPr>
        <w:pStyle w:val="IEEEParagraph"/>
        <w:ind w:firstLine="288"/>
        <w:rPr>
          <w:szCs w:val="20"/>
          <w:lang w:val="en-US"/>
        </w:rPr>
      </w:pPr>
      <w:r>
        <w:rPr>
          <w:b w:val="0"/>
          <w:i w:val="0"/>
          <w:szCs w:val="20"/>
          <w:u w:val="none"/>
          <w:lang w:val="en-US"/>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jc w:val="center"/>
      </w:pPr>
      <w:r>
        <w:rPr>
          <w:i/>
          <w:color w:val="FF0000"/>
        </w:rPr>
        <w:t>[PROMPT UNTUK AI GAMBAR: Konfigurasi Jaringan PC dan PLC. A clean network configuration diagram showing two devices connected point-to-point via a Cat-5e Ethernet cable. The left device represents a desktop PC with static IP address 192.168.1.2 and subnet mask 255.255.255.0 labeled in a neat rectangular callout box. The right device represents a Schneider Modicon M221 PLC with IP address 192.168.1.50 on the same subnet displayed similarly. A simple Ethernet cable symbol bridges both nodes directly without any switch in between. Both device icons are clearly labeled with their roles. Background is white, layout is symmetrical and horizontally balanced, and the style matches technical network topology figures used in IEEE automation and control papers.]</w:t>
      </w:r>
    </w:p>
    <w:p>
      <w:pPr>
        <w:pStyle w:val="IEEEFigure"/>
        <w:spacing w:before="60" w:after="120"/>
        <w:jc w:val="center"/>
      </w:pPr>
      <w:r>
        <w:rPr>
          <w:rFonts w:ascii="Helvetica" w:hAnsi="Helvetica"/>
          <w:b/>
          <w:sz w:val="14"/>
        </w:rPr>
        <w:t xml:space="preserve">Figure 3. </w:t>
      </w:r>
      <w:r>
        <w:rPr>
          <w:rFonts w:ascii="Helvetica" w:hAnsi="Helvetica"/>
          <w:b w:val="0"/>
          <w:sz w:val="14"/>
        </w:rPr>
        <w:t>Konfigurasi Jaringan PC dan PLC</w:t>
      </w:r>
    </w:p>
    <w:p>
      <w:pPr>
        <w:pStyle w:val="IEEEParagraph"/>
        <w:ind w:firstLine="288"/>
        <w:rPr>
          <w:szCs w:val="20"/>
          <w:lang w:val="en-US"/>
        </w:rPr>
      </w:pPr>
      <w:r>
        <w:rPr>
          <w:b w:val="0"/>
          <w:i w:val="0"/>
          <w:szCs w:val="20"/>
          <w:u w:val="none"/>
          <w:lang w:val="en-US"/>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jc w:val="center"/>
      </w:pPr>
      <w:r>
        <w:rPr>
          <w:i/>
          <w:color w:val="FF0000"/>
        </w:rPr>
        <w:t>[PROMPT UNTUK AI GAMBAR: Diagram Ladder Pemetaan M200-M203 ke Q0-Q3. A simplified PLC ladder logic diagram showing four parallel rungs that map internal memory registers M200, M201, M202, and M203 to physical output coils Q0, Q1, Q2, and Q3 respectively. Each rung contains a normally-open contact symbol on the left referencing one M-register, connected by a horizontal line to a coil output symbol on the right referencing the corresponding Q-output. Labels are printed cleanly next to each contact and coil. Two vertical power rail lines bound the ladder on both sides. Background is white, lines are thin and precise, notation follows IEC 61131-3 ladder diagram standards, and the figure is compact and publication-ready for an IEEE conference methodology section.]</w:t>
      </w:r>
    </w:p>
    <w:p>
      <w:pPr>
        <w:pStyle w:val="IEEEFigure"/>
        <w:spacing w:before="60" w:after="120"/>
        <w:jc w:val="center"/>
      </w:pPr>
      <w:r>
        <w:rPr>
          <w:rFonts w:ascii="Helvetica" w:hAnsi="Helvetica"/>
          <w:b/>
          <w:sz w:val="14"/>
        </w:rPr>
        <w:t xml:space="preserve">Figure 4. </w:t>
      </w:r>
      <w:r>
        <w:rPr>
          <w:rFonts w:ascii="Helvetica" w:hAnsi="Helvetica"/>
          <w:b w:val="0"/>
          <w:sz w:val="14"/>
        </w:rPr>
        <w:t>Diagram Ladder Pemetaan M200-M203 ke Q0-Q3</w:t>
      </w:r>
    </w:p>
    <w:p>
      <w:pPr>
        <w:pStyle w:val="IEEEParagraph"/>
        <w:ind w:firstLine="288"/>
        <w:rPr>
          <w:szCs w:val="20"/>
          <w:lang w:val="en-US"/>
        </w:rPr>
      </w:pPr>
      <w:r>
        <w:rPr>
          <w:b w:val="0"/>
          <w:i w:val="0"/>
          <w:szCs w:val="20"/>
          <w:u w:val="none"/>
          <w:lang w:val="en-US"/>
        </w:rPr>
        <w:t>Logika ladder (Gbr. 4): M200 M203 sebagai kontak normally-open menggerakkan coil output Q0 Q3.</w:t>
      </w:r>
    </w:p>
    <w:p>
      <w:pPr>
        <w:jc w:val="center"/>
      </w:pPr>
      <w:r>
        <w:rPr>
          <w:i/>
          <w:color w:val="FF0000"/>
        </w:rPr>
        <w:t>[PROMPT UNTUK AI GAMBAR: Function Block Pembacaan M200-M203. A PLC function block diagram showing a structured FBD-style program block responsible for reading internal memory array M200 through M203 each scan cycle and forwarding values to physical output block Q0 through Q3. The block rectangle has labeled input pins on the left side connected to M-register addresses and output pins on the right side driving Q-output channels, with short wires exiting each pin. The function block name and scan-cycle behavior are labeled inside or above the block body. Background is white, layout is neat and compact, wiring connections are thin lines with right-angle bends, and the style resembles a SoMachine or Unity Pro FBD screenshot adapted for clear IEEE paper reproduction.]</w:t>
      </w:r>
    </w:p>
    <w:p>
      <w:pPr>
        <w:pStyle w:val="IEEEFigure"/>
        <w:spacing w:before="60" w:after="120"/>
        <w:jc w:val="center"/>
      </w:pPr>
      <w:r>
        <w:rPr>
          <w:rFonts w:ascii="Helvetica" w:hAnsi="Helvetica"/>
          <w:b/>
          <w:sz w:val="14"/>
        </w:rPr>
        <w:t xml:space="preserve">Figure 5. </w:t>
      </w:r>
      <w:r>
        <w:rPr>
          <w:rFonts w:ascii="Helvetica" w:hAnsi="Helvetica"/>
          <w:b w:val="0"/>
          <w:sz w:val="14"/>
        </w:rPr>
        <w:t>Function Block Pembacaan M200-M203</w:t>
      </w:r>
    </w:p>
    <w:p>
      <w:pPr>
        <w:pStyle w:val="IEEEParagraph"/>
        <w:ind w:firstLine="288"/>
        <w:rPr>
          <w:szCs w:val="20"/>
          <w:lang w:val="en-US"/>
        </w:rPr>
      </w:pPr>
      <w:r>
        <w:rPr>
          <w:b w:val="0"/>
          <w:i w:val="0"/>
          <w:szCs w:val="20"/>
          <w:u w:val="none"/>
          <w:lang w:val="en-US"/>
        </w:rPr>
        <w:t>Function block (Gbr. 5) membaca array coil M200 M203 setiap siklus scan dan meneruskan nilainya ke output Q0 Q3. Pada scan rate default (~1 ms), perintah gestur baru ditangkap dalam satu siklus dan output fisik langsung mengikuti.</w:t>
      </w:r>
    </w:p>
    <w:p>
      <w:pPr>
        <w:pStyle w:val="IEEEHeading2"/>
        <w:numPr>
          <w:ilvl w:val="0"/>
          <w:numId w:val="19"/>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PENGENALAN GESTUR GEOMETRIS MEDIAPIPE</w:t>
      </w:r>
    </w:p>
    <w:p>
      <w:pPr>
        <w:pStyle w:val="IEEEParagraph"/>
        <w:ind w:firstLine="288"/>
        <w:rPr>
          <w:szCs w:val="20"/>
          <w:lang w:val="en-US"/>
        </w:rPr>
      </w:pPr>
      <w:r>
        <w:rPr>
          <w:b w:val="0"/>
          <w:i w:val="0"/>
          <w:szCs w:val="20"/>
          <w:u w:val="none"/>
          <w:lang w:val="en-US"/>
        </w:rPr>
        <w:t>Setiap frame RGB dari OpenCV dilewatkan ke model hand-landmark MediaPipe [1], yang mengembalikan 21 titik per tangan: pergelangan tangan, sendi MCP, PIP, DIP untuk setiap jari, plus empat ujung jari.</w:t>
      </w:r>
    </w:p>
    <w:p>
      <w:pPr>
        <w:jc w:val="center"/>
      </w:pPr>
      <w:r>
        <w:rPr>
          <w:i/>
          <w:color w:val="FF0000"/>
        </w:rPr>
        <w:t>[PROMPT UNTUK AI GAMBAR: 21 Landmark Tangan MediaPipe. A technical diagram of a human right hand viewed palm-side facing the viewer, with 21 skeletal landmark points numbered 0 through 20 overlaid at anatomically correct positions. Landmark 0 marks the wrist, landmarks 1 through 4 trace the thumb from MCP joint to fingertip, landmarks 5 through 8 trace the index finger, 9 through 12 the middle finger, 13 through 16 the ring finger, and 17 through 20 the little finger. Thin straight connector lines link adjacent landmarks along each finger and across the palm. Each landmark is drawn as a small filled circle with a numeric label nearby. Background is white or pale, line color is blue or teal, and style matches official MediaPipe documentation adapted for academic paper figures.]</w:t>
      </w:r>
    </w:p>
    <w:p>
      <w:pPr>
        <w:pStyle w:val="IEEEFigure"/>
        <w:spacing w:before="60" w:after="120"/>
        <w:jc w:val="center"/>
      </w:pPr>
      <w:r>
        <w:rPr>
          <w:rFonts w:ascii="Helvetica" w:hAnsi="Helvetica"/>
          <w:b/>
          <w:sz w:val="14"/>
        </w:rPr>
        <w:t xml:space="preserve">Figure 6. </w:t>
      </w:r>
      <w:r>
        <w:rPr>
          <w:rFonts w:ascii="Helvetica" w:hAnsi="Helvetica"/>
          <w:b w:val="0"/>
          <w:sz w:val="14"/>
        </w:rPr>
        <w:t>21 Landmark Tangan MediaPipe</w:t>
      </w:r>
    </w:p>
    <w:p>
      <w:pPr>
        <w:pStyle w:val="IEEEParagraph"/>
        <w:ind w:firstLine="288"/>
        <w:rPr>
          <w:szCs w:val="20"/>
          <w:lang w:val="en-US"/>
        </w:rPr>
      </w:pPr>
      <w:r>
        <w:rPr>
          <w:b w:val="0"/>
          <w:i w:val="0"/>
          <w:szCs w:val="20"/>
          <w:u w:val="none"/>
          <w:lang w:val="en-US"/>
        </w:rPr>
        <w:t>Ke-21 landmark (bernomor 0 20) ditunjukkan pada Gbr. 6. Prototipe awal memverifikasi bahwa output MediaPipe stabil dalam kisaran ~30 derajat dari sumbu kamera.</w:t>
      </w:r>
    </w:p>
    <w:p>
      <w:pPr>
        <w:jc w:val="center"/>
      </w:pPr>
      <w:r>
        <w:rPr>
          <w:i/>
          <w:color w:val="FF0000"/>
        </w:rPr>
        <w:t>[PROMPT UNTUK AI GAMBAR: Prototipe Python untuk Validasi MediaPipe. A screenshot-style illustration of a Python desktop application window displaying a live webcam video feed of a human hand with MediaPipe landmark skeleton overlaid on it. Twenty-one landmark points appear as small colored dots connected by thin lines tracing all five fingers and the palm structure. A status label or overlay text shows the currently detected gesture class name and live frame rate. The application window uses a neutral dark or gray frame with the video pane centered. The hand in the frame is shown in an open-palm or single-finger gesture, well-lit against a plain background. Style resembles a PyQt5 desktop GUI window screenshot suitable for inclusion in an academic methodology section.]</w:t>
      </w:r>
    </w:p>
    <w:p>
      <w:pPr>
        <w:pStyle w:val="IEEEFigure"/>
        <w:spacing w:before="60" w:after="120"/>
        <w:jc w:val="center"/>
      </w:pPr>
      <w:r>
        <w:rPr>
          <w:rFonts w:ascii="Helvetica" w:hAnsi="Helvetica"/>
          <w:b/>
          <w:sz w:val="14"/>
        </w:rPr>
        <w:t xml:space="preserve">Figure 7. </w:t>
      </w:r>
      <w:r>
        <w:rPr>
          <w:rFonts w:ascii="Helvetica" w:hAnsi="Helvetica"/>
          <w:b w:val="0"/>
          <w:sz w:val="14"/>
        </w:rPr>
        <w:t>Prototipe Python untuk Validasi MediaPipe</w:t>
      </w:r>
    </w:p>
    <w:p>
      <w:pPr>
        <w:pStyle w:val="IEEEParagraph"/>
        <w:ind w:firstLine="288"/>
        <w:rPr>
          <w:szCs w:val="20"/>
          <w:lang w:val="en-US"/>
        </w:rPr>
      </w:pPr>
      <w:r>
        <w:rPr>
          <w:b w:val="0"/>
          <w:i w:val="0"/>
          <w:szCs w:val="20"/>
          <w:u w:val="none"/>
          <w:lang w:val="en-US"/>
        </w:rPr>
        <w:t>Jendela diagnostik PyQt5 (Gbr. 7) menampilkan landmark dan garis penghubung pada feed webcam langsung, mengonfirmasi konsistensi output MediaPipe selama kemiringan dalam ~30 derajat. Setiap landmark berupa koordinat 3-D ternormalisasi:</w:t>
      </w:r>
    </w:p>
    <w:p>
      <w:pPr>
        <w:tabs>
          <w:tab w:val="center" w:pos="2410"/>
          <w:tab w:val="right" w:pos="4962"/>
        </w:tabs>
        <w:spacing w:before="120" w:after="120"/>
        <w:rPr>
          <w:lang w:val="en-US"/>
        </w:rPr>
      </w:pPr>
      <w:r>
        <w:tab/>
      </w:r>
      <m:oMath xmlns:mml="http://www.w3.org/1998/Math/MathML">
        <m:sSub>
          <m:e>
            <m:r>
              <w:rPr>
                <w:rFonts w:ascii="Cambria Math" w:hAnsi="Cambria Math"/>
                <w:sz w:val="20"/>
                <w:szCs w:val="20"/>
                <w:lang w:val="en-US"/>
              </w:rPr>
              <m:t>𝐩</m:t>
            </m:r>
          </m:e>
          <m:sub>
            <m:r>
              <w:rPr>
                <w:rFonts w:ascii="Cambria Math" w:hAnsi="Cambria Math"/>
                <w:sz w:val="20"/>
                <w:szCs w:val="20"/>
                <w:lang w:val="en-US"/>
              </w:rPr>
              <m:t>i</m:t>
            </m:r>
          </m:sub>
        </m:sSub>
        <m:r>
          <w:rPr>
            <w:rFonts w:ascii="Cambria Math" w:hAnsi="Cambria Math"/>
            <w:sz w:val="20"/>
            <w:szCs w:val="20"/>
            <w:lang w:val="en-US"/>
          </w:rPr>
          <m:t>=(</m:t>
        </m:r>
        <m:sSub>
          <m:e>
            <m:r>
              <w:rPr>
                <w:rFonts w:ascii="Cambria Math" w:hAnsi="Cambria Math"/>
                <w:sz w:val="20"/>
                <w:szCs w:val="20"/>
                <w:lang w:val="en-US"/>
              </w:rPr>
              <m:t>x</m:t>
            </m:r>
          </m:e>
          <m:sub>
            <m:r>
              <w:rPr>
                <w:rFonts w:ascii="Cambria Math" w:hAnsi="Cambria Math"/>
                <w:sz w:val="20"/>
                <w:szCs w:val="20"/>
                <w:lang w:val="en-US"/>
              </w:rPr>
              <m:t>i</m:t>
            </m:r>
          </m:sub>
        </m:sSub>
        <m:r>
          <w:rPr>
            <w:rFonts w:ascii="Cambria Math" w:hAnsi="Cambria Math"/>
            <w:sz w:val="20"/>
            <w:szCs w:val="20"/>
            <w:lang w:val="en-US"/>
          </w:rPr>
          <m:t>,</m:t>
        </m:r>
        <m:sSub>
          <m:e>
            <m:r>
              <w:rPr>
                <w:rFonts w:ascii="Cambria Math" w:hAnsi="Cambria Math"/>
                <w:sz w:val="20"/>
                <w:szCs w:val="20"/>
                <w:lang w:val="en-US"/>
              </w:rPr>
              <m:t>y</m:t>
            </m:r>
          </m:e>
          <m:sub>
            <m:r>
              <w:rPr>
                <w:rFonts w:ascii="Cambria Math" w:hAnsi="Cambria Math"/>
                <w:sz w:val="20"/>
                <w:szCs w:val="20"/>
                <w:lang w:val="en-US"/>
              </w:rPr>
              <m:t>i</m:t>
            </m:r>
          </m:sub>
        </m:sSub>
        <m:r>
          <w:rPr>
            <w:rFonts w:ascii="Cambria Math" w:hAnsi="Cambria Math"/>
            <w:sz w:val="20"/>
            <w:szCs w:val="20"/>
            <w:lang w:val="en-US"/>
          </w:rPr>
          <m:t>,</m:t>
        </m:r>
        <m:sSub>
          <m:e>
            <m:r>
              <w:rPr>
                <w:rFonts w:ascii="Cambria Math" w:hAnsi="Cambria Math"/>
                <w:sz w:val="20"/>
                <w:szCs w:val="20"/>
                <w:lang w:val="en-US"/>
              </w:rPr>
              <m:t>z</m:t>
            </m:r>
          </m:e>
          <m:sub>
            <m:r>
              <w:rPr>
                <w:rFonts w:ascii="Cambria Math" w:hAnsi="Cambria Math"/>
                <w:sz w:val="20"/>
                <w:szCs w:val="20"/>
                <w:lang w:val="en-US"/>
              </w:rPr>
              <m:t>i</m:t>
            </m:r>
          </m:sub>
        </m:sSub>
        <m:r>
          <w:rPr>
            <w:rFonts w:ascii="Cambria Math" w:hAnsi="Cambria Math"/>
            <w:sz w:val="20"/>
            <w:szCs w:val="20"/>
            <w:lang w:val="en-US"/>
          </w:rPr>
          <m:t>),</m:t>
        </m:r>
        <m:r>
          <w:rPr>
            <w:rFonts w:ascii="Cambria Math" w:hAnsi="Cambria Math"/>
            <w:sz w:val="20"/>
            <w:szCs w:val="20"/>
            <w:lang w:val="en-US"/>
          </w:rPr>
          <m:t>i=0,1,2,…,20</m:t>
        </m:r>
      </m:oMath>
      <w:r>
        <w:t xml:space="preserve"> </w:t>
      </w:r>
      <w:r>
        <w:tab/>
      </w:r>
      <w:r>
        <w:rPr>
          <w:iCs/>
          <w:sz w:val="20"/>
          <w:szCs w:val="20"/>
          <w:lang w:val="en-US"/>
        </w:rPr>
        <w:t>(2)</w:t>
      </w:r>
    </w:p>
    <w:p>
      <w:pPr>
        <w:pStyle w:val="IEEEParagraph"/>
        <w:ind w:firstLine="288"/>
        <w:rPr>
          <w:szCs w:val="20"/>
          <w:lang w:val="en-US"/>
        </w:rPr>
      </w:pPr>
      <w:r>
        <w:rPr>
          <w:b w:val="0"/>
          <w:i w:val="0"/>
          <w:szCs w:val="20"/>
          <w:u w:val="none"/>
          <w:lang w:val="en-US"/>
        </w:rPr>
        <w:t xml:space="preserve">Pada persamaan (2), </w:t>
      </w:r>
      <m:oMath xmlns:mml="http://www.w3.org/1998/Math/MathML">
        <m:sSub>
          <m:e>
            <m:r>
              <w:rPr>
                <w:rFonts w:ascii="Cambria Math" w:hAnsi="Cambria Math"/>
                <w:sz w:val="20"/>
                <w:szCs w:val="20"/>
                <w:lang w:val="en-US"/>
              </w:rPr>
              <m:t>x</m:t>
            </m:r>
          </m:e>
          <m:sub>
            <m:r>
              <w:rPr>
                <w:rFonts w:ascii="Cambria Math" w:hAnsi="Cambria Math"/>
                <w:sz w:val="20"/>
                <w:szCs w:val="20"/>
                <w:lang w:val="en-US"/>
              </w:rPr>
              <m:t>i</m:t>
            </m:r>
          </m:sub>
        </m:sSub>
      </m:oMath>
      <w:r>
        <w:rPr>
          <w:b w:val="0"/>
          <w:i w:val="0"/>
          <w:szCs w:val="20"/>
          <w:u w:val="none"/>
          <w:lang w:val="en-US"/>
        </w:rPr>
        <w:t xml:space="preserve"> dan </w:t>
      </w:r>
      <m:oMath xmlns:mml="http://www.w3.org/1998/Math/MathML">
        <m:sSub>
          <m:e>
            <m:r>
              <w:rPr>
                <w:rFonts w:ascii="Cambria Math" w:hAnsi="Cambria Math"/>
                <w:sz w:val="20"/>
                <w:szCs w:val="20"/>
                <w:lang w:val="en-US"/>
              </w:rPr>
              <m:t>y</m:t>
            </m:r>
          </m:e>
          <m:sub>
            <m:r>
              <w:rPr>
                <w:rFonts w:ascii="Cambria Math" w:hAnsi="Cambria Math"/>
                <w:sz w:val="20"/>
                <w:szCs w:val="20"/>
                <w:lang w:val="en-US"/>
              </w:rPr>
              <m:t>i</m:t>
            </m:r>
          </m:sub>
        </m:sSub>
      </m:oMath>
      <w:r>
        <w:rPr>
          <w:b w:val="0"/>
          <w:i w:val="0"/>
          <w:szCs w:val="20"/>
          <w:u w:val="none"/>
          <w:lang w:val="en-US"/>
        </w:rPr>
        <w:t xml:space="preserve"> berada dalam </w:t>
      </w:r>
      <m:oMath xmlns:mml="http://www.w3.org/1998/Math/MathML">
        <m:r>
          <w:rPr>
            <w:rFonts w:ascii="Cambria Math" w:hAnsi="Cambria Math"/>
            <w:sz w:val="20"/>
            <w:szCs w:val="20"/>
            <w:lang w:val="en-US"/>
          </w:rPr>
          <m:t>[0,1]</m:t>
        </m:r>
      </m:oMath>
      <w:r>
        <w:rPr>
          <w:b w:val="0"/>
          <w:i w:val="0"/>
          <w:szCs w:val="20"/>
          <w:u w:val="none"/>
          <w:lang w:val="en-US"/>
        </w:rPr>
        <w:t xml:space="preserve"> relatif terhadap dimensi gambar, </w:t>
      </w:r>
      <m:oMath xmlns:mml="http://www.w3.org/1998/Math/MathML">
        <m:sSub>
          <m:e>
            <m:r>
              <w:rPr>
                <w:rFonts w:ascii="Cambria Math" w:hAnsi="Cambria Math"/>
                <w:sz w:val="20"/>
                <w:szCs w:val="20"/>
                <w:lang w:val="en-US"/>
              </w:rPr>
              <m:t>z</m:t>
            </m:r>
          </m:e>
          <m:sub>
            <m:r>
              <w:rPr>
                <w:rFonts w:ascii="Cambria Math" w:hAnsi="Cambria Math"/>
                <w:sz w:val="20"/>
                <w:szCs w:val="20"/>
                <w:lang w:val="en-US"/>
              </w:rPr>
              <m:t>i</m:t>
            </m:r>
          </m:sub>
        </m:sSub>
      </m:oMath>
      <w:r>
        <w:rPr>
          <w:b w:val="0"/>
          <w:i w:val="0"/>
          <w:szCs w:val="20"/>
          <w:u w:val="none"/>
          <w:lang w:val="en-US"/>
        </w:rPr>
        <w:t xml:space="preserve"> mengkodekan kedalaman relatif terhadap pergelangan tangan. Jarak Euclidean antara dua landmark:</w:t>
      </w:r>
    </w:p>
    <w:p>
      <w:pPr>
        <w:tabs>
          <w:tab w:val="center" w:pos="2410"/>
          <w:tab w:val="right" w:pos="4962"/>
        </w:tabs>
        <w:spacing w:before="120" w:after="120"/>
        <w:rPr>
          <w:lang w:val="en-US"/>
        </w:rPr>
      </w:pPr>
      <w:r>
        <w:tab/>
      </w:r>
      <m:oMath xmlns:mml="http://www.w3.org/1998/Math/MathML">
        <m:sSub>
          <m:e>
            <m:r>
              <w:rPr>
                <w:rFonts w:ascii="Cambria Math" w:hAnsi="Cambria Math"/>
                <w:sz w:val="20"/>
                <w:szCs w:val="20"/>
                <w:lang w:val="en-US"/>
              </w:rPr>
              <m:t>d</m:t>
            </m:r>
          </m:e>
          <m:sub>
            <m:r>
              <w:rPr>
                <w:rFonts w:ascii="Cambria Math" w:hAnsi="Cambria Math"/>
                <w:sz w:val="20"/>
                <w:szCs w:val="20"/>
                <w:lang w:val="en-US"/>
              </w:rPr>
              <m:t>ij</m:t>
            </m:r>
          </m:sub>
        </m:sSub>
        <m:r>
          <w:rPr>
            <w:rFonts w:ascii="Cambria Math" w:hAnsi="Cambria Math"/>
            <w:sz w:val="20"/>
            <w:szCs w:val="20"/>
            <w:lang w:val="en-US"/>
          </w:rPr>
          <m:t>=</m:t>
        </m:r>
        <m:rad>
          <m:radPr>
            <m:degHide m:val="on"/>
          </m:radPr>
          <m:deg/>
          <m:e>
            <m:r>
              <w:rPr>
                <w:rFonts w:ascii="Cambria Math" w:hAnsi="Cambria Math"/>
                <w:sz w:val="20"/>
                <w:szCs w:val="20"/>
                <w:lang w:val="en-US"/>
              </w:rPr>
              <m:t>(</m:t>
            </m:r>
            <m:sSub>
              <m:e>
                <m:r>
                  <w:rPr>
                    <w:rFonts w:ascii="Cambria Math" w:hAnsi="Cambria Math"/>
                    <w:sz w:val="20"/>
                    <w:szCs w:val="20"/>
                    <w:lang w:val="en-US"/>
                  </w:rPr>
                  <m:t>x</m:t>
                </m:r>
              </m:e>
              <m:sub>
                <m:r>
                  <w:rPr>
                    <w:rFonts w:ascii="Cambria Math" w:hAnsi="Cambria Math"/>
                    <w:sz w:val="20"/>
                    <w:szCs w:val="20"/>
                    <w:lang w:val="en-US"/>
                  </w:rPr>
                  <m:t>j</m:t>
                </m:r>
              </m:sub>
            </m:sSub>
            <m:r>
              <w:rPr>
                <w:rFonts w:ascii="Cambria Math" w:hAnsi="Cambria Math"/>
                <w:sz w:val="20"/>
                <w:szCs w:val="20"/>
                <w:lang w:val="en-US"/>
              </w:rPr>
              <m:t>−</m:t>
            </m:r>
            <m:sSub>
              <m:e>
                <m:r>
                  <w:rPr>
                    <w:rFonts w:ascii="Cambria Math" w:hAnsi="Cambria Math"/>
                    <w:sz w:val="20"/>
                    <w:szCs w:val="20"/>
                    <w:lang w:val="en-US"/>
                  </w:rPr>
                  <m:t>x</m:t>
                </m:r>
              </m:e>
              <m:sub>
                <m:r>
                  <w:rPr>
                    <w:rFonts w:ascii="Cambria Math" w:hAnsi="Cambria Math"/>
                    <w:sz w:val="20"/>
                    <w:szCs w:val="20"/>
                    <w:lang w:val="en-US"/>
                  </w:rPr>
                  <m:t>i</m:t>
                </m:r>
              </m:sub>
            </m:sSub>
            <m:sSup>
              <m:e>
                <m:r>
                  <w:rPr>
                    <w:rFonts w:ascii="Cambria Math" w:hAnsi="Cambria Math"/>
                    <w:sz w:val="20"/>
                    <w:szCs w:val="20"/>
                    <w:lang w:val="en-US"/>
                  </w:rPr>
                  <m:t>)</m:t>
                </m:r>
              </m:e>
              <m:sup>
                <m:r>
                  <w:rPr>
                    <w:rFonts w:ascii="Cambria Math" w:hAnsi="Cambria Math"/>
                    <w:sz w:val="20"/>
                    <w:szCs w:val="20"/>
                    <w:lang w:val="en-US"/>
                  </w:rPr>
                  <m:t>2</m:t>
                </m:r>
              </m:sup>
            </m:sSup>
            <m:r>
              <w:rPr>
                <w:rFonts w:ascii="Cambria Math" w:hAnsi="Cambria Math"/>
                <w:sz w:val="20"/>
                <w:szCs w:val="20"/>
                <w:lang w:val="en-US"/>
              </w:rPr>
              <m:t>+(</m:t>
            </m:r>
            <m:sSub>
              <m:e>
                <m:r>
                  <w:rPr>
                    <w:rFonts w:ascii="Cambria Math" w:hAnsi="Cambria Math"/>
                    <w:sz w:val="20"/>
                    <w:szCs w:val="20"/>
                    <w:lang w:val="en-US"/>
                  </w:rPr>
                  <m:t>y</m:t>
                </m:r>
              </m:e>
              <m:sub>
                <m:r>
                  <w:rPr>
                    <w:rFonts w:ascii="Cambria Math" w:hAnsi="Cambria Math"/>
                    <w:sz w:val="20"/>
                    <w:szCs w:val="20"/>
                    <w:lang w:val="en-US"/>
                  </w:rPr>
                  <m:t>j</m:t>
                </m:r>
              </m:sub>
            </m:sSub>
            <m:r>
              <w:rPr>
                <w:rFonts w:ascii="Cambria Math" w:hAnsi="Cambria Math"/>
                <w:sz w:val="20"/>
                <w:szCs w:val="20"/>
                <w:lang w:val="en-US"/>
              </w:rPr>
              <m:t>−</m:t>
            </m:r>
            <m:sSub>
              <m:e>
                <m:r>
                  <w:rPr>
                    <w:rFonts w:ascii="Cambria Math" w:hAnsi="Cambria Math"/>
                    <w:sz w:val="20"/>
                    <w:szCs w:val="20"/>
                    <w:lang w:val="en-US"/>
                  </w:rPr>
                  <m:t>y</m:t>
                </m:r>
              </m:e>
              <m:sub>
                <m:r>
                  <w:rPr>
                    <w:rFonts w:ascii="Cambria Math" w:hAnsi="Cambria Math"/>
                    <w:sz w:val="20"/>
                    <w:szCs w:val="20"/>
                    <w:lang w:val="en-US"/>
                  </w:rPr>
                  <m:t>i</m:t>
                </m:r>
              </m:sub>
            </m:sSub>
            <m:sSup>
              <m:e>
                <m:r>
                  <w:rPr>
                    <w:rFonts w:ascii="Cambria Math" w:hAnsi="Cambria Math"/>
                    <w:sz w:val="20"/>
                    <w:szCs w:val="20"/>
                    <w:lang w:val="en-US"/>
                  </w:rPr>
                  <m:t>)</m:t>
                </m:r>
              </m:e>
              <m:sup>
                <m:r>
                  <w:rPr>
                    <w:rFonts w:ascii="Cambria Math" w:hAnsi="Cambria Math"/>
                    <w:sz w:val="20"/>
                    <w:szCs w:val="20"/>
                    <w:lang w:val="en-US"/>
                  </w:rPr>
                  <m:t>2</m:t>
                </m:r>
              </m:sup>
            </m:sSup>
          </m:e>
        </m:rad>
      </m:oMath>
      <w:r>
        <w:t xml:space="preserve"> </w:t>
      </w:r>
      <w:r>
        <w:tab/>
      </w:r>
      <w:r>
        <w:rPr>
          <w:iCs/>
          <w:sz w:val="20"/>
          <w:szCs w:val="20"/>
          <w:lang w:val="en-US"/>
        </w:rPr>
        <w:t>(3)</w:t>
      </w:r>
    </w:p>
    <w:p>
      <w:pPr>
        <w:pStyle w:val="IEEEParagraph"/>
        <w:ind w:firstLine="288"/>
        <w:rPr>
          <w:szCs w:val="20"/>
          <w:lang w:val="en-US"/>
        </w:rPr>
      </w:pPr>
      <w:r>
        <w:rPr>
          <w:b w:val="0"/>
          <w:i w:val="0"/>
          <w:szCs w:val="20"/>
          <w:u w:val="none"/>
          <w:lang w:val="en-US"/>
        </w:rPr>
        <w:t xml:space="preserve">Jarak piksel mentah berubah tergantung jarak tangan dari kamera. Untuk menghilangkan ketergantungan skala, dibagi dengan </w:t>
      </w:r>
      <m:oMath xmlns:mml="http://www.w3.org/1998/Math/MathML">
        <m:sSub>
          <m:e>
            <m:r>
              <w:rPr>
                <w:rFonts w:ascii="Cambria Math" w:hAnsi="Cambria Math"/>
                <w:sz w:val="20"/>
                <w:szCs w:val="20"/>
                <w:lang w:val="en-US"/>
              </w:rPr>
              <m:t>d</m:t>
            </m:r>
          </m:e>
          <m:sub>
            <m:r>
              <w:rPr>
                <w:rFonts w:ascii="Cambria Math" w:hAnsi="Cambria Math"/>
                <w:sz w:val="20"/>
                <w:szCs w:val="20"/>
                <w:lang w:val="en-US"/>
              </w:rPr>
              <m:t>0,9</m:t>
            </m:r>
          </m:sub>
        </m:sSub>
      </m:oMath>
      <w:r>
        <w:rPr>
          <w:b w:val="0"/>
          <w:i w:val="0"/>
          <w:szCs w:val="20"/>
          <w:u w:val="none"/>
          <w:lang w:val="en-US"/>
        </w:rPr>
        <w:t xml:space="preserve"> (jarak pergelangan tangan ke middle-MCP):</w:t>
      </w:r>
    </w:p>
    <w:p>
      <w:pPr>
        <w:tabs>
          <w:tab w:val="center" w:pos="2410"/>
          <w:tab w:val="right" w:pos="4962"/>
        </w:tabs>
        <w:spacing w:before="120" w:after="120"/>
        <w:rPr>
          <w:lang w:val="en-US"/>
        </w:rPr>
      </w:pPr>
      <w:r>
        <w:tab/>
      </w:r>
      <m:oMath xmlns:mml="http://www.w3.org/1998/Math/MathML">
        <m:sSub>
          <m:e>
            <m:r>
              <w:rPr>
                <w:rFonts w:ascii="Cambria Math" w:hAnsi="Cambria Math"/>
                <w:sz w:val="20"/>
                <w:szCs w:val="20"/>
                <w:lang w:val="en-US"/>
              </w:rPr>
              <m:t>d</m:t>
            </m:r>
          </m:e>
          <m:sub>
            <m:r>
              <w:rPr>
                <w:rFonts w:ascii="Cambria Math" w:hAnsi="Cambria Math"/>
                <w:sz w:val="20"/>
                <w:szCs w:val="20"/>
                <w:lang w:val="en-US"/>
              </w:rPr>
              <m:rPr>
                <m:sty m:val="p"/>
              </m:rPr>
              <m:t>norm</m:t>
            </m:r>
            <m:r>
              <w:rPr>
                <w:rFonts w:ascii="Cambria Math" w:hAnsi="Cambria Math"/>
                <w:sz w:val="20"/>
                <w:szCs w:val="20"/>
                <w:lang w:val="en-US"/>
              </w:rPr>
              <m:t>,ij</m:t>
            </m:r>
          </m:sub>
        </m:sSub>
        <m:r>
          <w:rPr>
            <w:rFonts w:ascii="Cambria Math" w:hAnsi="Cambria Math"/>
            <w:sz w:val="20"/>
            <w:szCs w:val="20"/>
            <w:lang w:val="en-US"/>
          </w:rPr>
          <m:t>=</m:t>
        </m:r>
        <m:f>
          <m:fPr>
            <m:type m:val="bar"/>
          </m:fPr>
          <m:num>
            <m:sSub>
              <m:e>
                <m:r>
                  <w:rPr>
                    <w:rFonts w:ascii="Cambria Math" w:hAnsi="Cambria Math"/>
                    <w:sz w:val="20"/>
                    <w:szCs w:val="20"/>
                    <w:lang w:val="en-US"/>
                  </w:rPr>
                  <m:t>d</m:t>
                </m:r>
              </m:e>
              <m:sub>
                <m:r>
                  <w:rPr>
                    <w:rFonts w:ascii="Cambria Math" w:hAnsi="Cambria Math"/>
                    <w:sz w:val="20"/>
                    <w:szCs w:val="20"/>
                    <w:lang w:val="en-US"/>
                  </w:rPr>
                  <m:t>ij</m:t>
                </m:r>
              </m:sub>
            </m:sSub>
          </m:num>
          <m:den>
            <m:sSub>
              <m:e>
                <m:r>
                  <w:rPr>
                    <w:rFonts w:ascii="Cambria Math" w:hAnsi="Cambria Math"/>
                    <w:sz w:val="20"/>
                    <w:szCs w:val="20"/>
                    <w:lang w:val="en-US"/>
                  </w:rPr>
                  <m:t>d</m:t>
                </m:r>
              </m:e>
              <m:sub>
                <m:r>
                  <w:rPr>
                    <w:rFonts w:ascii="Cambria Math" w:hAnsi="Cambria Math"/>
                    <w:sz w:val="20"/>
                    <w:szCs w:val="20"/>
                    <w:lang w:val="en-US"/>
                  </w:rPr>
                  <m:t>0,9</m:t>
                </m:r>
              </m:sub>
            </m:sSub>
          </m:den>
        </m:f>
      </m:oMath>
      <w:r>
        <w:t xml:space="preserve"> </w:t>
      </w:r>
      <w:r>
        <w:tab/>
      </w:r>
      <w:r>
        <w:rPr>
          <w:iCs/>
          <w:sz w:val="20"/>
          <w:szCs w:val="20"/>
          <w:lang w:val="en-US"/>
        </w:rPr>
        <w:t>(4)</w:t>
      </w:r>
    </w:p>
    <w:p>
      <w:pPr>
        <w:pStyle w:val="IEEEParagraph"/>
        <w:ind w:firstLine="288"/>
        <w:rPr>
          <w:szCs w:val="20"/>
          <w:lang w:val="en-US"/>
        </w:rPr>
      </w:pPr>
      <w:r>
        <w:rPr>
          <w:b w:val="0"/>
          <w:i w:val="0"/>
          <w:szCs w:val="20"/>
          <w:u w:val="none"/>
          <w:lang w:val="en-US"/>
        </w:rPr>
        <w:t xml:space="preserve">Setelah normalisasi, </w:t>
      </w:r>
      <m:oMath xmlns:mml="http://www.w3.org/1998/Math/MathML">
        <m:sSub>
          <m:e>
            <m:r>
              <w:rPr>
                <w:rFonts w:ascii="Cambria Math" w:hAnsi="Cambria Math"/>
                <w:sz w:val="20"/>
                <w:szCs w:val="20"/>
                <w:lang w:val="en-US"/>
              </w:rPr>
              <m:t>d</m:t>
            </m:r>
          </m:e>
          <m:sub>
            <m:r>
              <w:rPr>
                <w:rFonts w:ascii="Cambria Math" w:hAnsi="Cambria Math"/>
                <w:sz w:val="20"/>
                <w:szCs w:val="20"/>
                <w:lang w:val="en-US"/>
              </w:rPr>
              <m:rPr>
                <m:sty m:val="p"/>
              </m:rPr>
              <m:t>norm</m:t>
            </m:r>
            <m:r>
              <w:rPr>
                <w:rFonts w:ascii="Cambria Math" w:hAnsi="Cambria Math"/>
                <w:sz w:val="20"/>
                <w:szCs w:val="20"/>
                <w:lang w:val="en-US"/>
              </w:rPr>
              <m:t>,ij</m:t>
            </m:r>
          </m:sub>
        </m:sSub>
      </m:oMath>
      <w:r>
        <w:rPr>
          <w:b w:val="0"/>
          <w:i w:val="0"/>
          <w:szCs w:val="20"/>
          <w:u w:val="none"/>
          <w:lang w:val="en-US"/>
        </w:rPr>
        <w:t xml:space="preserve"> mencerminkan bentuk tangan independen dari jarak kamera. Untuk ekstensi jari, dibutuhkan sudut sendi. Vektor arah:</w:t>
      </w:r>
    </w:p>
    <w:p>
      <w:pPr>
        <w:tabs>
          <w:tab w:val="center" w:pos="2410"/>
          <w:tab w:val="right" w:pos="4962"/>
        </w:tabs>
        <w:spacing w:before="120" w:after="120"/>
        <w:rPr>
          <w:lang w:val="en-US"/>
        </w:rPr>
      </w:pPr>
      <w:r>
        <w:tab/>
      </w:r>
      <m:oMath xmlns:mml="http://www.w3.org/1998/Math/MathML">
        <m:sSub>
          <m:e>
            <m:limUpp>
              <m:e>
                <m:r>
                  <w:rPr>
                    <w:rFonts w:ascii="Cambria Math" w:hAnsi="Cambria Math"/>
                    <w:sz w:val="20"/>
                    <w:szCs w:val="20"/>
                    <w:lang w:val="en-US"/>
                  </w:rPr>
                  <m:t>v</m:t>
                </m:r>
              </m:e>
              <m:lim>
                <m:r>
                  <w:rPr>
                    <w:rFonts w:ascii="Cambria Math" w:hAnsi="Cambria Math"/>
                    <w:sz w:val="20"/>
                    <w:szCs w:val="20"/>
                    <w:lang w:val="en-US"/>
                  </w:rPr>
                  <m:t>→</m:t>
                </m:r>
              </m:lim>
            </m:limUpp>
          </m:e>
          <m:sub>
            <m:r>
              <w:rPr>
                <w:rFonts w:ascii="Cambria Math" w:hAnsi="Cambria Math"/>
                <w:sz w:val="20"/>
                <w:szCs w:val="20"/>
                <w:lang w:val="en-US"/>
              </w:rPr>
              <m:t>ij</m:t>
            </m:r>
          </m:sub>
        </m:sSub>
        <m:r>
          <w:rPr>
            <w:rFonts w:ascii="Cambria Math" w:hAnsi="Cambria Math"/>
            <w:sz w:val="20"/>
            <w:szCs w:val="20"/>
            <w:lang w:val="en-US"/>
          </w:rPr>
          <m:t>=(</m:t>
        </m:r>
        <m:sSub>
          <m:e>
            <m:r>
              <w:rPr>
                <w:rFonts w:ascii="Cambria Math" w:hAnsi="Cambria Math"/>
                <w:sz w:val="20"/>
                <w:szCs w:val="20"/>
                <w:lang w:val="en-US"/>
              </w:rPr>
              <m:t>x</m:t>
            </m:r>
          </m:e>
          <m:sub>
            <m:r>
              <w:rPr>
                <w:rFonts w:ascii="Cambria Math" w:hAnsi="Cambria Math"/>
                <w:sz w:val="20"/>
                <w:szCs w:val="20"/>
                <w:lang w:val="en-US"/>
              </w:rPr>
              <m:t>j</m:t>
            </m:r>
          </m:sub>
        </m:sSub>
        <m:r>
          <w:rPr>
            <w:rFonts w:ascii="Cambria Math" w:hAnsi="Cambria Math"/>
            <w:sz w:val="20"/>
            <w:szCs w:val="20"/>
            <w:lang w:val="en-US"/>
          </w:rPr>
          <m:t>−</m:t>
        </m:r>
        <m:sSub>
          <m:e>
            <m:r>
              <w:rPr>
                <w:rFonts w:ascii="Cambria Math" w:hAnsi="Cambria Math"/>
                <w:sz w:val="20"/>
                <w:szCs w:val="20"/>
                <w:lang w:val="en-US"/>
              </w:rPr>
              <m:t>x</m:t>
            </m:r>
          </m:e>
          <m:sub>
            <m:r>
              <w:rPr>
                <w:rFonts w:ascii="Cambria Math" w:hAnsi="Cambria Math"/>
                <w:sz w:val="20"/>
                <w:szCs w:val="20"/>
                <w:lang w:val="en-US"/>
              </w:rPr>
              <m:t>i</m:t>
            </m:r>
          </m:sub>
        </m:sSub>
        <m:r>
          <w:rPr>
            <w:rFonts w:ascii="Cambria Math" w:hAnsi="Cambria Math"/>
            <w:sz w:val="20"/>
            <w:szCs w:val="20"/>
            <w:lang w:val="en-US"/>
          </w:rPr>
          <m:t>,</m:t>
        </m:r>
        <m:sSub>
          <m:e>
            <m:r>
              <w:rPr>
                <w:rFonts w:ascii="Cambria Math" w:hAnsi="Cambria Math"/>
                <w:sz w:val="20"/>
                <w:szCs w:val="20"/>
                <w:lang w:val="en-US"/>
              </w:rPr>
              <m:t>y</m:t>
            </m:r>
          </m:e>
          <m:sub>
            <m:r>
              <w:rPr>
                <w:rFonts w:ascii="Cambria Math" w:hAnsi="Cambria Math"/>
                <w:sz w:val="20"/>
                <w:szCs w:val="20"/>
                <w:lang w:val="en-US"/>
              </w:rPr>
              <m:t>j</m:t>
            </m:r>
          </m:sub>
        </m:sSub>
        <m:r>
          <w:rPr>
            <w:rFonts w:ascii="Cambria Math" w:hAnsi="Cambria Math"/>
            <w:sz w:val="20"/>
            <w:szCs w:val="20"/>
            <w:lang w:val="en-US"/>
          </w:rPr>
          <m:t>−</m:t>
        </m:r>
        <m:sSub>
          <m:e>
            <m:r>
              <w:rPr>
                <w:rFonts w:ascii="Cambria Math" w:hAnsi="Cambria Math"/>
                <w:sz w:val="20"/>
                <w:szCs w:val="20"/>
                <w:lang w:val="en-US"/>
              </w:rPr>
              <m:t>y</m:t>
            </m:r>
          </m:e>
          <m:sub>
            <m:r>
              <w:rPr>
                <w:rFonts w:ascii="Cambria Math" w:hAnsi="Cambria Math"/>
                <w:sz w:val="20"/>
                <w:szCs w:val="20"/>
                <w:lang w:val="en-US"/>
              </w:rPr>
              <m:t>i</m:t>
            </m:r>
          </m:sub>
        </m:sSub>
        <m:r>
          <w:rPr>
            <w:rFonts w:ascii="Cambria Math" w:hAnsi="Cambria Math"/>
            <w:sz w:val="20"/>
            <w:szCs w:val="20"/>
            <w:lang w:val="en-US"/>
          </w:rPr>
          <m:t>)</m:t>
        </m:r>
      </m:oMath>
      <w:r>
        <w:t xml:space="preserve"> </w:t>
      </w:r>
      <w:r>
        <w:tab/>
      </w:r>
      <w:r>
        <w:rPr>
          <w:iCs/>
          <w:sz w:val="20"/>
          <w:szCs w:val="20"/>
          <w:lang w:val="en-US"/>
        </w:rPr>
        <w:t>(5)</w:t>
      </w:r>
    </w:p>
    <w:p>
      <w:pPr>
        <w:pStyle w:val="IEEEParagraph"/>
        <w:ind w:firstLine="288"/>
        <w:rPr>
          <w:szCs w:val="20"/>
          <w:lang w:val="en-US"/>
        </w:rPr>
      </w:pPr>
      <w:r>
        <w:rPr>
          <w:b w:val="0"/>
          <w:i w:val="0"/>
          <w:szCs w:val="20"/>
          <w:u w:val="none"/>
          <w:lang w:val="en-US"/>
        </w:rPr>
        <w:t>Besarnya:</w:t>
      </w:r>
    </w:p>
    <w:p>
      <w:pPr>
        <w:tabs>
          <w:tab w:val="center" w:pos="2410"/>
          <w:tab w:val="right" w:pos="4962"/>
        </w:tabs>
        <w:spacing w:before="120" w:after="120"/>
        <w:rPr>
          <w:lang w:val="en-US"/>
        </w:rPr>
      </w:pPr>
      <w:r>
        <w:tab/>
      </w:r>
      <m:oMath xmlns:mml="http://www.w3.org/1998/Math/MathML">
        <m:r>
          <w:rPr>
            <w:rFonts w:ascii="Cambria Math" w:hAnsi="Cambria Math"/>
            <w:sz w:val="20"/>
            <w:szCs w:val="20"/>
            <w:lang w:val="en-US"/>
          </w:rPr>
          <m:t>|</m:t>
        </m:r>
        <m:limUpp>
          <m:e>
            <m:r>
              <w:rPr>
                <w:rFonts w:ascii="Cambria Math" w:hAnsi="Cambria Math"/>
                <w:sz w:val="20"/>
                <w:szCs w:val="20"/>
                <w:lang w:val="en-US"/>
              </w:rPr>
              <m:t>v</m:t>
            </m:r>
          </m:e>
          <m:lim>
            <m:r>
              <w:rPr>
                <w:rFonts w:ascii="Cambria Math" w:hAnsi="Cambria Math"/>
                <w:sz w:val="20"/>
                <w:szCs w:val="20"/>
                <w:lang w:val="en-US"/>
              </w:rPr>
              <m:t>→</m:t>
            </m:r>
          </m:lim>
        </m:limUpp>
        <m:r>
          <w:rPr>
            <w:rFonts w:ascii="Cambria Math" w:hAnsi="Cambria Math"/>
            <w:sz w:val="20"/>
            <w:szCs w:val="20"/>
            <w:lang w:val="en-US"/>
          </w:rPr>
          <m:t>|=</m:t>
        </m:r>
        <m:rad>
          <m:radPr>
            <m:degHide m:val="on"/>
          </m:radPr>
          <m:deg/>
          <m:e>
            <m:sSubSup>
              <m:e>
                <m:r>
                  <w:rPr>
                    <w:rFonts w:ascii="Cambria Math" w:hAnsi="Cambria Math"/>
                    <w:sz w:val="20"/>
                    <w:szCs w:val="20"/>
                    <w:lang w:val="en-US"/>
                  </w:rPr>
                  <m:t>v</m:t>
                </m:r>
              </m:e>
              <m:sub>
                <m:r>
                  <w:rPr>
                    <w:rFonts w:ascii="Cambria Math" w:hAnsi="Cambria Math"/>
                    <w:sz w:val="20"/>
                    <w:szCs w:val="20"/>
                    <w:lang w:val="en-US"/>
                  </w:rPr>
                  <m:t>x</m:t>
                </m:r>
              </m:sub>
              <m:sup>
                <m:r>
                  <w:rPr>
                    <w:rFonts w:ascii="Cambria Math" w:hAnsi="Cambria Math"/>
                    <w:sz w:val="20"/>
                    <w:szCs w:val="20"/>
                    <w:lang w:val="en-US"/>
                  </w:rPr>
                  <m:t>2</m:t>
                </m:r>
              </m:sup>
            </m:sSubSup>
            <m:r>
              <w:rPr>
                <w:rFonts w:ascii="Cambria Math" w:hAnsi="Cambria Math"/>
                <w:sz w:val="20"/>
                <w:szCs w:val="20"/>
                <w:lang w:val="en-US"/>
              </w:rPr>
              <m:t>+</m:t>
            </m:r>
            <m:sSubSup>
              <m:e>
                <m:r>
                  <w:rPr>
                    <w:rFonts w:ascii="Cambria Math" w:hAnsi="Cambria Math"/>
                    <w:sz w:val="20"/>
                    <w:szCs w:val="20"/>
                    <w:lang w:val="en-US"/>
                  </w:rPr>
                  <m:t>v</m:t>
                </m:r>
              </m:e>
              <m:sub>
                <m:r>
                  <w:rPr>
                    <w:rFonts w:ascii="Cambria Math" w:hAnsi="Cambria Math"/>
                    <w:sz w:val="20"/>
                    <w:szCs w:val="20"/>
                    <w:lang w:val="en-US"/>
                  </w:rPr>
                  <m:t>y</m:t>
                </m:r>
              </m:sub>
              <m:sup>
                <m:r>
                  <w:rPr>
                    <w:rFonts w:ascii="Cambria Math" w:hAnsi="Cambria Math"/>
                    <w:sz w:val="20"/>
                    <w:szCs w:val="20"/>
                    <w:lang w:val="en-US"/>
                  </w:rPr>
                  <m:t>2</m:t>
                </m:r>
              </m:sup>
            </m:sSubSup>
          </m:e>
        </m:rad>
      </m:oMath>
      <w:r>
        <w:t xml:space="preserve"> </w:t>
      </w:r>
      <w:r>
        <w:tab/>
      </w:r>
      <w:r>
        <w:rPr>
          <w:iCs/>
          <w:sz w:val="20"/>
          <w:szCs w:val="20"/>
          <w:lang w:val="en-US"/>
        </w:rPr>
        <w:t>(6)</w:t>
      </w:r>
    </w:p>
    <w:p>
      <w:pPr>
        <w:pStyle w:val="IEEEParagraph"/>
        <w:ind w:firstLine="288"/>
        <w:rPr>
          <w:szCs w:val="20"/>
          <w:lang w:val="en-US"/>
        </w:rPr>
      </w:pPr>
      <w:r>
        <w:rPr>
          <w:b w:val="0"/>
          <w:i w:val="0"/>
          <w:szCs w:val="20"/>
          <w:u w:val="none"/>
          <w:lang w:val="en-US"/>
        </w:rPr>
        <w:t>Dot product dari dua vektor segmen tulang yang bersebelahan:</w:t>
      </w:r>
    </w:p>
    <w:p>
      <w:pPr>
        <w:tabs>
          <w:tab w:val="center" w:pos="2410"/>
          <w:tab w:val="right" w:pos="4962"/>
        </w:tabs>
        <w:spacing w:before="120" w:after="120"/>
        <w:rPr>
          <w:lang w:val="en-US"/>
        </w:rPr>
      </w:pPr>
      <w:r>
        <w:tab/>
      </w:r>
      <m:oMath xmlns:mml="http://www.w3.org/1998/Math/MathML">
        <m:limUpp>
          <m:e>
            <m:r>
              <w:rPr>
                <w:rFonts w:ascii="Cambria Math" w:hAnsi="Cambria Math"/>
                <w:sz w:val="20"/>
                <w:szCs w:val="20"/>
                <w:lang w:val="en-US"/>
              </w:rPr>
              <m:t>A</m:t>
            </m:r>
          </m:e>
          <m:lim>
            <m:r>
              <w:rPr>
                <w:rFonts w:ascii="Cambria Math" w:hAnsi="Cambria Math"/>
                <w:sz w:val="20"/>
                <w:szCs w:val="20"/>
                <w:lang w:val="en-US"/>
              </w:rPr>
              <m:t>→</m:t>
            </m:r>
          </m:lim>
        </m:limUpp>
        <m:r>
          <w:rPr>
            <w:rFonts w:ascii="Cambria Math" w:hAnsi="Cambria Math"/>
            <w:sz w:val="20"/>
            <w:szCs w:val="20"/>
            <w:lang w:val="en-US"/>
          </w:rPr>
          <m:t>·</m:t>
        </m:r>
        <m:limUpp>
          <m:e>
            <m:r>
              <w:rPr>
                <w:rFonts w:ascii="Cambria Math" w:hAnsi="Cambria Math"/>
                <w:sz w:val="20"/>
                <w:szCs w:val="20"/>
                <w:lang w:val="en-US"/>
              </w:rPr>
              <m:t>B</m:t>
            </m:r>
          </m:e>
          <m:lim>
            <m:r>
              <w:rPr>
                <w:rFonts w:ascii="Cambria Math" w:hAnsi="Cambria Math"/>
                <w:sz w:val="20"/>
                <w:szCs w:val="20"/>
                <w:lang w:val="en-US"/>
              </w:rPr>
              <m:t>→</m:t>
            </m:r>
          </m:lim>
        </m:limUpp>
        <m:r>
          <w:rPr>
            <w:rFonts w:ascii="Cambria Math" w:hAnsi="Cambria Math"/>
            <w:sz w:val="20"/>
            <w:szCs w:val="20"/>
            <w:lang w:val="en-US"/>
          </w:rPr>
          <m:t>=</m:t>
        </m:r>
        <m:sSub>
          <m:e>
            <m:r>
              <w:rPr>
                <w:rFonts w:ascii="Cambria Math" w:hAnsi="Cambria Math"/>
                <w:sz w:val="20"/>
                <w:szCs w:val="20"/>
                <w:lang w:val="en-US"/>
              </w:rPr>
              <m:t>A</m:t>
            </m:r>
          </m:e>
          <m:sub>
            <m:r>
              <w:rPr>
                <w:rFonts w:ascii="Cambria Math" w:hAnsi="Cambria Math"/>
                <w:sz w:val="20"/>
                <w:szCs w:val="20"/>
                <w:lang w:val="en-US"/>
              </w:rPr>
              <m:t>x</m:t>
            </m:r>
          </m:sub>
        </m:sSub>
        <m:sSub>
          <m:e>
            <m:r>
              <w:rPr>
                <w:rFonts w:ascii="Cambria Math" w:hAnsi="Cambria Math"/>
                <w:sz w:val="20"/>
                <w:szCs w:val="20"/>
                <w:lang w:val="en-US"/>
              </w:rPr>
              <m:t>B</m:t>
            </m:r>
          </m:e>
          <m:sub>
            <m:r>
              <w:rPr>
                <w:rFonts w:ascii="Cambria Math" w:hAnsi="Cambria Math"/>
                <w:sz w:val="20"/>
                <w:szCs w:val="20"/>
                <w:lang w:val="en-US"/>
              </w:rPr>
              <m:t>x</m:t>
            </m:r>
          </m:sub>
        </m:sSub>
        <m:r>
          <w:rPr>
            <w:rFonts w:ascii="Cambria Math" w:hAnsi="Cambria Math"/>
            <w:sz w:val="20"/>
            <w:szCs w:val="20"/>
            <w:lang w:val="en-US"/>
          </w:rPr>
          <m:t>+</m:t>
        </m:r>
        <m:sSub>
          <m:e>
            <m:r>
              <w:rPr>
                <w:rFonts w:ascii="Cambria Math" w:hAnsi="Cambria Math"/>
                <w:sz w:val="20"/>
                <w:szCs w:val="20"/>
                <w:lang w:val="en-US"/>
              </w:rPr>
              <m:t>A</m:t>
            </m:r>
          </m:e>
          <m:sub>
            <m:r>
              <w:rPr>
                <w:rFonts w:ascii="Cambria Math" w:hAnsi="Cambria Math"/>
                <w:sz w:val="20"/>
                <w:szCs w:val="20"/>
                <w:lang w:val="en-US"/>
              </w:rPr>
              <m:t>y</m:t>
            </m:r>
          </m:sub>
        </m:sSub>
        <m:sSub>
          <m:e>
            <m:r>
              <w:rPr>
                <w:rFonts w:ascii="Cambria Math" w:hAnsi="Cambria Math"/>
                <w:sz w:val="20"/>
                <w:szCs w:val="20"/>
                <w:lang w:val="en-US"/>
              </w:rPr>
              <m:t>B</m:t>
            </m:r>
          </m:e>
          <m:sub>
            <m:r>
              <w:rPr>
                <w:rFonts w:ascii="Cambria Math" w:hAnsi="Cambria Math"/>
                <w:sz w:val="20"/>
                <w:szCs w:val="20"/>
                <w:lang w:val="en-US"/>
              </w:rPr>
              <m:t>y</m:t>
            </m:r>
          </m:sub>
        </m:sSub>
      </m:oMath>
      <w:r>
        <w:t xml:space="preserve"> </w:t>
      </w:r>
      <w:r>
        <w:tab/>
      </w:r>
      <w:r>
        <w:rPr>
          <w:iCs/>
          <w:sz w:val="20"/>
          <w:szCs w:val="20"/>
          <w:lang w:val="en-US"/>
        </w:rPr>
        <w:t>(7)</w:t>
      </w:r>
    </w:p>
    <w:p>
      <w:pPr>
        <w:pStyle w:val="IEEEParagraph"/>
        <w:ind w:firstLine="288"/>
        <w:rPr>
          <w:szCs w:val="20"/>
          <w:lang w:val="en-US"/>
        </w:rPr>
      </w:pPr>
      <w:r>
        <w:rPr>
          <w:b w:val="0"/>
          <w:i w:val="0"/>
          <w:szCs w:val="20"/>
          <w:u w:val="none"/>
          <w:lang w:val="en-US"/>
        </w:rPr>
        <w:t>Sudut antar-sendi, untuk tiga landmark berurutan (</w:t>
      </w:r>
      <m:oMath xmlns:mml="http://www.w3.org/1998/Math/MathML">
        <m:r>
          <w:rPr>
            <w:rFonts w:ascii="Cambria Math" w:hAnsi="Cambria Math"/>
            <w:sz w:val="20"/>
            <w:szCs w:val="20"/>
            <w:lang w:val="en-US"/>
          </w:rPr>
          <m:t>A</m:t>
        </m:r>
      </m:oMath>
      <w:r>
        <w:rPr>
          <w:b w:val="0"/>
          <w:i w:val="0"/>
          <w:szCs w:val="20"/>
          <w:u w:val="none"/>
          <w:lang w:val="en-US"/>
        </w:rPr>
        <w:t xml:space="preserve"> = ujung jari, </w:t>
      </w:r>
      <m:oMath xmlns:mml="http://www.w3.org/1998/Math/MathML">
        <m:r>
          <w:rPr>
            <w:rFonts w:ascii="Cambria Math" w:hAnsi="Cambria Math"/>
            <w:sz w:val="20"/>
            <w:szCs w:val="20"/>
            <w:lang w:val="en-US"/>
          </w:rPr>
          <m:t>B</m:t>
        </m:r>
      </m:oMath>
      <w:r>
        <w:rPr>
          <w:b w:val="0"/>
          <w:i w:val="0"/>
          <w:szCs w:val="20"/>
          <w:u w:val="none"/>
          <w:lang w:val="en-US"/>
        </w:rPr>
        <w:t xml:space="preserve"> = sendi tengah, </w:t>
      </w:r>
      <m:oMath xmlns:mml="http://www.w3.org/1998/Math/MathML">
        <m:r>
          <w:rPr>
            <w:rFonts w:ascii="Cambria Math" w:hAnsi="Cambria Math"/>
            <w:sz w:val="20"/>
            <w:szCs w:val="20"/>
            <w:lang w:val="en-US"/>
          </w:rPr>
          <m:t>C</m:t>
        </m:r>
      </m:oMath>
      <w:r>
        <w:rPr>
          <w:b w:val="0"/>
          <w:i w:val="0"/>
          <w:szCs w:val="20"/>
          <w:u w:val="none"/>
          <w:lang w:val="en-US"/>
        </w:rPr>
        <w:t xml:space="preserve"> = pangkal):</w:t>
      </w:r>
    </w:p>
    <w:p>
      <w:pPr>
        <w:tabs>
          <w:tab w:val="center" w:pos="2410"/>
          <w:tab w:val="right" w:pos="4962"/>
        </w:tabs>
        <w:spacing w:before="120" w:after="120"/>
        <w:rPr>
          <w:lang w:val="en-US"/>
        </w:rPr>
      </w:pPr>
      <w:r>
        <w:tab/>
      </w:r>
      <m:oMath xmlns:mml="http://www.w3.org/1998/Math/MathML">
        <m:r>
          <w:rPr>
            <w:rFonts w:ascii="Cambria Math" w:hAnsi="Cambria Math"/>
            <w:sz w:val="20"/>
            <w:szCs w:val="20"/>
            <w:lang w:val="en-US"/>
          </w:rPr>
          <m:t>θ=</m:t>
        </m:r>
        <m:sSup>
          <m:e>
            <m:r>
              <w:rPr>
                <w:rFonts w:ascii="Cambria Math" w:hAnsi="Cambria Math"/>
                <w:sz w:val="20"/>
                <w:szCs w:val="20"/>
                <w:lang w:val="en-US"/>
              </w:rPr>
              <m:rPr>
                <m:sty m:val="p"/>
              </m:rPr>
              <m:t>cos</m:t>
            </m:r>
          </m:e>
          <m:sup>
            <m:r>
              <w:rPr>
                <w:rFonts w:ascii="Cambria Math" w:hAnsi="Cambria Math"/>
                <w:sz w:val="20"/>
                <w:szCs w:val="20"/>
                <w:lang w:val="en-US"/>
              </w:rPr>
              <m:t>−1</m:t>
            </m:r>
          </m:sup>
        </m:sSup>
        <m:r>
          <w:rPr>
            <w:rFonts w:ascii="Cambria Math" w:hAnsi="Cambria Math"/>
            <w:sz w:val="20"/>
            <w:szCs w:val="20"/>
            <w:lang w:val="en-US"/>
          </w:rPr>
          <m:t>(</m:t>
        </m:r>
        <m:f>
          <m:fPr>
            <m:type m:val="bar"/>
          </m:fPr>
          <m:num>
            <m:limUpp>
              <m:e>
                <m:r>
                  <w:rPr>
                    <w:rFonts w:ascii="Cambria Math" w:hAnsi="Cambria Math"/>
                    <w:sz w:val="20"/>
                    <w:szCs w:val="20"/>
                    <w:lang w:val="en-US"/>
                  </w:rPr>
                  <m:t>BA</m:t>
                </m:r>
              </m:e>
              <m:lim>
                <m:r>
                  <w:rPr>
                    <w:rFonts w:ascii="Cambria Math" w:hAnsi="Cambria Math"/>
                    <w:sz w:val="20"/>
                    <w:szCs w:val="20"/>
                    <w:lang w:val="en-US"/>
                  </w:rPr>
                  <m:t>→</m:t>
                </m:r>
              </m:lim>
            </m:limUpp>
            <m:r>
              <w:rPr>
                <w:rFonts w:ascii="Cambria Math" w:hAnsi="Cambria Math"/>
                <w:sz w:val="20"/>
                <w:szCs w:val="20"/>
                <w:lang w:val="en-US"/>
              </w:rPr>
              <m:t>·</m:t>
            </m:r>
            <m:limUpp>
              <m:e>
                <m:r>
                  <w:rPr>
                    <w:rFonts w:ascii="Cambria Math" w:hAnsi="Cambria Math"/>
                    <w:sz w:val="20"/>
                    <w:szCs w:val="20"/>
                    <w:lang w:val="en-US"/>
                  </w:rPr>
                  <m:t>BC</m:t>
                </m:r>
              </m:e>
              <m:lim>
                <m:r>
                  <w:rPr>
                    <w:rFonts w:ascii="Cambria Math" w:hAnsi="Cambria Math"/>
                    <w:sz w:val="20"/>
                    <w:szCs w:val="20"/>
                    <w:lang w:val="en-US"/>
                  </w:rPr>
                  <m:t>→</m:t>
                </m:r>
              </m:lim>
            </m:limUpp>
          </m:num>
          <m:den>
            <m:r>
              <w:rPr>
                <w:rFonts w:ascii="Cambria Math" w:hAnsi="Cambria Math"/>
                <w:sz w:val="20"/>
                <w:szCs w:val="20"/>
                <w:lang w:val="en-US"/>
              </w:rPr>
              <m:t>|</m:t>
            </m:r>
            <m:limUpp>
              <m:e>
                <m:r>
                  <w:rPr>
                    <w:rFonts w:ascii="Cambria Math" w:hAnsi="Cambria Math"/>
                    <w:sz w:val="20"/>
                    <w:szCs w:val="20"/>
                    <w:lang w:val="en-US"/>
                  </w:rPr>
                  <m:t>BA</m:t>
                </m:r>
              </m:e>
              <m:lim>
                <m:r>
                  <w:rPr>
                    <w:rFonts w:ascii="Cambria Math" w:hAnsi="Cambria Math"/>
                    <w:sz w:val="20"/>
                    <w:szCs w:val="20"/>
                    <w:lang w:val="en-US"/>
                  </w:rPr>
                  <m:t>→</m:t>
                </m:r>
              </m:lim>
            </m:limUpp>
            <m:r>
              <w:rPr>
                <w:rFonts w:ascii="Cambria Math" w:hAnsi="Cambria Math"/>
                <w:sz w:val="20"/>
                <w:szCs w:val="20"/>
                <w:lang w:val="en-US"/>
              </w:rPr>
              <m:t>|·|</m:t>
            </m:r>
            <m:limUpp>
              <m:e>
                <m:r>
                  <w:rPr>
                    <w:rFonts w:ascii="Cambria Math" w:hAnsi="Cambria Math"/>
                    <w:sz w:val="20"/>
                    <w:szCs w:val="20"/>
                    <w:lang w:val="en-US"/>
                  </w:rPr>
                  <m:t>BC</m:t>
                </m:r>
              </m:e>
              <m:lim>
                <m:r>
                  <w:rPr>
                    <w:rFonts w:ascii="Cambria Math" w:hAnsi="Cambria Math"/>
                    <w:sz w:val="20"/>
                    <w:szCs w:val="20"/>
                    <w:lang w:val="en-US"/>
                  </w:rPr>
                  <m:t>→</m:t>
                </m:r>
              </m:lim>
            </m:limUpp>
            <m:r>
              <w:rPr>
                <w:rFonts w:ascii="Cambria Math" w:hAnsi="Cambria Math"/>
                <w:sz w:val="20"/>
                <w:szCs w:val="20"/>
                <w:lang w:val="en-US"/>
              </w:rPr>
              <m:t>|</m:t>
            </m:r>
          </m:den>
        </m:f>
        <m:r>
          <w:rPr>
            <w:rFonts w:ascii="Cambria Math" w:hAnsi="Cambria Math"/>
            <w:sz w:val="20"/>
            <w:szCs w:val="20"/>
            <w:lang w:val="en-US"/>
          </w:rPr>
          <m:t>)</m:t>
        </m:r>
      </m:oMath>
      <w:r>
        <w:t xml:space="preserve"> </w:t>
      </w:r>
      <w:r>
        <w:tab/>
      </w:r>
      <w:r>
        <w:rPr>
          <w:iCs/>
          <w:sz w:val="20"/>
          <w:szCs w:val="20"/>
          <w:lang w:val="en-US"/>
        </w:rPr>
        <w:t>(8)</w:t>
      </w:r>
    </w:p>
    <w:p>
      <w:pPr>
        <w:pStyle w:val="IEEEParagraph"/>
        <w:ind w:firstLine="288"/>
        <w:rPr>
          <w:szCs w:val="20"/>
          <w:lang w:val="en-US"/>
        </w:rPr>
      </w:pPr>
      <w:r>
        <w:rPr>
          <w:b w:val="0"/>
          <w:i w:val="0"/>
          <w:szCs w:val="20"/>
          <w:u w:val="none"/>
          <w:lang w:val="en-US"/>
        </w:rPr>
        <w:t xml:space="preserve">Sudut </w:t>
      </w:r>
      <m:oMath xmlns:mml="http://www.w3.org/1998/Math/MathML">
        <m:r>
          <w:rPr>
            <w:rFonts w:ascii="Cambria Math" w:hAnsi="Cambria Math"/>
            <w:sz w:val="20"/>
            <w:szCs w:val="20"/>
            <w:lang w:val="en-US"/>
          </w:rPr>
          <m:t>θ</m:t>
        </m:r>
      </m:oMath>
      <w:r>
        <w:rPr>
          <w:b w:val="0"/>
          <w:i w:val="0"/>
          <w:szCs w:val="20"/>
          <w:u w:val="none"/>
          <w:lang w:val="en-US"/>
        </w:rPr>
        <w:t xml:space="preserve"> menentukan apakah jari terektensi atau tertutup. Setelah kalibrasi, </w:t>
      </w:r>
      <m:oMath xmlns:mml="http://www.w3.org/1998/Math/MathML">
        <m:sSub>
          <m:e>
            <m:r>
              <w:rPr>
                <w:rFonts w:ascii="Cambria Math" w:hAnsi="Cambria Math"/>
                <w:sz w:val="20"/>
                <w:szCs w:val="20"/>
                <w:lang w:val="en-US"/>
              </w:rPr>
              <m:t>θ</m:t>
            </m:r>
          </m:e>
          <m:sub>
            <m:r>
              <w:rPr>
                <w:rFonts w:ascii="Cambria Math" w:hAnsi="Cambria Math"/>
                <w:sz w:val="20"/>
                <w:szCs w:val="20"/>
                <w:lang w:val="en-US"/>
              </w:rPr>
              <m:rPr>
                <m:sty m:val="p"/>
              </m:rPr>
              <m:t>open</m:t>
            </m:r>
          </m:sub>
        </m:sSub>
        <m:r>
          <w:rPr>
            <w:rFonts w:ascii="Cambria Math" w:hAnsi="Cambria Math"/>
            <w:sz w:val="20"/>
            <w:szCs w:val="20"/>
            <w:lang w:val="en-US"/>
          </w:rPr>
          <m:t>≈</m:t>
        </m:r>
        <m:sSup>
          <m:e>
            <m:r>
              <w:rPr>
                <w:rFonts w:ascii="Cambria Math" w:hAnsi="Cambria Math"/>
                <w:sz w:val="20"/>
                <w:szCs w:val="20"/>
                <w:lang w:val="en-US"/>
              </w:rPr>
              <m:t>160</m:t>
            </m:r>
          </m:e>
          <m:sup>
            <m:r>
              <w:rPr>
                <w:rFonts w:ascii="Cambria Math" w:hAnsi="Cambria Math"/>
                <w:sz w:val="20"/>
                <w:szCs w:val="20"/>
                <w:lang w:val="en-US"/>
              </w:rPr>
              <m:t>∘</m:t>
            </m:r>
          </m:sup>
        </m:sSup>
      </m:oMath>
      <w:r>
        <w:rPr>
          <w:b w:val="0"/>
          <w:i w:val="0"/>
          <w:szCs w:val="20"/>
          <w:u w:val="none"/>
          <w:lang w:val="en-US"/>
        </w:rPr>
        <w:t xml:space="preserve"> dan </w:t>
      </w:r>
      <m:oMath xmlns:mml="http://www.w3.org/1998/Math/MathML">
        <m:sSub>
          <m:e>
            <m:r>
              <w:rPr>
                <w:rFonts w:ascii="Cambria Math" w:hAnsi="Cambria Math"/>
                <w:sz w:val="20"/>
                <w:szCs w:val="20"/>
                <w:lang w:val="en-US"/>
              </w:rPr>
              <m:t>θ</m:t>
            </m:r>
          </m:e>
          <m:sub>
            <m:r>
              <w:rPr>
                <w:rFonts w:ascii="Cambria Math" w:hAnsi="Cambria Math"/>
                <w:sz w:val="20"/>
                <w:szCs w:val="20"/>
                <w:lang w:val="en-US"/>
              </w:rPr>
              <m:rPr>
                <m:sty m:val="p"/>
              </m:rPr>
              <m:t>close</m:t>
            </m:r>
          </m:sub>
        </m:sSub>
        <m:r>
          <w:rPr>
            <w:rFonts w:ascii="Cambria Math" w:hAnsi="Cambria Math"/>
            <w:sz w:val="20"/>
            <w:szCs w:val="20"/>
            <w:lang w:val="en-US"/>
          </w:rPr>
          <m:t>≈</m:t>
        </m:r>
        <m:sSup>
          <m:e>
            <m:r>
              <w:rPr>
                <w:rFonts w:ascii="Cambria Math" w:hAnsi="Cambria Math"/>
                <w:sz w:val="20"/>
                <w:szCs w:val="20"/>
                <w:lang w:val="en-US"/>
              </w:rPr>
              <m:t>140</m:t>
            </m:r>
          </m:e>
          <m:sup>
            <m:r>
              <w:rPr>
                <w:rFonts w:ascii="Cambria Math" w:hAnsi="Cambria Math"/>
                <w:sz w:val="20"/>
                <w:szCs w:val="20"/>
                <w:lang w:val="en-US"/>
              </w:rPr>
              <m:t>∘</m:t>
            </m:r>
          </m:sup>
        </m:sSup>
      </m:oMath>
      <w:r>
        <w:rPr>
          <w:b w:val="0"/>
          <w:i w:val="0"/>
          <w:szCs w:val="20"/>
          <w:u w:val="none"/>
          <w:lang w:val="en-US"/>
        </w:rPr>
        <w:t xml:space="preserve">. Jika </w:t>
      </w:r>
      <m:oMath xmlns:mml="http://www.w3.org/1998/Math/MathML">
        <m:r>
          <w:rPr>
            <w:rFonts w:ascii="Cambria Math" w:hAnsi="Cambria Math"/>
            <w:sz w:val="20"/>
            <w:szCs w:val="20"/>
            <w:lang w:val="en-US"/>
          </w:rPr>
          <m:t>θ&gt;</m:t>
        </m:r>
        <m:sSub>
          <m:e>
            <m:r>
              <w:rPr>
                <w:rFonts w:ascii="Cambria Math" w:hAnsi="Cambria Math"/>
                <w:sz w:val="20"/>
                <w:szCs w:val="20"/>
                <w:lang w:val="en-US"/>
              </w:rPr>
              <m:t>θ</m:t>
            </m:r>
          </m:e>
          <m:sub>
            <m:r>
              <w:rPr>
                <w:rFonts w:ascii="Cambria Math" w:hAnsi="Cambria Math"/>
                <w:sz w:val="20"/>
                <w:szCs w:val="20"/>
                <w:lang w:val="en-US"/>
              </w:rPr>
              <m:rPr>
                <m:sty m:val="p"/>
              </m:rPr>
              <m:t>open</m:t>
            </m:r>
          </m:sub>
        </m:sSub>
      </m:oMath>
      <w:r>
        <w:rPr>
          <w:b w:val="0"/>
          <w:i w:val="0"/>
          <w:szCs w:val="20"/>
          <w:u w:val="none"/>
          <w:lang w:val="en-US"/>
        </w:rPr>
        <w:t xml:space="preserve"> maka jari terektensi (</w:t>
      </w:r>
      <m:oMath xmlns:mml="http://www.w3.org/1998/Math/MathML">
        <m:sSub>
          <m:e>
            <m:r>
              <w:rPr>
                <w:rFonts w:ascii="Cambria Math" w:hAnsi="Cambria Math"/>
                <w:sz w:val="20"/>
                <w:szCs w:val="20"/>
                <w:lang w:val="en-US"/>
              </w:rPr>
              <m:t>f</m:t>
            </m:r>
          </m:e>
          <m:sub>
            <m:r>
              <w:rPr>
                <w:rFonts w:ascii="Cambria Math" w:hAnsi="Cambria Math"/>
                <w:sz w:val="20"/>
                <w:szCs w:val="20"/>
                <w:lang w:val="en-US"/>
              </w:rPr>
              <m:t>i</m:t>
            </m:r>
          </m:sub>
        </m:sSub>
        <m:r>
          <w:rPr>
            <w:rFonts w:ascii="Cambria Math" w:hAnsi="Cambria Math"/>
            <w:sz w:val="20"/>
            <w:szCs w:val="20"/>
            <w:lang w:val="en-US"/>
          </w:rPr>
          <m:t>=1</m:t>
        </m:r>
      </m:oMath>
      <w:r>
        <w:rPr>
          <w:b w:val="0"/>
          <w:i w:val="0"/>
          <w:szCs w:val="20"/>
          <w:u w:val="none"/>
          <w:lang w:val="en-US"/>
        </w:rPr>
        <w:t xml:space="preserve">); di bawah </w:t>
      </w:r>
      <m:oMath xmlns:mml="http://www.w3.org/1998/Math/MathML">
        <m:sSub>
          <m:e>
            <m:r>
              <w:rPr>
                <w:rFonts w:ascii="Cambria Math" w:hAnsi="Cambria Math"/>
                <w:sz w:val="20"/>
                <w:szCs w:val="20"/>
                <w:lang w:val="en-US"/>
              </w:rPr>
              <m:t>θ</m:t>
            </m:r>
          </m:e>
          <m:sub>
            <m:r>
              <w:rPr>
                <w:rFonts w:ascii="Cambria Math" w:hAnsi="Cambria Math"/>
                <w:sz w:val="20"/>
                <w:szCs w:val="20"/>
                <w:lang w:val="en-US"/>
              </w:rPr>
              <m:rPr>
                <m:sty m:val="p"/>
              </m:rPr>
              <m:t>close</m:t>
            </m:r>
          </m:sub>
        </m:sSub>
      </m:oMath>
      <w:r>
        <w:rPr>
          <w:b w:val="0"/>
          <w:i w:val="0"/>
          <w:szCs w:val="20"/>
          <w:u w:val="none"/>
          <w:lang w:val="en-US"/>
        </w:rPr>
        <w:t xml:space="preserve"> maka tertutup (</w:t>
      </w:r>
      <m:oMath xmlns:mml="http://www.w3.org/1998/Math/MathML">
        <m:sSub>
          <m:e>
            <m:r>
              <w:rPr>
                <w:rFonts w:ascii="Cambria Math" w:hAnsi="Cambria Math"/>
                <w:sz w:val="20"/>
                <w:szCs w:val="20"/>
                <w:lang w:val="en-US"/>
              </w:rPr>
              <m:t>f</m:t>
            </m:r>
          </m:e>
          <m:sub>
            <m:r>
              <w:rPr>
                <w:rFonts w:ascii="Cambria Math" w:hAnsi="Cambria Math"/>
                <w:sz w:val="20"/>
                <w:szCs w:val="20"/>
                <w:lang w:val="en-US"/>
              </w:rPr>
              <m:t>i</m:t>
            </m:r>
          </m:sub>
        </m:sSub>
        <m:r>
          <w:rPr>
            <w:rFonts w:ascii="Cambria Math" w:hAnsi="Cambria Math"/>
            <w:sz w:val="20"/>
            <w:szCs w:val="20"/>
            <w:lang w:val="en-US"/>
          </w:rPr>
          <m:t>=0</m:t>
        </m:r>
      </m:oMath>
      <w:r>
        <w:rPr>
          <w:b w:val="0"/>
          <w:i w:val="0"/>
          <w:szCs w:val="20"/>
          <w:u w:val="none"/>
          <w:lang w:val="en-US"/>
        </w:rPr>
        <w:t>):</w:t>
      </w:r>
    </w:p>
    <w:p>
      <w:pPr>
        <w:tabs>
          <w:tab w:val="center" w:pos="2410"/>
          <w:tab w:val="right" w:pos="4962"/>
        </w:tabs>
        <w:spacing w:before="120" w:after="120"/>
        <w:rPr>
          <w:lang w:val="en-US"/>
        </w:rPr>
      </w:pPr>
      <w:r>
        <w:tab/>
      </w:r>
      <m:oMath xmlns:mml="http://www.w3.org/1998/Math/MathML">
        <m:sSub>
          <m:e>
            <m:r>
              <w:rPr>
                <w:rFonts w:ascii="Cambria Math" w:hAnsi="Cambria Math"/>
                <w:sz w:val="20"/>
                <w:szCs w:val="20"/>
                <w:lang w:val="en-US"/>
              </w:rPr>
              <m:t>f</m:t>
            </m:r>
          </m:e>
          <m:sub>
            <m:r>
              <w:rPr>
                <w:rFonts w:ascii="Cambria Math" w:hAnsi="Cambria Math"/>
                <w:sz w:val="20"/>
                <w:szCs w:val="20"/>
                <w:lang w:val="en-US"/>
              </w:rPr>
              <m:t>i</m:t>
            </m:r>
          </m:sub>
        </m:sSub>
        <m:r>
          <w:rPr>
            <w:rFonts w:ascii="Cambria Math" w:hAnsi="Cambria Math"/>
            <w:sz w:val="20"/>
            <w:szCs w:val="20"/>
            <w:lang w:val="en-US"/>
          </w:rPr>
          <m:t>=</m:t>
        </m:r>
        <m:r>
          <w:rPr>
            <w:rFonts w:ascii="Cambria Math" w:hAnsi="Cambria Math"/>
            <w:sz w:val="20"/>
            <w:szCs w:val="20"/>
            <w:lang w:val="en-US"/>
          </w:rPr>
          <m:t>{</m:t>
        </m:r>
        <m:m>
          <m:mPr>
            <m:baseJc m:val="center"/>
            <m:plcHide m:val="on"/>
            <m:mcs>
              <m:mc>
                <m:mcPr>
                  <m:count m:val="2"/>
                  <m:mcJc m:val="center"/>
                </m:mcPr>
              </m:mc>
            </m:mcs>
          </m:mPr>
          <m:mr>
            <m:e>
              <m:r>
                <w:rPr>
                  <w:rFonts w:ascii="Cambria Math" w:hAnsi="Cambria Math"/>
                  <w:sz w:val="20"/>
                  <w:szCs w:val="20"/>
                  <w:lang w:val="en-US"/>
                </w:rPr>
                <m:t>1,</m:t>
              </m:r>
            </m:e>
            <m:e>
              <m:sSub>
                <m:e>
                  <m:r>
                    <w:rPr>
                      <w:rFonts w:ascii="Cambria Math" w:hAnsi="Cambria Math"/>
                      <w:sz w:val="20"/>
                      <w:szCs w:val="20"/>
                      <w:lang w:val="en-US"/>
                    </w:rPr>
                    <m:t>θ</m:t>
                  </m:r>
                </m:e>
                <m:sub>
                  <m:r>
                    <w:rPr>
                      <w:rFonts w:ascii="Cambria Math" w:hAnsi="Cambria Math"/>
                      <w:sz w:val="20"/>
                      <w:szCs w:val="20"/>
                      <w:lang w:val="en-US"/>
                    </w:rPr>
                    <m:t>i</m:t>
                  </m:r>
                </m:sub>
              </m:sSub>
              <m:r>
                <w:rPr>
                  <w:rFonts w:ascii="Cambria Math" w:hAnsi="Cambria Math"/>
                  <w:sz w:val="20"/>
                  <w:szCs w:val="20"/>
                  <w:lang w:val="en-US"/>
                </w:rPr>
                <m:t>&gt;</m:t>
              </m:r>
              <m:sSub>
                <m:e>
                  <m:r>
                    <w:rPr>
                      <w:rFonts w:ascii="Cambria Math" w:hAnsi="Cambria Math"/>
                      <w:sz w:val="20"/>
                      <w:szCs w:val="20"/>
                      <w:lang w:val="en-US"/>
                    </w:rPr>
                    <m:t>θ</m:t>
                  </m:r>
                </m:e>
                <m:sub>
                  <m:r>
                    <w:rPr>
                      <w:rFonts w:ascii="Cambria Math" w:hAnsi="Cambria Math"/>
                      <w:sz w:val="20"/>
                      <w:szCs w:val="20"/>
                      <w:lang w:val="en-US"/>
                    </w:rPr>
                    <m:rPr>
                      <m:sty m:val="p"/>
                    </m:rPr>
                    <m:t>open</m:t>
                  </m:r>
                </m:sub>
              </m:sSub>
            </m:e>
          </m:mr>
          <m:mr>
            <m:e>
              <m:r>
                <w:rPr>
                  <w:rFonts w:ascii="Cambria Math" w:hAnsi="Cambria Math"/>
                  <w:sz w:val="20"/>
                  <w:szCs w:val="20"/>
                  <w:lang w:val="en-US"/>
                </w:rPr>
                <m:t>0,</m:t>
              </m:r>
            </m:e>
            <m:e>
              <m:sSub>
                <m:e>
                  <m:r>
                    <w:rPr>
                      <w:rFonts w:ascii="Cambria Math" w:hAnsi="Cambria Math"/>
                      <w:sz w:val="20"/>
                      <w:szCs w:val="20"/>
                      <w:lang w:val="en-US"/>
                    </w:rPr>
                    <m:t>θ</m:t>
                  </m:r>
                </m:e>
                <m:sub>
                  <m:r>
                    <w:rPr>
                      <w:rFonts w:ascii="Cambria Math" w:hAnsi="Cambria Math"/>
                      <w:sz w:val="20"/>
                      <w:szCs w:val="20"/>
                      <w:lang w:val="en-US"/>
                    </w:rPr>
                    <m:t>i</m:t>
                  </m:r>
                </m:sub>
              </m:sSub>
              <m:r>
                <w:rPr>
                  <w:rFonts w:ascii="Cambria Math" w:hAnsi="Cambria Math"/>
                  <w:sz w:val="20"/>
                  <w:szCs w:val="20"/>
                  <w:lang w:val="en-US"/>
                </w:rPr>
                <m:t>&lt;</m:t>
              </m:r>
              <m:sSub>
                <m:e>
                  <m:r>
                    <w:rPr>
                      <w:rFonts w:ascii="Cambria Math" w:hAnsi="Cambria Math"/>
                      <w:sz w:val="20"/>
                      <w:szCs w:val="20"/>
                      <w:lang w:val="en-US"/>
                    </w:rPr>
                    <m:t>θ</m:t>
                  </m:r>
                </m:e>
                <m:sub>
                  <m:r>
                    <w:rPr>
                      <w:rFonts w:ascii="Cambria Math" w:hAnsi="Cambria Math"/>
                      <w:sz w:val="20"/>
                      <w:szCs w:val="20"/>
                      <w:lang w:val="en-US"/>
                    </w:rPr>
                    <m:rPr>
                      <m:sty m:val="p"/>
                    </m:rPr>
                    <m:t>close</m:t>
                  </m:r>
                </m:sub>
              </m:sSub>
            </m:e>
          </m:mr>
        </m:m>
      </m:oMath>
      <w:r>
        <w:t xml:space="preserve"> </w:t>
      </w:r>
      <w:r>
        <w:tab/>
      </w:r>
      <w:r>
        <w:rPr>
          <w:iCs/>
          <w:sz w:val="20"/>
          <w:szCs w:val="20"/>
          <w:lang w:val="en-US"/>
        </w:rPr>
        <w:t>(9)</w:t>
      </w:r>
    </w:p>
    <w:p>
      <w:pPr>
        <w:pStyle w:val="IEEEParagraph"/>
        <w:ind w:firstLine="288"/>
        <w:rPr>
          <w:szCs w:val="20"/>
          <w:lang w:val="en-US"/>
        </w:rPr>
      </w:pPr>
      <w:r>
        <w:rPr>
          <w:b w:val="0"/>
          <w:i w:val="0"/>
          <w:szCs w:val="20"/>
          <w:u w:val="none"/>
          <w:lang w:val="en-US"/>
        </w:rPr>
        <w:t xml:space="preserve">Threshold tunggal menyebabkan toggling cepat di dekat batas saat tangan diputar. Diperbaiki dengan histeresis dua batas terpisah, </w:t>
      </w:r>
      <m:oMath xmlns:mml="http://www.w3.org/1998/Math/MathML">
        <m:r>
          <w:rPr>
            <w:rFonts w:ascii="Cambria Math" w:hAnsi="Cambria Math"/>
            <w:sz w:val="20"/>
            <w:szCs w:val="20"/>
            <w:lang w:val="en-US"/>
          </w:rPr>
          <m:t>het</m:t>
        </m:r>
        <m:sSub>
          <m:e>
            <m:r>
              <w:rPr>
                <w:rFonts w:ascii="Cambria Math" w:hAnsi="Cambria Math"/>
                <w:sz w:val="20"/>
                <w:szCs w:val="20"/>
                <w:lang w:val="en-US"/>
              </w:rPr>
              <m:t>a</m:t>
            </m:r>
          </m:e>
          <m:sub>
            <m:r>
              <w:rPr>
                <w:rFonts w:ascii="Cambria Math" w:hAnsi="Cambria Math"/>
                <w:sz w:val="20"/>
                <w:szCs w:val="20"/>
                <w:lang w:val="en-US"/>
              </w:rPr>
              <m:rPr>
                <m:sty m:val="p"/>
              </m:rPr>
              <m:t>high</m:t>
            </m:r>
          </m:sub>
        </m:sSub>
      </m:oMath>
      <w:r>
        <w:rPr>
          <w:b w:val="0"/>
          <w:i w:val="0"/>
          <w:szCs w:val="20"/>
          <w:u w:val="none"/>
          <w:lang w:val="en-US"/>
        </w:rPr>
        <w:t xml:space="preserve"> dan </w:t>
      </w:r>
      <m:oMath xmlns:mml="http://www.w3.org/1998/Math/MathML">
        <m:r>
          <w:rPr>
            <w:rFonts w:ascii="Cambria Math" w:hAnsi="Cambria Math"/>
            <w:sz w:val="20"/>
            <w:szCs w:val="20"/>
            <w:lang w:val="en-US"/>
          </w:rPr>
          <m:t>het</m:t>
        </m:r>
        <m:sSub>
          <m:e>
            <m:r>
              <w:rPr>
                <w:rFonts w:ascii="Cambria Math" w:hAnsi="Cambria Math"/>
                <w:sz w:val="20"/>
                <w:szCs w:val="20"/>
                <w:lang w:val="en-US"/>
              </w:rPr>
              <m:t>a</m:t>
            </m:r>
          </m:e>
          <m:sub>
            <m:r>
              <w:rPr>
                <w:rFonts w:ascii="Cambria Math" w:hAnsi="Cambria Math"/>
                <w:sz w:val="20"/>
                <w:szCs w:val="20"/>
                <w:lang w:val="en-US"/>
              </w:rPr>
              <m:rPr>
                <m:sty m:val="p"/>
              </m:rPr>
              <m:t>low</m:t>
            </m:r>
          </m:sub>
        </m:sSub>
      </m:oMath>
      <w:r>
        <w:rPr>
          <w:b w:val="0"/>
          <w:i w:val="0"/>
          <w:szCs w:val="20"/>
          <w:u w:val="none"/>
          <w:lang w:val="en-US"/>
        </w:rPr>
        <w:t>:</w:t>
      </w:r>
    </w:p>
    <w:p>
      <w:pPr>
        <w:tabs>
          <w:tab w:val="center" w:pos="2410"/>
          <w:tab w:val="right" w:pos="4962"/>
        </w:tabs>
        <w:spacing w:before="120" w:after="120"/>
        <w:rPr>
          <w:lang w:val="en-US"/>
        </w:rPr>
      </w:pPr>
      <w:r>
        <w:tab/>
      </w:r>
      <m:oMath xmlns:mml="http://www.w3.org/1998/Math/MathML">
        <m:sSub>
          <m:e>
            <m:r>
              <w:rPr>
                <w:rFonts w:ascii="Cambria Math" w:hAnsi="Cambria Math"/>
                <w:sz w:val="20"/>
                <w:szCs w:val="20"/>
                <w:lang w:val="en-US"/>
              </w:rPr>
              <m:t>f</m:t>
            </m:r>
          </m:e>
          <m:sub>
            <m:r>
              <w:rPr>
                <w:rFonts w:ascii="Cambria Math" w:hAnsi="Cambria Math"/>
                <w:sz w:val="20"/>
                <w:szCs w:val="20"/>
                <w:lang w:val="en-US"/>
              </w:rPr>
              <m:t>i</m:t>
            </m:r>
          </m:sub>
        </m:sSub>
        <m:r>
          <w:rPr>
            <w:rFonts w:ascii="Cambria Math" w:hAnsi="Cambria Math"/>
            <w:sz w:val="20"/>
            <w:szCs w:val="20"/>
            <w:lang w:val="en-US"/>
          </w:rPr>
          <m:t>(t)=</m:t>
        </m:r>
        <m:r>
          <w:rPr>
            <w:rFonts w:ascii="Cambria Math" w:hAnsi="Cambria Math"/>
            <w:sz w:val="20"/>
            <w:szCs w:val="20"/>
            <w:lang w:val="en-US"/>
          </w:rPr>
          <m:t>{</m:t>
        </m:r>
        <m:m>
          <m:mPr>
            <m:baseJc m:val="center"/>
            <m:plcHide m:val="on"/>
            <m:mcs>
              <m:mc>
                <m:mcPr>
                  <m:count m:val="2"/>
                  <m:mcJc m:val="center"/>
                </m:mcPr>
              </m:mc>
            </m:mcs>
          </m:mPr>
          <m:mr>
            <m:e>
              <m:r>
                <w:rPr>
                  <w:rFonts w:ascii="Cambria Math" w:hAnsi="Cambria Math"/>
                  <w:sz w:val="20"/>
                  <w:szCs w:val="20"/>
                  <w:lang w:val="en-US"/>
                </w:rPr>
                <m:t>1,</m:t>
              </m:r>
            </m:e>
            <m:e>
              <m:sSub>
                <m:e>
                  <m:r>
                    <w:rPr>
                      <w:rFonts w:ascii="Cambria Math" w:hAnsi="Cambria Math"/>
                      <w:sz w:val="20"/>
                      <w:szCs w:val="20"/>
                      <w:lang w:val="en-US"/>
                    </w:rPr>
                    <m:t>θ</m:t>
                  </m:r>
                </m:e>
                <m:sub>
                  <m:r>
                    <w:rPr>
                      <w:rFonts w:ascii="Cambria Math" w:hAnsi="Cambria Math"/>
                      <w:sz w:val="20"/>
                      <w:szCs w:val="20"/>
                      <w:lang w:val="en-US"/>
                    </w:rPr>
                    <m:t>i</m:t>
                  </m:r>
                </m:sub>
              </m:sSub>
              <m:r>
                <w:rPr>
                  <w:rFonts w:ascii="Cambria Math" w:hAnsi="Cambria Math"/>
                  <w:sz w:val="20"/>
                  <w:szCs w:val="20"/>
                  <w:lang w:val="en-US"/>
                </w:rPr>
                <m:t>&gt;</m:t>
              </m:r>
              <m:sSub>
                <m:e>
                  <m:r>
                    <w:rPr>
                      <w:rFonts w:ascii="Cambria Math" w:hAnsi="Cambria Math"/>
                      <w:sz w:val="20"/>
                      <w:szCs w:val="20"/>
                      <w:lang w:val="en-US"/>
                    </w:rPr>
                    <m:t>θ</m:t>
                  </m:r>
                </m:e>
                <m:sub>
                  <m:r>
                    <w:rPr>
                      <w:rFonts w:ascii="Cambria Math" w:hAnsi="Cambria Math"/>
                      <w:sz w:val="20"/>
                      <w:szCs w:val="20"/>
                      <w:lang w:val="en-US"/>
                    </w:rPr>
                    <m:rPr>
                      <m:sty m:val="p"/>
                    </m:rPr>
                    <m:t>high</m:t>
                  </m:r>
                </m:sub>
              </m:sSub>
            </m:e>
          </m:mr>
          <m:mr>
            <m:e>
              <m:r>
                <w:rPr>
                  <w:rFonts w:ascii="Cambria Math" w:hAnsi="Cambria Math"/>
                  <w:sz w:val="20"/>
                  <w:szCs w:val="20"/>
                  <w:lang w:val="en-US"/>
                </w:rPr>
                <m:t>0,</m:t>
              </m:r>
            </m:e>
            <m:e>
              <m:sSub>
                <m:e>
                  <m:r>
                    <w:rPr>
                      <w:rFonts w:ascii="Cambria Math" w:hAnsi="Cambria Math"/>
                      <w:sz w:val="20"/>
                      <w:szCs w:val="20"/>
                      <w:lang w:val="en-US"/>
                    </w:rPr>
                    <m:t>θ</m:t>
                  </m:r>
                </m:e>
                <m:sub>
                  <m:r>
                    <w:rPr>
                      <w:rFonts w:ascii="Cambria Math" w:hAnsi="Cambria Math"/>
                      <w:sz w:val="20"/>
                      <w:szCs w:val="20"/>
                      <w:lang w:val="en-US"/>
                    </w:rPr>
                    <m:t>i</m:t>
                  </m:r>
                </m:sub>
              </m:sSub>
              <m:r>
                <w:rPr>
                  <w:rFonts w:ascii="Cambria Math" w:hAnsi="Cambria Math"/>
                  <w:sz w:val="20"/>
                  <w:szCs w:val="20"/>
                  <w:lang w:val="en-US"/>
                </w:rPr>
                <m:t>&lt;</m:t>
              </m:r>
              <m:sSub>
                <m:e>
                  <m:r>
                    <w:rPr>
                      <w:rFonts w:ascii="Cambria Math" w:hAnsi="Cambria Math"/>
                      <w:sz w:val="20"/>
                      <w:szCs w:val="20"/>
                      <w:lang w:val="en-US"/>
                    </w:rPr>
                    <m:t>θ</m:t>
                  </m:r>
                </m:e>
                <m:sub>
                  <m:r>
                    <w:rPr>
                      <w:rFonts w:ascii="Cambria Math" w:hAnsi="Cambria Math"/>
                      <w:sz w:val="20"/>
                      <w:szCs w:val="20"/>
                      <w:lang w:val="en-US"/>
                    </w:rPr>
                    <m:rPr>
                      <m:sty m:val="p"/>
                    </m:rPr>
                    <m:t>low</m:t>
                  </m:r>
                </m:sub>
              </m:sSub>
            </m:e>
          </m:mr>
          <m:mr>
            <m:e>
              <m:sSub>
                <m:e>
                  <m:r>
                    <w:rPr>
                      <w:rFonts w:ascii="Cambria Math" w:hAnsi="Cambria Math"/>
                      <w:sz w:val="20"/>
                      <w:szCs w:val="20"/>
                      <w:lang w:val="en-US"/>
                    </w:rPr>
                    <m:t>f</m:t>
                  </m:r>
                </m:e>
                <m:sub>
                  <m:r>
                    <w:rPr>
                      <w:rFonts w:ascii="Cambria Math" w:hAnsi="Cambria Math"/>
                      <w:sz w:val="20"/>
                      <w:szCs w:val="20"/>
                      <w:lang w:val="en-US"/>
                    </w:rPr>
                    <m:t>i</m:t>
                  </m:r>
                </m:sub>
              </m:sSub>
              <m:r>
                <w:rPr>
                  <w:rFonts w:ascii="Cambria Math" w:hAnsi="Cambria Math"/>
                  <w:sz w:val="20"/>
                  <w:szCs w:val="20"/>
                  <w:lang w:val="en-US"/>
                </w:rPr>
                <m:t>(t−1),</m:t>
              </m:r>
            </m:e>
            <m:e>
              <m:r>
                <w:rPr>
                  <w:rFonts w:ascii="Cambria Math" w:hAnsi="Cambria Math"/>
                  <w:sz w:val="20"/>
                  <w:szCs w:val="20"/>
                  <w:lang w:val="en-US"/>
                </w:rPr>
                <m:rPr>
                  <m:sty m:val="p"/>
                </m:rPr>
                <m:t>otherwise</m:t>
              </m:r>
            </m:e>
          </m:mr>
        </m:m>
      </m:oMath>
      <w:r>
        <w:t xml:space="preserve"> </w:t>
      </w:r>
      <w:r>
        <w:tab/>
      </w:r>
      <w:r>
        <w:rPr>
          <w:iCs/>
          <w:sz w:val="20"/>
          <w:szCs w:val="20"/>
          <w:lang w:val="en-US"/>
        </w:rPr>
        <w:t>(10)</w:t>
      </w:r>
    </w:p>
    <w:p>
      <w:pPr>
        <w:pStyle w:val="IEEEParagraph"/>
        <w:ind w:firstLine="288"/>
        <w:rPr>
          <w:szCs w:val="20"/>
          <w:lang w:val="en-US"/>
        </w:rPr>
      </w:pPr>
      <w:r>
        <w:rPr>
          <w:b w:val="0"/>
          <w:i w:val="0"/>
          <w:szCs w:val="20"/>
          <w:u w:val="none"/>
          <w:lang w:val="en-US"/>
        </w:rPr>
        <w:t xml:space="preserve">Di atas histeresis, voting mayoritas sliding-window menghaluskan output di sepanjang </w:t>
      </w:r>
      <m:oMath xmlns:mml="http://www.w3.org/1998/Math/MathML">
        <m:r>
          <w:rPr>
            <w:rFonts w:ascii="Cambria Math" w:hAnsi="Cambria Math"/>
            <w:sz w:val="20"/>
            <w:szCs w:val="20"/>
            <w:lang w:val="en-US"/>
          </w:rPr>
          <m:t>N</m:t>
        </m:r>
      </m:oMath>
      <w:r>
        <w:rPr>
          <w:b w:val="0"/>
          <w:i w:val="0"/>
          <w:szCs w:val="20"/>
          <w:u w:val="none"/>
          <w:lang w:val="en-US"/>
        </w:rPr>
        <w:t xml:space="preserve"> frame terakhir:</w:t>
      </w:r>
    </w:p>
    <w:p>
      <w:pPr>
        <w:tabs>
          <w:tab w:val="center" w:pos="2410"/>
          <w:tab w:val="right" w:pos="4962"/>
        </w:tabs>
        <w:spacing w:before="120" w:after="120"/>
        <w:rPr>
          <w:lang w:val="en-US"/>
        </w:rPr>
      </w:pPr>
      <w:r>
        <w:tab/>
      </w:r>
      <m:oMath xmlns:mml="http://www.w3.org/1998/Math/MathML">
        <m:sSub>
          <m:e>
            <m:r>
              <w:rPr>
                <w:rFonts w:ascii="Cambria Math" w:hAnsi="Cambria Math"/>
                <w:sz w:val="20"/>
                <w:szCs w:val="20"/>
                <w:lang w:val="en-US"/>
              </w:rPr>
              <m:t>F</m:t>
            </m:r>
          </m:e>
          <m:sub>
            <m:r>
              <w:rPr>
                <w:rFonts w:ascii="Cambria Math" w:hAnsi="Cambria Math"/>
                <w:sz w:val="20"/>
                <w:szCs w:val="20"/>
                <w:lang w:val="en-US"/>
              </w:rPr>
              <m:t>i</m:t>
            </m:r>
          </m:sub>
        </m:sSub>
        <m:r>
          <w:rPr>
            <w:rFonts w:ascii="Cambria Math" w:hAnsi="Cambria Math"/>
            <w:sz w:val="20"/>
            <w:szCs w:val="20"/>
            <w:lang w:val="en-US"/>
          </w:rPr>
          <m:t>=</m:t>
        </m:r>
        <m:f>
          <m:fPr>
            <m:type m:val="bar"/>
          </m:fPr>
          <m:num>
            <m:r>
              <w:rPr>
                <w:rFonts w:ascii="Cambria Math" w:hAnsi="Cambria Math"/>
                <w:sz w:val="20"/>
                <w:szCs w:val="20"/>
                <w:lang w:val="en-US"/>
              </w:rPr>
              <m:t>1</m:t>
            </m:r>
          </m:num>
          <m:den>
            <m:r>
              <w:rPr>
                <w:rFonts w:ascii="Cambria Math" w:hAnsi="Cambria Math"/>
                <w:sz w:val="20"/>
                <w:szCs w:val="20"/>
                <w:lang w:val="en-US"/>
              </w:rPr>
              <m:t>N</m:t>
            </m:r>
          </m:den>
        </m:f>
        <m:nary>
          <m:naryPr>
            <m:chr m:val="∑"/>
            <m:limLoc m:val="subSup"/>
            <m:grow m:val="1"/>
            <m:subHide m:val="off"/>
            <m:supHide m:val="off"/>
          </m:naryPr>
          <m:sub>
            <m:r>
              <w:rPr>
                <w:rFonts w:ascii="Cambria Math" w:hAnsi="Cambria Math"/>
                <w:sz w:val="20"/>
                <w:szCs w:val="20"/>
                <w:lang w:val="en-US"/>
              </w:rPr>
              <m:t>k=0</m:t>
            </m:r>
          </m:sub>
          <m:sup>
            <m:r>
              <w:rPr>
                <w:rFonts w:ascii="Cambria Math" w:hAnsi="Cambria Math"/>
                <w:sz w:val="20"/>
                <w:szCs w:val="20"/>
                <w:lang w:val="en-US"/>
              </w:rPr>
              <m:t>N−1</m:t>
            </m:r>
          </m:sup>
          <m:e>
            <m:sSub>
              <m:e>
                <m:r>
                  <w:rPr>
                    <w:rFonts w:ascii="Cambria Math" w:hAnsi="Cambria Math"/>
                    <w:sz w:val="20"/>
                    <w:szCs w:val="20"/>
                    <w:lang w:val="en-US"/>
                  </w:rPr>
                  <m:t>f</m:t>
                </m:r>
              </m:e>
              <m:sub>
                <m:r>
                  <w:rPr>
                    <w:rFonts w:ascii="Cambria Math" w:hAnsi="Cambria Math"/>
                    <w:sz w:val="20"/>
                    <w:szCs w:val="20"/>
                    <w:lang w:val="en-US"/>
                  </w:rPr>
                  <m:t>i</m:t>
                </m:r>
              </m:sub>
            </m:sSub>
            <m:r>
              <w:rPr>
                <w:rFonts w:ascii="Cambria Math" w:hAnsi="Cambria Math"/>
                <w:sz w:val="20"/>
                <w:szCs w:val="20"/>
                <w:lang w:val="en-US"/>
              </w:rPr>
              <m:t>(t−k)</m:t>
            </m:r>
          </m:e>
        </m:nary>
      </m:oMath>
      <w:r>
        <w:t xml:space="preserve"> </w:t>
      </w:r>
      <w:r>
        <w:tab/>
      </w:r>
      <w:r>
        <w:rPr>
          <w:iCs/>
          <w:sz w:val="20"/>
          <w:szCs w:val="20"/>
          <w:lang w:val="en-US"/>
        </w:rPr>
        <w:t>(11)</w:t>
      </w:r>
    </w:p>
    <w:p>
      <w:pPr>
        <w:pStyle w:val="IEEEParagraph"/>
        <w:ind w:firstLine="288"/>
        <w:rPr>
          <w:szCs w:val="20"/>
          <w:lang w:val="en-US"/>
        </w:rPr>
      </w:pPr>
      <w:r>
        <w:rPr>
          <w:b w:val="0"/>
          <w:i w:val="0"/>
          <w:szCs w:val="20"/>
          <w:u w:val="none"/>
          <w:lang w:val="en-US"/>
        </w:rPr>
        <w:t xml:space="preserve">Output biner final </w:t>
      </w:r>
      <m:oMath xmlns:mml="http://www.w3.org/1998/Math/MathML">
        <m:sSub>
          <m:e>
            <m:acc>
              <m:accPr>
                <m:chr m:val="̂"/>
              </m:accPr>
              <m:e>
                <m:r>
                  <w:rPr>
                    <w:rFonts w:ascii="Cambria Math" w:hAnsi="Cambria Math"/>
                    <w:sz w:val="20"/>
                    <w:szCs w:val="20"/>
                    <w:lang w:val="en-US"/>
                  </w:rPr>
                  <m:t>f</m:t>
                </m:r>
              </m:e>
            </m:acc>
          </m:e>
          <m:sub>
            <m:r>
              <w:rPr>
                <w:rFonts w:ascii="Cambria Math" w:hAnsi="Cambria Math"/>
                <w:sz w:val="20"/>
                <w:szCs w:val="20"/>
                <w:lang w:val="en-US"/>
              </w:rPr>
              <m:t>i</m:t>
            </m:r>
          </m:sub>
        </m:sSub>
      </m:oMath>
      <w:r>
        <w:rPr>
          <w:b w:val="0"/>
          <w:i w:val="0"/>
          <w:szCs w:val="20"/>
          <w:u w:val="none"/>
          <w:lang w:val="en-US"/>
        </w:rPr>
        <w:t xml:space="preserve"> bernilai 1 hanya jika lebih dari fraksi </w:t>
      </w:r>
      <m:oMath xmlns:mml="http://www.w3.org/1998/Math/MathML">
        <m:r>
          <w:rPr>
            <w:rFonts w:ascii="Cambria Math" w:hAnsi="Cambria Math"/>
            <w:sz w:val="20"/>
            <w:szCs w:val="20"/>
            <w:lang w:val="en-US"/>
          </w:rPr>
          <m:t>T</m:t>
        </m:r>
      </m:oMath>
      <w:r>
        <w:rPr>
          <w:b w:val="0"/>
          <w:i w:val="0"/>
          <w:szCs w:val="20"/>
          <w:u w:val="none"/>
          <w:lang w:val="en-US"/>
        </w:rPr>
        <w:t xml:space="preserve"> dari frame terbaru menyetujui bahwa jari terektensi:</w:t>
      </w:r>
    </w:p>
    <w:p>
      <w:pPr>
        <w:tabs>
          <w:tab w:val="center" w:pos="2410"/>
          <w:tab w:val="right" w:pos="4962"/>
        </w:tabs>
        <w:spacing w:before="120" w:after="120"/>
        <w:rPr>
          <w:lang w:val="en-US"/>
        </w:rPr>
      </w:pPr>
      <w:r>
        <w:tab/>
      </w:r>
      <m:oMath xmlns:mml="http://www.w3.org/1998/Math/MathML">
        <m:sSub>
          <m:e>
            <m:acc>
              <m:accPr>
                <m:chr m:val="̂"/>
              </m:accPr>
              <m:e>
                <m:r>
                  <w:rPr>
                    <w:rFonts w:ascii="Cambria Math" w:hAnsi="Cambria Math"/>
                    <w:sz w:val="20"/>
                    <w:szCs w:val="20"/>
                    <w:lang w:val="en-US"/>
                  </w:rPr>
                  <m:t>f</m:t>
                </m:r>
              </m:e>
            </m:acc>
          </m:e>
          <m:sub>
            <m:r>
              <w:rPr>
                <w:rFonts w:ascii="Cambria Math" w:hAnsi="Cambria Math"/>
                <w:sz w:val="20"/>
                <w:szCs w:val="20"/>
                <w:lang w:val="en-US"/>
              </w:rPr>
              <m:t>i</m:t>
            </m:r>
          </m:sub>
        </m:sSub>
        <m:r>
          <w:rPr>
            <w:rFonts w:ascii="Cambria Math" w:hAnsi="Cambria Math"/>
            <w:sz w:val="20"/>
            <w:szCs w:val="20"/>
            <w:lang w:val="en-US"/>
          </w:rPr>
          <m:t>=</m:t>
        </m:r>
        <m:r>
          <w:rPr>
            <w:rFonts w:ascii="Cambria Math" w:hAnsi="Cambria Math"/>
            <w:sz w:val="20"/>
            <w:szCs w:val="20"/>
            <w:lang w:val="en-US"/>
          </w:rPr>
          <m:t>{</m:t>
        </m:r>
        <m:m>
          <m:mPr>
            <m:baseJc m:val="center"/>
            <m:plcHide m:val="on"/>
            <m:mcs>
              <m:mc>
                <m:mcPr>
                  <m:count m:val="2"/>
                  <m:mcJc m:val="center"/>
                </m:mcPr>
              </m:mc>
            </m:mcs>
          </m:mPr>
          <m:mr>
            <m:e>
              <m:r>
                <w:rPr>
                  <w:rFonts w:ascii="Cambria Math" w:hAnsi="Cambria Math"/>
                  <w:sz w:val="20"/>
                  <w:szCs w:val="20"/>
                  <w:lang w:val="en-US"/>
                </w:rPr>
                <m:t>1,</m:t>
              </m:r>
            </m:e>
            <m:e>
              <m:sSub>
                <m:e>
                  <m:r>
                    <w:rPr>
                      <w:rFonts w:ascii="Cambria Math" w:hAnsi="Cambria Math"/>
                      <w:sz w:val="20"/>
                      <w:szCs w:val="20"/>
                      <w:lang w:val="en-US"/>
                    </w:rPr>
                    <m:t>F</m:t>
                  </m:r>
                </m:e>
                <m:sub>
                  <m:r>
                    <w:rPr>
                      <w:rFonts w:ascii="Cambria Math" w:hAnsi="Cambria Math"/>
                      <w:sz w:val="20"/>
                      <w:szCs w:val="20"/>
                      <w:lang w:val="en-US"/>
                    </w:rPr>
                    <m:t>i</m:t>
                  </m:r>
                </m:sub>
              </m:sSub>
              <m:r>
                <w:rPr>
                  <w:rFonts w:ascii="Cambria Math" w:hAnsi="Cambria Math"/>
                  <w:sz w:val="20"/>
                  <w:szCs w:val="20"/>
                  <w:lang w:val="en-US"/>
                </w:rPr>
                <m:t>&gt;T</m:t>
              </m:r>
            </m:e>
          </m:mr>
          <m:mr>
            <m:e>
              <m:r>
                <w:rPr>
                  <w:rFonts w:ascii="Cambria Math" w:hAnsi="Cambria Math"/>
                  <w:sz w:val="20"/>
                  <w:szCs w:val="20"/>
                  <w:lang w:val="en-US"/>
                </w:rPr>
                <m:t>0,</m:t>
              </m:r>
            </m:e>
            <m:e>
              <m:r>
                <w:rPr>
                  <w:rFonts w:ascii="Cambria Math" w:hAnsi="Cambria Math"/>
                  <w:sz w:val="20"/>
                  <w:szCs w:val="20"/>
                  <w:lang w:val="en-US"/>
                </w:rPr>
                <m:rPr>
                  <m:sty m:val="p"/>
                </m:rPr>
                <m:t>otherwise</m:t>
              </m:r>
            </m:e>
          </m:mr>
        </m:m>
      </m:oMath>
      <w:r>
        <w:t xml:space="preserve"> </w:t>
      </w:r>
      <w:r>
        <w:tab/>
      </w:r>
      <w:r>
        <w:rPr>
          <w:iCs/>
          <w:sz w:val="20"/>
          <w:szCs w:val="20"/>
          <w:lang w:val="en-US"/>
        </w:rPr>
        <w:t>(12)</w:t>
      </w:r>
    </w:p>
    <w:p>
      <w:pPr>
        <w:pStyle w:val="IEEEParagraph"/>
        <w:ind w:firstLine="288"/>
        <w:rPr>
          <w:szCs w:val="20"/>
          <w:lang w:val="en-US"/>
        </w:rPr>
      </w:pPr>
      <w:r>
        <w:rPr>
          <w:b w:val="0"/>
          <w:i w:val="0"/>
          <w:szCs w:val="20"/>
          <w:u w:val="none"/>
          <w:lang w:val="en-US"/>
        </w:rPr>
        <w:t xml:space="preserve">Histeresis ditambah voting berjendela memangkas false-trigger mendekati nol pada kondisi normal. Trade-off-nya: latensi. Pada </w:t>
      </w:r>
      <m:oMath xmlns:mml="http://www.w3.org/1998/Math/MathML">
        <m:r>
          <w:rPr>
            <w:rFonts w:ascii="Cambria Math" w:hAnsi="Cambria Math"/>
            <w:sz w:val="20"/>
            <w:szCs w:val="20"/>
            <w:lang w:val="en-US"/>
          </w:rPr>
          <m:t>N=5</m:t>
        </m:r>
      </m:oMath>
      <w:r>
        <w:rPr>
          <w:b w:val="0"/>
          <w:i w:val="0"/>
          <w:szCs w:val="20"/>
          <w:u w:val="none"/>
          <w:lang w:val="en-US"/>
        </w:rPr>
        <w:t xml:space="preserve"> dan 30 fps, debounce menambahkan ~83 ms, karena gestur biasanya stabil dalam 2-3 frame. Array biner </w:t>
      </w:r>
      <m:oMath xmlns:mml="http://www.w3.org/1998/Math/MathML">
        <m:sSub>
          <m:e>
            <m:acc>
              <m:accPr>
                <m:chr m:val="̂"/>
              </m:accPr>
              <m:e>
                <m:r>
                  <w:rPr>
                    <w:rFonts w:ascii="Cambria Math" w:hAnsi="Cambria Math"/>
                    <w:sz w:val="20"/>
                    <w:szCs w:val="20"/>
                    <w:lang w:val="en-US"/>
                  </w:rPr>
                  <m:t>f</m:t>
                </m:r>
              </m:e>
            </m:acc>
          </m:e>
          <m:sub>
            <m:r>
              <w:rPr>
                <w:rFonts w:ascii="Cambria Math" w:hAnsi="Cambria Math"/>
                <w:sz w:val="20"/>
                <w:szCs w:val="20"/>
                <w:lang w:val="en-US"/>
              </w:rPr>
              <m:t>i</m:t>
            </m:r>
          </m:sub>
        </m:sSub>
      </m:oMath>
      <w:r>
        <w:rPr>
          <w:b w:val="0"/>
          <w:i w:val="0"/>
          <w:szCs w:val="20"/>
          <w:u w:val="none"/>
          <w:lang w:val="en-US"/>
        </w:rPr>
        <w:t xml:space="preserve"> kemudian diantrikan untuk penulisan Modbus FC15.</w:t>
      </w:r>
    </w:p>
    <w:p>
      <w:pPr>
        <w:pStyle w:val="IEEEHeading2"/>
        <w:numPr>
          <w:ilvl w:val="0"/>
          <w:numId w:val="19"/>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INTEGRASI MEDIAPIPE DAN PYMODBUS</w:t>
      </w:r>
    </w:p>
    <w:p>
      <w:pPr>
        <w:pStyle w:val="IEEEParagraph"/>
        <w:ind w:firstLine="288"/>
        <w:rPr>
          <w:szCs w:val="20"/>
          <w:lang w:val="en-US"/>
        </w:rPr>
      </w:pPr>
      <w:r>
        <w:rPr>
          <w:b w:val="0"/>
          <w:i w:val="0"/>
          <w:szCs w:val="20"/>
          <w:u w:val="none"/>
          <w:lang w:val="en-US"/>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Times New Roman" w:hAnsi="Times New Roman"/>
          <w:b w:val="0"/>
          <w:smallCaps/>
          <w:sz w:val="16"/>
        </w:rPr>
        <w:t xml:space="preserve">TABLE I. </w:t>
      </w:r>
      <w:r>
        <w:rPr>
          <w:rFonts w:ascii="Times New Roman" w:hAnsi="Times New Roman"/>
          <w:b w:val="0"/>
          <w:smallCaps w:val="0"/>
          <w:sz w:val="16"/>
        </w:rPr>
        <w:t>Pemetaan Gestur ke Coil Modbus</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8"/>
        <w:gridCol w:w="2608"/>
        <w:gridCol w:w="2608"/>
        <w:gridCol w:w="2608"/>
      </w:tblGrid>
      <w:tr>
        <w:trPr>
          <w:tblHeader w:val="true"/>
        </w:trPr>
        <w:tc>
          <w:tcPr>
            <w:tcW w:type="dxa" w:w="2608"/>
            <w:tcBorders>
              <w:top w:val="single" w:sz="4" w:space="0" w:color="auto"/>
              <w:bottom w:val="single" w:sz="4" w:space="0" w:color="auto"/>
              <w:left w:val="none"/>
              <w:right w:val="none"/>
            </w:tcBorders>
          </w:tcPr>
          <w:p>
            <w:pPr>
              <w:pStyle w:val="IEEETableHeaderCentered"/>
              <w:jc w:val="center"/>
            </w:pPr>
            <w:r/>
            <w:r>
              <w:rPr>
                <w:b/>
              </w:rPr>
              <w:t>Gestur</w:t>
            </w:r>
          </w:p>
        </w:tc>
        <w:tc>
          <w:tcPr>
            <w:tcW w:type="dxa" w:w="2608"/>
            <w:tcBorders>
              <w:top w:val="single" w:sz="4" w:space="0" w:color="auto"/>
              <w:bottom w:val="single" w:sz="4" w:space="0" w:color="auto"/>
              <w:left w:val="none"/>
              <w:right w:val="none"/>
            </w:tcBorders>
          </w:tcPr>
          <w:p>
            <w:pPr>
              <w:pStyle w:val="IEEETableHeaderCentered"/>
              <w:jc w:val="center"/>
            </w:pPr>
            <w:r/>
            <w:r>
              <w:rPr>
                <w:b/>
              </w:rPr>
              <w:t>Jumlah Jari</w:t>
            </w:r>
          </w:p>
        </w:tc>
        <w:tc>
          <w:tcPr>
            <w:tcW w:type="dxa" w:w="2608"/>
            <w:tcBorders>
              <w:top w:val="single" w:sz="4" w:space="0" w:color="auto"/>
              <w:bottom w:val="single" w:sz="4" w:space="0" w:color="auto"/>
              <w:left w:val="none"/>
              <w:right w:val="none"/>
            </w:tcBorders>
          </w:tcPr>
          <w:p>
            <w:pPr>
              <w:pStyle w:val="IEEETableHeaderCentered"/>
              <w:jc w:val="center"/>
            </w:pPr>
            <w:r/>
            <w:r>
              <w:rPr>
                <w:b/>
              </w:rPr>
              <w:t>State Coil Modbus</w:t>
            </w:r>
          </w:p>
        </w:tc>
        <w:tc>
          <w:tcPr>
            <w:tcW w:type="dxa" w:w="2608"/>
            <w:tcBorders>
              <w:top w:val="single" w:sz="4" w:space="0" w:color="auto"/>
              <w:bottom w:val="single" w:sz="4" w:space="0" w:color="auto"/>
              <w:left w:val="none"/>
              <w:right w:val="none"/>
            </w:tcBorders>
          </w:tcPr>
          <w:p>
            <w:pPr>
              <w:pStyle w:val="IEEETableHeaderCentered"/>
              <w:jc w:val="center"/>
            </w:pPr>
            <w:r/>
            <w:r>
              <w:rPr>
                <w:b/>
              </w:rPr>
              <w:t>Output PLC</w:t>
            </w:r>
          </w:p>
        </w:tc>
      </w:tr>
      <w:tr>
        <w:tc>
          <w:tcPr>
            <w:tcW w:type="dxa" w:w="2608"/>
            <w:tcBorders>
              <w:top w:val="none"/>
              <w:bottom w:val="none"/>
              <w:left w:val="none"/>
              <w:right w:val="none"/>
            </w:tcBorders>
          </w:tcPr>
          <w:p>
            <w:pPr>
              <w:pStyle w:val="IEEETableCell"/>
              <w:jc w:val="left"/>
            </w:pPr>
            <w:r/>
            <w:r>
              <w:t>Kepalan Tangan</w:t>
            </w:r>
          </w:p>
        </w:tc>
        <w:tc>
          <w:tcPr>
            <w:tcW w:type="dxa" w:w="2608"/>
            <w:tcBorders>
              <w:top w:val="none"/>
              <w:bottom w:val="none"/>
              <w:left w:val="none"/>
              <w:right w:val="none"/>
            </w:tcBorders>
          </w:tcPr>
          <w:p>
            <w:pPr>
              <w:pStyle w:val="IEEETableCell"/>
              <w:jc w:val="left"/>
            </w:pPr>
            <w:r/>
            <w:r>
              <w:t>0</w:t>
            </w:r>
          </w:p>
        </w:tc>
        <w:tc>
          <w:tcPr>
            <w:tcW w:type="dxa" w:w="2608"/>
            <w:tcBorders>
              <w:top w:val="none"/>
              <w:bottom w:val="none"/>
              <w:left w:val="none"/>
              <w:right w:val="none"/>
            </w:tcBorders>
          </w:tcPr>
          <w:p>
            <w:pPr>
              <w:pStyle w:val="IEEETableCell"/>
              <w:jc w:val="left"/>
            </w:pPr>
            <w:r/>
            <w:r>
              <w:t>M200=0, M201=0, M202=0, M203=0</w:t>
            </w:r>
          </w:p>
        </w:tc>
        <w:tc>
          <w:tcPr>
            <w:tcW w:type="dxa" w:w="2608"/>
            <w:tcBorders>
              <w:top w:val="none"/>
              <w:bottom w:val="none"/>
              <w:left w:val="none"/>
              <w:right w:val="none"/>
            </w:tcBorders>
          </w:tcPr>
          <w:p>
            <w:pPr>
              <w:pStyle w:val="IEEETableCell"/>
              <w:jc w:val="left"/>
            </w:pPr>
            <w:r/>
            <w:r>
              <w:t>Q0-Q3=OFF</w:t>
            </w:r>
          </w:p>
        </w:tc>
      </w:tr>
      <w:tr>
        <w:tc>
          <w:tcPr>
            <w:tcW w:type="dxa" w:w="2608"/>
            <w:tcBorders>
              <w:top w:val="none"/>
              <w:bottom w:val="none"/>
              <w:left w:val="none"/>
              <w:right w:val="none"/>
            </w:tcBorders>
          </w:tcPr>
          <w:p>
            <w:pPr>
              <w:pStyle w:val="IEEETableCell"/>
              <w:jc w:val="left"/>
            </w:pPr>
            <w:r/>
            <w:r>
              <w:t>1 Jari (Telunjuk)</w:t>
            </w:r>
          </w:p>
        </w:tc>
        <w:tc>
          <w:tcPr>
            <w:tcW w:type="dxa" w:w="2608"/>
            <w:tcBorders>
              <w:top w:val="none"/>
              <w:bottom w:val="none"/>
              <w:left w:val="none"/>
              <w:right w:val="none"/>
            </w:tcBorders>
          </w:tcPr>
          <w:p>
            <w:pPr>
              <w:pStyle w:val="IEEETableCell"/>
              <w:jc w:val="left"/>
            </w:pPr>
            <w:r/>
            <w:r>
              <w:t>1</w:t>
            </w:r>
          </w:p>
        </w:tc>
        <w:tc>
          <w:tcPr>
            <w:tcW w:type="dxa" w:w="2608"/>
            <w:tcBorders>
              <w:top w:val="none"/>
              <w:bottom w:val="none"/>
              <w:left w:val="none"/>
              <w:right w:val="none"/>
            </w:tcBorders>
          </w:tcPr>
          <w:p>
            <w:pPr>
              <w:pStyle w:val="IEEETableCell"/>
              <w:jc w:val="left"/>
            </w:pPr>
            <w:r/>
            <w:r>
              <w:t>M200=1, M201=0, M202=0, M203=0</w:t>
            </w:r>
          </w:p>
        </w:tc>
        <w:tc>
          <w:tcPr>
            <w:tcW w:type="dxa" w:w="2608"/>
            <w:tcBorders>
              <w:top w:val="none"/>
              <w:bottom w:val="none"/>
              <w:left w:val="none"/>
              <w:right w:val="none"/>
            </w:tcBorders>
          </w:tcPr>
          <w:p>
            <w:pPr>
              <w:pStyle w:val="IEEETableCell"/>
              <w:jc w:val="left"/>
            </w:pPr>
            <w:r/>
            <w:r>
              <w:t>Q0=ON</w:t>
            </w:r>
          </w:p>
        </w:tc>
      </w:tr>
      <w:tr>
        <w:tc>
          <w:tcPr>
            <w:tcW w:type="dxa" w:w="2608"/>
            <w:tcBorders>
              <w:top w:val="none"/>
              <w:bottom w:val="none"/>
              <w:left w:val="none"/>
              <w:right w:val="none"/>
            </w:tcBorders>
          </w:tcPr>
          <w:p>
            <w:pPr>
              <w:pStyle w:val="IEEETableCell"/>
              <w:jc w:val="left"/>
            </w:pPr>
            <w:r/>
            <w:r>
              <w:t>2 Jari (Peace)</w:t>
            </w:r>
          </w:p>
        </w:tc>
        <w:tc>
          <w:tcPr>
            <w:tcW w:type="dxa" w:w="2608"/>
            <w:tcBorders>
              <w:top w:val="none"/>
              <w:bottom w:val="none"/>
              <w:left w:val="none"/>
              <w:right w:val="none"/>
            </w:tcBorders>
          </w:tcPr>
          <w:p>
            <w:pPr>
              <w:pStyle w:val="IEEETableCell"/>
              <w:jc w:val="left"/>
            </w:pPr>
            <w:r/>
            <w:r>
              <w:t>2</w:t>
            </w:r>
          </w:p>
        </w:tc>
        <w:tc>
          <w:tcPr>
            <w:tcW w:type="dxa" w:w="2608"/>
            <w:tcBorders>
              <w:top w:val="none"/>
              <w:bottom w:val="none"/>
              <w:left w:val="none"/>
              <w:right w:val="none"/>
            </w:tcBorders>
          </w:tcPr>
          <w:p>
            <w:pPr>
              <w:pStyle w:val="IEEETableCell"/>
              <w:jc w:val="left"/>
            </w:pPr>
            <w:r/>
            <w:r>
              <w:t>M200=1, M201=1, M202=0, M203=0</w:t>
            </w:r>
          </w:p>
        </w:tc>
        <w:tc>
          <w:tcPr>
            <w:tcW w:type="dxa" w:w="2608"/>
            <w:tcBorders>
              <w:top w:val="none"/>
              <w:bottom w:val="none"/>
              <w:left w:val="none"/>
              <w:right w:val="none"/>
            </w:tcBorders>
          </w:tcPr>
          <w:p>
            <w:pPr>
              <w:pStyle w:val="IEEETableCell"/>
              <w:jc w:val="left"/>
            </w:pPr>
            <w:r/>
            <w:r>
              <w:t>Q0-Q1=ON</w:t>
            </w:r>
          </w:p>
        </w:tc>
      </w:tr>
      <w:tr>
        <w:tc>
          <w:tcPr>
            <w:tcW w:type="dxa" w:w="2608"/>
            <w:tcBorders>
              <w:top w:val="none"/>
              <w:bottom w:val="none"/>
              <w:left w:val="none"/>
              <w:right w:val="none"/>
            </w:tcBorders>
          </w:tcPr>
          <w:p>
            <w:pPr>
              <w:pStyle w:val="IEEETableCell"/>
              <w:jc w:val="left"/>
            </w:pPr>
            <w:r/>
            <w:r>
              <w:t>3 Jari</w:t>
            </w:r>
          </w:p>
        </w:tc>
        <w:tc>
          <w:tcPr>
            <w:tcW w:type="dxa" w:w="2608"/>
            <w:tcBorders>
              <w:top w:val="none"/>
              <w:bottom w:val="none"/>
              <w:left w:val="none"/>
              <w:right w:val="none"/>
            </w:tcBorders>
          </w:tcPr>
          <w:p>
            <w:pPr>
              <w:pStyle w:val="IEEETableCell"/>
              <w:jc w:val="left"/>
            </w:pPr>
            <w:r/>
            <w:r>
              <w:t>3</w:t>
            </w:r>
          </w:p>
        </w:tc>
        <w:tc>
          <w:tcPr>
            <w:tcW w:type="dxa" w:w="2608"/>
            <w:tcBorders>
              <w:top w:val="none"/>
              <w:bottom w:val="none"/>
              <w:left w:val="none"/>
              <w:right w:val="none"/>
            </w:tcBorders>
          </w:tcPr>
          <w:p>
            <w:pPr>
              <w:pStyle w:val="IEEETableCell"/>
              <w:jc w:val="left"/>
            </w:pPr>
            <w:r/>
            <w:r>
              <w:t>M200=1, M201=1, M202=1, M203=0</w:t>
            </w:r>
          </w:p>
        </w:tc>
        <w:tc>
          <w:tcPr>
            <w:tcW w:type="dxa" w:w="2608"/>
            <w:tcBorders>
              <w:top w:val="none"/>
              <w:bottom w:val="none"/>
              <w:left w:val="none"/>
              <w:right w:val="none"/>
            </w:tcBorders>
          </w:tcPr>
          <w:p>
            <w:pPr>
              <w:pStyle w:val="IEEETableCell"/>
              <w:jc w:val="left"/>
            </w:pPr>
            <w:r/>
            <w:r>
              <w:t>Q0-Q2=ON</w:t>
            </w:r>
          </w:p>
        </w:tc>
      </w:tr>
      <w:tr>
        <w:tc>
          <w:tcPr>
            <w:tcW w:type="dxa" w:w="2608"/>
            <w:tcBorders>
              <w:top w:val="none"/>
              <w:bottom w:val="none"/>
              <w:left w:val="none"/>
              <w:right w:val="none"/>
            </w:tcBorders>
          </w:tcPr>
          <w:p>
            <w:pPr>
              <w:pStyle w:val="IEEETableCell"/>
              <w:jc w:val="left"/>
            </w:pPr>
            <w:r/>
            <w:r>
              <w:t>4 Jari</w:t>
            </w:r>
          </w:p>
        </w:tc>
        <w:tc>
          <w:tcPr>
            <w:tcW w:type="dxa" w:w="2608"/>
            <w:tcBorders>
              <w:top w:val="none"/>
              <w:bottom w:val="none"/>
              <w:left w:val="none"/>
              <w:right w:val="none"/>
            </w:tcBorders>
          </w:tcPr>
          <w:p>
            <w:pPr>
              <w:pStyle w:val="IEEETableCell"/>
              <w:jc w:val="left"/>
            </w:pPr>
            <w:r/>
            <w:r>
              <w:t>4</w:t>
            </w:r>
          </w:p>
        </w:tc>
        <w:tc>
          <w:tcPr>
            <w:tcW w:type="dxa" w:w="2608"/>
            <w:tcBorders>
              <w:top w:val="none"/>
              <w:bottom w:val="none"/>
              <w:left w:val="none"/>
              <w:right w:val="none"/>
            </w:tcBorders>
          </w:tcPr>
          <w:p>
            <w:pPr>
              <w:pStyle w:val="IEEETableCell"/>
              <w:jc w:val="left"/>
            </w:pPr>
            <w:r/>
            <w:r>
              <w:t>M200=1, M201=1, M202=1, M203=1</w:t>
            </w:r>
          </w:p>
        </w:tc>
        <w:tc>
          <w:tcPr>
            <w:tcW w:type="dxa" w:w="2608"/>
            <w:tcBorders>
              <w:top w:val="none"/>
              <w:bottom w:val="none"/>
              <w:left w:val="none"/>
              <w:right w:val="none"/>
            </w:tcBorders>
          </w:tcPr>
          <w:p>
            <w:pPr>
              <w:pStyle w:val="IEEETableCell"/>
              <w:jc w:val="left"/>
            </w:pPr>
            <w:r/>
            <w:r>
              <w:t>Q0-Q3=ON</w:t>
            </w:r>
          </w:p>
        </w:tc>
      </w:tr>
      <w:tr>
        <w:tc>
          <w:tcPr>
            <w:tcW w:type="dxa" w:w="2608"/>
            <w:tcBorders>
              <w:top w:val="none"/>
              <w:bottom w:val="single" w:sz="4" w:space="0" w:color="auto"/>
              <w:left w:val="none"/>
              <w:right w:val="none"/>
            </w:tcBorders>
          </w:tcPr>
          <w:p>
            <w:pPr>
              <w:pStyle w:val="IEEETableCell"/>
              <w:jc w:val="left"/>
            </w:pPr>
            <w:r/>
            <w:r>
              <w:t>5 Jari (Telapak)</w:t>
            </w:r>
          </w:p>
        </w:tc>
        <w:tc>
          <w:tcPr>
            <w:tcW w:type="dxa" w:w="2608"/>
            <w:tcBorders>
              <w:top w:val="none"/>
              <w:bottom w:val="single" w:sz="4" w:space="0" w:color="auto"/>
              <w:left w:val="none"/>
              <w:right w:val="none"/>
            </w:tcBorders>
          </w:tcPr>
          <w:p>
            <w:pPr>
              <w:pStyle w:val="IEEETableCell"/>
              <w:jc w:val="left"/>
            </w:pPr>
            <w:r/>
            <w:r>
              <w:t>5</w:t>
            </w:r>
          </w:p>
        </w:tc>
        <w:tc>
          <w:tcPr>
            <w:tcW w:type="dxa" w:w="2608"/>
            <w:tcBorders>
              <w:top w:val="none"/>
              <w:bottom w:val="single" w:sz="4" w:space="0" w:color="auto"/>
              <w:left w:val="none"/>
              <w:right w:val="none"/>
            </w:tcBorders>
          </w:tcPr>
          <w:p>
            <w:pPr>
              <w:pStyle w:val="IEEETableCell"/>
              <w:jc w:val="left"/>
            </w:pPr>
            <w:r/>
            <w:r>
              <w:t>M200=1, M201=1, M202=1, M203=1</w:t>
            </w:r>
          </w:p>
        </w:tc>
        <w:tc>
          <w:tcPr>
            <w:tcW w:type="dxa" w:w="2608"/>
            <w:tcBorders>
              <w:top w:val="none"/>
              <w:bottom w:val="single" w:sz="4" w:space="0" w:color="auto"/>
              <w:left w:val="none"/>
              <w:right w:val="none"/>
            </w:tcBorders>
          </w:tcPr>
          <w:p>
            <w:pPr>
              <w:pStyle w:val="IEEETableCell"/>
              <w:jc w:val="left"/>
            </w:pPr>
            <w:r/>
            <w:r>
              <w:t>Q0-Q3=ON (Semua)</w:t>
            </w:r>
          </w:p>
        </w:tc>
      </w:tr>
    </w:tbl>
    <w:p/>
    <w:p>
      <w:pPr>
        <w:pStyle w:val="IEEEParagraph"/>
        <w:ind w:firstLine="288"/>
        <w:rPr>
          <w:szCs w:val="20"/>
          <w:lang w:val="en-US"/>
        </w:rPr>
      </w:pPr>
      <w:r>
        <w:rPr>
          <w:b w:val="0"/>
          <w:i w:val="0"/>
          <w:szCs w:val="20"/>
          <w:u w:val="none"/>
          <w:lang w:val="en-US"/>
        </w:rPr>
        <w:t>PLCGui menjalankan ketiga thread. Saat gestur dikonfirmasi oleh filter debounce, pola coil ditulis ke PLC via PyModbus dan setiap hasil dicatat dalam log. LED panel depan PLC sesuai dengan indikator GUI setiap penulisan berhasil.</w:t>
      </w:r>
    </w:p>
    <w:p>
      <w:pPr>
        <w:jc w:val="center"/>
      </w:pPr>
      <w:r>
        <w:rPr>
          <w:i/>
          <w:color w:val="FF0000"/>
        </w:rPr>
        <w:t>[PROMPT UNTUK AI GAMBAR: Setup Hardware Laboratorium Lengkap. A photograph or realistic illustration of a laboratory workbench showing the complete GestPLC hardware deployment in a single wide-angle frame. On the left side, a desktop PC tower with a USB webcam mounted on a small tripod faces a human hand positioned in front of it. A Cat-5e Ethernet cable runs from the PC across the bench to a Schneider Modicon M221 PLC mounted on a DIN rail panel on the right side. The PLC panel shows visible indicator LEDs and wiring terminals. Overhead or side lighting illuminates the scene clearly. The composition resembles a small-scale industrial automation test station and is appropriate for a laboratory photograph in an IEEE journal paper.]</w:t>
      </w:r>
    </w:p>
    <w:p>
      <w:pPr>
        <w:pStyle w:val="IEEEFigure"/>
        <w:spacing w:before="60" w:after="120"/>
        <w:jc w:val="center"/>
      </w:pPr>
      <w:r>
        <w:rPr>
          <w:rFonts w:ascii="Helvetica" w:hAnsi="Helvetica"/>
          <w:b/>
          <w:sz w:val="14"/>
        </w:rPr>
        <w:t xml:space="preserve">Figure 8. </w:t>
      </w:r>
      <w:r>
        <w:rPr>
          <w:rFonts w:ascii="Helvetica" w:hAnsi="Helvetica"/>
          <w:b w:val="0"/>
          <w:sz w:val="14"/>
        </w:rPr>
        <w:t>Setup Hardware Laboratorium Lengkap</w:t>
      </w:r>
    </w:p>
    <w:p>
      <w:pPr>
        <w:pStyle w:val="IEEEParagraph"/>
        <w:ind w:firstLine="288"/>
        <w:rPr>
          <w:szCs w:val="20"/>
          <w:lang w:val="en-US"/>
        </w:rPr>
      </w:pPr>
      <w:r>
        <w:rPr>
          <w:b w:val="0"/>
          <w:i w:val="0"/>
          <w:szCs w:val="20"/>
          <w:u w:val="none"/>
          <w:lang w:val="en-US"/>
        </w:rPr>
        <w:t>Rig pengujian terlihat pada Gbr. 8. Webcam pada tripod menghadap tangan operator, kabel Cat-5e langsung ke panel PLC.</w:t>
      </w:r>
    </w:p>
    <w:p>
      <w:pPr>
        <w:pStyle w:val="IEEEHeading1"/>
        <w:spacing w:after="0"/>
        <w:contextualSpacing/>
        <w:jc w:val="left"/>
        <w:rPr>
          <w:b/>
          <w:bCs/>
          <w:color w:val="0070C0"/>
          <w:lang w:val="en-US"/>
        </w:rPr>
      </w:pPr>
      <w:r>
        <w:rPr>
          <w:rFonts w:ascii="Helvetica" w:hAnsi="Helvetica"/>
          <w:b/>
          <w:bCs/>
          <w:color w:val="0070C0"/>
          <w:sz w:val="18"/>
          <w:szCs w:val="18"/>
          <w:lang w:val="en-US"/>
        </w:rPr>
        <w:t>HASIL EKSPERIMEN</w:t>
      </w:r>
    </w:p>
    <w:p>
      <w:pPr>
        <w:pStyle w:val="IEEEHeading2"/>
        <w:numPr>
          <w:ilvl w:val="0"/>
          <w:numId w:val="20"/>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AKURASI DETEKSI GESTUR</w:t>
      </w:r>
    </w:p>
    <w:p>
      <w:pPr>
        <w:pStyle w:val="IEEEParagraph"/>
        <w:ind w:firstLine="288"/>
        <w:rPr>
          <w:szCs w:val="20"/>
          <w:lang w:val="en-US"/>
        </w:rPr>
      </w:pPr>
      <w:r>
        <w:rPr>
          <w:b w:val="0"/>
          <w:i w:val="0"/>
          <w:szCs w:val="20"/>
          <w:u w:val="none"/>
          <w:lang w:val="en-US"/>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Times New Roman" w:hAnsi="Times New Roman"/>
          <w:b w:val="0"/>
          <w:smallCaps/>
          <w:sz w:val="16"/>
        </w:rPr>
        <w:t xml:space="preserve">TABLE II. </w:t>
      </w:r>
      <w:r>
        <w:rPr>
          <w:rFonts w:ascii="Times New Roman" w:hAnsi="Times New Roman"/>
          <w:b w:val="0"/>
          <w:smallCaps w:val="0"/>
          <w:sz w:val="16"/>
        </w:rPr>
        <w:t>Performa Klasifikasi Gestur pada 300 Lux</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39"/>
        <w:gridCol w:w="1739"/>
        <w:gridCol w:w="1739"/>
        <w:gridCol w:w="1739"/>
        <w:gridCol w:w="1739"/>
        <w:gridCol w:w="1739"/>
      </w:tblGrid>
      <w:tr>
        <w:trPr>
          <w:tblHeader w:val="true"/>
        </w:trPr>
        <w:tc>
          <w:tcPr>
            <w:tcW w:type="dxa" w:w="1739"/>
            <w:tcBorders>
              <w:top w:val="single" w:sz="4" w:space="0" w:color="auto"/>
              <w:bottom w:val="single" w:sz="4" w:space="0" w:color="auto"/>
              <w:left w:val="none"/>
              <w:right w:val="none"/>
            </w:tcBorders>
          </w:tcPr>
          <w:p>
            <w:pPr>
              <w:pStyle w:val="IEEETableHeaderCentered"/>
              <w:jc w:val="center"/>
            </w:pPr>
            <w:r/>
            <w:r>
              <w:rPr>
                <w:b/>
              </w:rPr>
              <w:t>Gestur</w:t>
            </w:r>
          </w:p>
        </w:tc>
        <w:tc>
          <w:tcPr>
            <w:tcW w:type="dxa" w:w="1739"/>
            <w:tcBorders>
              <w:top w:val="single" w:sz="4" w:space="0" w:color="auto"/>
              <w:bottom w:val="single" w:sz="4" w:space="0" w:color="auto"/>
              <w:left w:val="none"/>
              <w:right w:val="none"/>
            </w:tcBorders>
          </w:tcPr>
          <w:p>
            <w:pPr>
              <w:pStyle w:val="IEEETableHeaderCentered"/>
              <w:jc w:val="center"/>
            </w:pPr>
            <w:r/>
            <w:r>
              <w:rPr>
                <w:b/>
              </w:rPr>
              <w:t>Sampel</w:t>
            </w:r>
          </w:p>
        </w:tc>
        <w:tc>
          <w:tcPr>
            <w:tcW w:type="dxa" w:w="1739"/>
            <w:tcBorders>
              <w:top w:val="single" w:sz="4" w:space="0" w:color="auto"/>
              <w:bottom w:val="single" w:sz="4" w:space="0" w:color="auto"/>
              <w:left w:val="none"/>
              <w:right w:val="none"/>
            </w:tcBorders>
          </w:tcPr>
          <w:p>
            <w:pPr>
              <w:pStyle w:val="IEEETableHeaderCentered"/>
              <w:jc w:val="center"/>
            </w:pPr>
            <w:r/>
            <w:r>
              <w:rPr>
                <w:b/>
              </w:rPr>
              <w:t>Benar</w:t>
            </w:r>
          </w:p>
        </w:tc>
        <w:tc>
          <w:tcPr>
            <w:tcW w:type="dxa" w:w="1739"/>
            <w:tcBorders>
              <w:top w:val="single" w:sz="4" w:space="0" w:color="auto"/>
              <w:bottom w:val="single" w:sz="4" w:space="0" w:color="auto"/>
              <w:left w:val="none"/>
              <w:right w:val="none"/>
            </w:tcBorders>
          </w:tcPr>
          <w:p>
            <w:pPr>
              <w:pStyle w:val="IEEETableHeaderCentered"/>
              <w:jc w:val="center"/>
            </w:pPr>
            <w:r/>
            <w:r>
              <w:rPr>
                <w:b/>
              </w:rPr>
              <w:t>Presisi (%)</w:t>
            </w:r>
          </w:p>
        </w:tc>
        <w:tc>
          <w:tcPr>
            <w:tcW w:type="dxa" w:w="1739"/>
            <w:tcBorders>
              <w:top w:val="single" w:sz="4" w:space="0" w:color="auto"/>
              <w:bottom w:val="single" w:sz="4" w:space="0" w:color="auto"/>
              <w:left w:val="none"/>
              <w:right w:val="none"/>
            </w:tcBorders>
          </w:tcPr>
          <w:p>
            <w:pPr>
              <w:pStyle w:val="IEEETableHeaderCentered"/>
              <w:jc w:val="center"/>
            </w:pPr>
            <w:r/>
            <w:r>
              <w:rPr>
                <w:b/>
              </w:rPr>
              <w:t>Recall (%)</w:t>
            </w:r>
          </w:p>
        </w:tc>
        <w:tc>
          <w:tcPr>
            <w:tcW w:type="dxa" w:w="1739"/>
            <w:tcBorders>
              <w:top w:val="single" w:sz="4" w:space="0" w:color="auto"/>
              <w:bottom w:val="single" w:sz="4" w:space="0" w:color="auto"/>
              <w:left w:val="none"/>
              <w:right w:val="none"/>
            </w:tcBorders>
          </w:tcPr>
          <w:p>
            <w:pPr>
              <w:pStyle w:val="IEEETableHeaderCentered"/>
              <w:jc w:val="center"/>
            </w:pPr>
            <w:r/>
            <w:r>
              <w:rPr>
                <w:b/>
              </w:rPr>
              <w:t>Skor F1 (%)</w:t>
            </w:r>
          </w:p>
        </w:tc>
      </w:tr>
      <w:tr>
        <w:tc>
          <w:tcPr>
            <w:tcW w:type="dxa" w:w="1739"/>
            <w:tcBorders>
              <w:top w:val="none"/>
              <w:bottom w:val="none"/>
              <w:left w:val="none"/>
              <w:right w:val="none"/>
            </w:tcBorders>
          </w:tcPr>
          <w:p>
            <w:pPr>
              <w:pStyle w:val="IEEETableCell"/>
              <w:jc w:val="left"/>
            </w:pPr>
            <w:r/>
            <w:r>
              <w:t>0 jari (Kepalan)</w:t>
            </w:r>
          </w:p>
        </w:tc>
        <w:tc>
          <w:tcPr>
            <w:tcW w:type="dxa" w:w="1739"/>
            <w:tcBorders>
              <w:top w:val="none"/>
              <w:bottom w:val="none"/>
              <w:left w:val="none"/>
              <w:right w:val="none"/>
            </w:tcBorders>
          </w:tcPr>
          <w:p>
            <w:pPr>
              <w:pStyle w:val="IEEETableCell"/>
              <w:jc w:val="left"/>
            </w:pPr>
            <w:r/>
            <w:r>
              <w:t>100</w:t>
            </w:r>
          </w:p>
        </w:tc>
        <w:tc>
          <w:tcPr>
            <w:tcW w:type="dxa" w:w="1739"/>
            <w:tcBorders>
              <w:top w:val="none"/>
              <w:bottom w:val="none"/>
              <w:left w:val="none"/>
              <w:right w:val="none"/>
            </w:tcBorders>
          </w:tcPr>
          <w:p>
            <w:pPr>
              <w:pStyle w:val="IEEETableCell"/>
              <w:jc w:val="left"/>
            </w:pPr>
            <w:r/>
            <w:r>
              <w:t>97</w:t>
            </w:r>
          </w:p>
        </w:tc>
        <w:tc>
          <w:tcPr>
            <w:tcW w:type="dxa" w:w="1739"/>
            <w:tcBorders>
              <w:top w:val="none"/>
              <w:bottom w:val="none"/>
              <w:left w:val="none"/>
              <w:right w:val="none"/>
            </w:tcBorders>
          </w:tcPr>
          <w:p>
            <w:pPr>
              <w:pStyle w:val="IEEETableCell"/>
              <w:jc w:val="left"/>
            </w:pPr>
            <w:r/>
            <w:r>
              <w:t>98,0</w:t>
            </w:r>
          </w:p>
        </w:tc>
        <w:tc>
          <w:tcPr>
            <w:tcW w:type="dxa" w:w="1739"/>
            <w:tcBorders>
              <w:top w:val="none"/>
              <w:bottom w:val="none"/>
              <w:left w:val="none"/>
              <w:right w:val="none"/>
            </w:tcBorders>
          </w:tcPr>
          <w:p>
            <w:pPr>
              <w:pStyle w:val="IEEETableCell"/>
              <w:jc w:val="left"/>
            </w:pPr>
            <w:r/>
            <w:r>
              <w:t>97,0</w:t>
            </w:r>
          </w:p>
        </w:tc>
        <w:tc>
          <w:tcPr>
            <w:tcW w:type="dxa" w:w="1739"/>
            <w:tcBorders>
              <w:top w:val="none"/>
              <w:bottom w:val="none"/>
              <w:left w:val="none"/>
              <w:right w:val="none"/>
            </w:tcBorders>
          </w:tcPr>
          <w:p>
            <w:pPr>
              <w:pStyle w:val="IEEETableCell"/>
              <w:jc w:val="left"/>
            </w:pPr>
            <w:r/>
            <w:r>
              <w:t>97,5</w:t>
            </w:r>
          </w:p>
        </w:tc>
      </w:tr>
      <w:tr>
        <w:tc>
          <w:tcPr>
            <w:tcW w:type="dxa" w:w="1739"/>
            <w:tcBorders>
              <w:top w:val="none"/>
              <w:bottom w:val="none"/>
              <w:left w:val="none"/>
              <w:right w:val="none"/>
            </w:tcBorders>
          </w:tcPr>
          <w:p>
            <w:pPr>
              <w:pStyle w:val="IEEETableCell"/>
              <w:jc w:val="left"/>
            </w:pPr>
            <w:r/>
            <w:r>
              <w:t>1 jari (Telunjuk)</w:t>
            </w:r>
          </w:p>
        </w:tc>
        <w:tc>
          <w:tcPr>
            <w:tcW w:type="dxa" w:w="1739"/>
            <w:tcBorders>
              <w:top w:val="none"/>
              <w:bottom w:val="none"/>
              <w:left w:val="none"/>
              <w:right w:val="none"/>
            </w:tcBorders>
          </w:tcPr>
          <w:p>
            <w:pPr>
              <w:pStyle w:val="IEEETableCell"/>
              <w:jc w:val="left"/>
            </w:pPr>
            <w:r/>
            <w:r>
              <w:t>100</w:t>
            </w:r>
          </w:p>
        </w:tc>
        <w:tc>
          <w:tcPr>
            <w:tcW w:type="dxa" w:w="1739"/>
            <w:tcBorders>
              <w:top w:val="none"/>
              <w:bottom w:val="none"/>
              <w:left w:val="none"/>
              <w:right w:val="none"/>
            </w:tcBorders>
          </w:tcPr>
          <w:p>
            <w:pPr>
              <w:pStyle w:val="IEEETableCell"/>
              <w:jc w:val="left"/>
            </w:pPr>
            <w:r/>
            <w:r>
              <w:t>95</w:t>
            </w:r>
          </w:p>
        </w:tc>
        <w:tc>
          <w:tcPr>
            <w:tcW w:type="dxa" w:w="1739"/>
            <w:tcBorders>
              <w:top w:val="none"/>
              <w:bottom w:val="none"/>
              <w:left w:val="none"/>
              <w:right w:val="none"/>
            </w:tcBorders>
          </w:tcPr>
          <w:p>
            <w:pPr>
              <w:pStyle w:val="IEEETableCell"/>
              <w:jc w:val="left"/>
            </w:pPr>
            <w:r/>
            <w:r>
              <w:t>96,9</w:t>
            </w:r>
          </w:p>
        </w:tc>
        <w:tc>
          <w:tcPr>
            <w:tcW w:type="dxa" w:w="1739"/>
            <w:tcBorders>
              <w:top w:val="none"/>
              <w:bottom w:val="none"/>
              <w:left w:val="none"/>
              <w:right w:val="none"/>
            </w:tcBorders>
          </w:tcPr>
          <w:p>
            <w:pPr>
              <w:pStyle w:val="IEEETableCell"/>
              <w:jc w:val="left"/>
            </w:pPr>
            <w:r/>
            <w:r>
              <w:t>95,0</w:t>
            </w:r>
          </w:p>
        </w:tc>
        <w:tc>
          <w:tcPr>
            <w:tcW w:type="dxa" w:w="1739"/>
            <w:tcBorders>
              <w:top w:val="none"/>
              <w:bottom w:val="none"/>
              <w:left w:val="none"/>
              <w:right w:val="none"/>
            </w:tcBorders>
          </w:tcPr>
          <w:p>
            <w:pPr>
              <w:pStyle w:val="IEEETableCell"/>
              <w:jc w:val="left"/>
            </w:pPr>
            <w:r/>
            <w:r>
              <w:t>95,9</w:t>
            </w:r>
          </w:p>
        </w:tc>
      </w:tr>
      <w:tr>
        <w:tc>
          <w:tcPr>
            <w:tcW w:type="dxa" w:w="1739"/>
            <w:tcBorders>
              <w:top w:val="none"/>
              <w:bottom w:val="none"/>
              <w:left w:val="none"/>
              <w:right w:val="none"/>
            </w:tcBorders>
          </w:tcPr>
          <w:p>
            <w:pPr>
              <w:pStyle w:val="IEEETableCell"/>
              <w:jc w:val="left"/>
            </w:pPr>
            <w:r/>
            <w:r>
              <w:t>2 jari (Peace)</w:t>
            </w:r>
          </w:p>
        </w:tc>
        <w:tc>
          <w:tcPr>
            <w:tcW w:type="dxa" w:w="1739"/>
            <w:tcBorders>
              <w:top w:val="none"/>
              <w:bottom w:val="none"/>
              <w:left w:val="none"/>
              <w:right w:val="none"/>
            </w:tcBorders>
          </w:tcPr>
          <w:p>
            <w:pPr>
              <w:pStyle w:val="IEEETableCell"/>
              <w:jc w:val="left"/>
            </w:pPr>
            <w:r/>
            <w:r>
              <w:t>100</w:t>
            </w:r>
          </w:p>
        </w:tc>
        <w:tc>
          <w:tcPr>
            <w:tcW w:type="dxa" w:w="1739"/>
            <w:tcBorders>
              <w:top w:val="none"/>
              <w:bottom w:val="none"/>
              <w:left w:val="none"/>
              <w:right w:val="none"/>
            </w:tcBorders>
          </w:tcPr>
          <w:p>
            <w:pPr>
              <w:pStyle w:val="IEEETableCell"/>
              <w:jc w:val="left"/>
            </w:pPr>
            <w:r/>
            <w:r>
              <w:t>94</w:t>
            </w:r>
          </w:p>
        </w:tc>
        <w:tc>
          <w:tcPr>
            <w:tcW w:type="dxa" w:w="1739"/>
            <w:tcBorders>
              <w:top w:val="none"/>
              <w:bottom w:val="none"/>
              <w:left w:val="none"/>
              <w:right w:val="none"/>
            </w:tcBorders>
          </w:tcPr>
          <w:p>
            <w:pPr>
              <w:pStyle w:val="IEEETableCell"/>
              <w:jc w:val="left"/>
            </w:pPr>
            <w:r/>
            <w:r>
              <w:t>95,9</w:t>
            </w:r>
          </w:p>
        </w:tc>
        <w:tc>
          <w:tcPr>
            <w:tcW w:type="dxa" w:w="1739"/>
            <w:tcBorders>
              <w:top w:val="none"/>
              <w:bottom w:val="none"/>
              <w:left w:val="none"/>
              <w:right w:val="none"/>
            </w:tcBorders>
          </w:tcPr>
          <w:p>
            <w:pPr>
              <w:pStyle w:val="IEEETableCell"/>
              <w:jc w:val="left"/>
            </w:pPr>
            <w:r/>
            <w:r>
              <w:t>94,0</w:t>
            </w:r>
          </w:p>
        </w:tc>
        <w:tc>
          <w:tcPr>
            <w:tcW w:type="dxa" w:w="1739"/>
            <w:tcBorders>
              <w:top w:val="none"/>
              <w:bottom w:val="none"/>
              <w:left w:val="none"/>
              <w:right w:val="none"/>
            </w:tcBorders>
          </w:tcPr>
          <w:p>
            <w:pPr>
              <w:pStyle w:val="IEEETableCell"/>
              <w:jc w:val="left"/>
            </w:pPr>
            <w:r/>
            <w:r>
              <w:t>94,9</w:t>
            </w:r>
          </w:p>
        </w:tc>
      </w:tr>
      <w:tr>
        <w:tc>
          <w:tcPr>
            <w:tcW w:type="dxa" w:w="1739"/>
            <w:tcBorders>
              <w:top w:val="none"/>
              <w:bottom w:val="none"/>
              <w:left w:val="none"/>
              <w:right w:val="none"/>
            </w:tcBorders>
          </w:tcPr>
          <w:p>
            <w:pPr>
              <w:pStyle w:val="IEEETableCell"/>
              <w:jc w:val="left"/>
            </w:pPr>
            <w:r/>
            <w:r>
              <w:t>3 jari</w:t>
            </w:r>
          </w:p>
        </w:tc>
        <w:tc>
          <w:tcPr>
            <w:tcW w:type="dxa" w:w="1739"/>
            <w:tcBorders>
              <w:top w:val="none"/>
              <w:bottom w:val="none"/>
              <w:left w:val="none"/>
              <w:right w:val="none"/>
            </w:tcBorders>
          </w:tcPr>
          <w:p>
            <w:pPr>
              <w:pStyle w:val="IEEETableCell"/>
              <w:jc w:val="left"/>
            </w:pPr>
            <w:r/>
            <w:r>
              <w:t>100</w:t>
            </w:r>
          </w:p>
        </w:tc>
        <w:tc>
          <w:tcPr>
            <w:tcW w:type="dxa" w:w="1739"/>
            <w:tcBorders>
              <w:top w:val="none"/>
              <w:bottom w:val="none"/>
              <w:left w:val="none"/>
              <w:right w:val="none"/>
            </w:tcBorders>
          </w:tcPr>
          <w:p>
            <w:pPr>
              <w:pStyle w:val="IEEETableCell"/>
              <w:jc w:val="left"/>
            </w:pPr>
            <w:r/>
            <w:r>
              <w:t>93</w:t>
            </w:r>
          </w:p>
        </w:tc>
        <w:tc>
          <w:tcPr>
            <w:tcW w:type="dxa" w:w="1739"/>
            <w:tcBorders>
              <w:top w:val="none"/>
              <w:bottom w:val="none"/>
              <w:left w:val="none"/>
              <w:right w:val="none"/>
            </w:tcBorders>
          </w:tcPr>
          <w:p>
            <w:pPr>
              <w:pStyle w:val="IEEETableCell"/>
              <w:jc w:val="left"/>
            </w:pPr>
            <w:r/>
            <w:r>
              <w:t>94,9</w:t>
            </w:r>
          </w:p>
        </w:tc>
        <w:tc>
          <w:tcPr>
            <w:tcW w:type="dxa" w:w="1739"/>
            <w:tcBorders>
              <w:top w:val="none"/>
              <w:bottom w:val="none"/>
              <w:left w:val="none"/>
              <w:right w:val="none"/>
            </w:tcBorders>
          </w:tcPr>
          <w:p>
            <w:pPr>
              <w:pStyle w:val="IEEETableCell"/>
              <w:jc w:val="left"/>
            </w:pPr>
            <w:r/>
            <w:r>
              <w:t>93,0</w:t>
            </w:r>
          </w:p>
        </w:tc>
        <w:tc>
          <w:tcPr>
            <w:tcW w:type="dxa" w:w="1739"/>
            <w:tcBorders>
              <w:top w:val="none"/>
              <w:bottom w:val="none"/>
              <w:left w:val="none"/>
              <w:right w:val="none"/>
            </w:tcBorders>
          </w:tcPr>
          <w:p>
            <w:pPr>
              <w:pStyle w:val="IEEETableCell"/>
              <w:jc w:val="left"/>
            </w:pPr>
            <w:r/>
            <w:r>
              <w:t>93,9</w:t>
            </w:r>
          </w:p>
        </w:tc>
      </w:tr>
      <w:tr>
        <w:tc>
          <w:tcPr>
            <w:tcW w:type="dxa" w:w="1739"/>
            <w:tcBorders>
              <w:top w:val="none"/>
              <w:bottom w:val="none"/>
              <w:left w:val="none"/>
              <w:right w:val="none"/>
            </w:tcBorders>
          </w:tcPr>
          <w:p>
            <w:pPr>
              <w:pStyle w:val="IEEETableCell"/>
              <w:jc w:val="left"/>
            </w:pPr>
            <w:r/>
            <w:r>
              <w:t>4 jari</w:t>
            </w:r>
          </w:p>
        </w:tc>
        <w:tc>
          <w:tcPr>
            <w:tcW w:type="dxa" w:w="1739"/>
            <w:tcBorders>
              <w:top w:val="none"/>
              <w:bottom w:val="none"/>
              <w:left w:val="none"/>
              <w:right w:val="none"/>
            </w:tcBorders>
          </w:tcPr>
          <w:p>
            <w:pPr>
              <w:pStyle w:val="IEEETableCell"/>
              <w:jc w:val="left"/>
            </w:pPr>
            <w:r/>
            <w:r>
              <w:t>100</w:t>
            </w:r>
          </w:p>
        </w:tc>
        <w:tc>
          <w:tcPr>
            <w:tcW w:type="dxa" w:w="1739"/>
            <w:tcBorders>
              <w:top w:val="none"/>
              <w:bottom w:val="none"/>
              <w:left w:val="none"/>
              <w:right w:val="none"/>
            </w:tcBorders>
          </w:tcPr>
          <w:p>
            <w:pPr>
              <w:pStyle w:val="IEEETableCell"/>
              <w:jc w:val="left"/>
            </w:pPr>
            <w:r/>
            <w:r>
              <w:t>92</w:t>
            </w:r>
          </w:p>
        </w:tc>
        <w:tc>
          <w:tcPr>
            <w:tcW w:type="dxa" w:w="1739"/>
            <w:tcBorders>
              <w:top w:val="none"/>
              <w:bottom w:val="none"/>
              <w:left w:val="none"/>
              <w:right w:val="none"/>
            </w:tcBorders>
          </w:tcPr>
          <w:p>
            <w:pPr>
              <w:pStyle w:val="IEEETableCell"/>
              <w:jc w:val="left"/>
            </w:pPr>
            <w:r/>
            <w:r>
              <w:t>93,9</w:t>
            </w:r>
          </w:p>
        </w:tc>
        <w:tc>
          <w:tcPr>
            <w:tcW w:type="dxa" w:w="1739"/>
            <w:tcBorders>
              <w:top w:val="none"/>
              <w:bottom w:val="none"/>
              <w:left w:val="none"/>
              <w:right w:val="none"/>
            </w:tcBorders>
          </w:tcPr>
          <w:p>
            <w:pPr>
              <w:pStyle w:val="IEEETableCell"/>
              <w:jc w:val="left"/>
            </w:pPr>
            <w:r/>
            <w:r>
              <w:t>92,0</w:t>
            </w:r>
          </w:p>
        </w:tc>
        <w:tc>
          <w:tcPr>
            <w:tcW w:type="dxa" w:w="1739"/>
            <w:tcBorders>
              <w:top w:val="none"/>
              <w:bottom w:val="none"/>
              <w:left w:val="none"/>
              <w:right w:val="none"/>
            </w:tcBorders>
          </w:tcPr>
          <w:p>
            <w:pPr>
              <w:pStyle w:val="IEEETableCell"/>
              <w:jc w:val="left"/>
            </w:pPr>
            <w:r/>
            <w:r>
              <w:t>92,9</w:t>
            </w:r>
          </w:p>
        </w:tc>
      </w:tr>
      <w:tr>
        <w:tc>
          <w:tcPr>
            <w:tcW w:type="dxa" w:w="1739"/>
            <w:tcBorders>
              <w:top w:val="none"/>
              <w:bottom w:val="none"/>
              <w:left w:val="none"/>
              <w:right w:val="none"/>
            </w:tcBorders>
          </w:tcPr>
          <w:p>
            <w:pPr>
              <w:pStyle w:val="IEEETableCell"/>
              <w:jc w:val="left"/>
            </w:pPr>
            <w:r/>
            <w:r>
              <w:t>5 jari (Telapak Terbuka)</w:t>
            </w:r>
          </w:p>
        </w:tc>
        <w:tc>
          <w:tcPr>
            <w:tcW w:type="dxa" w:w="1739"/>
            <w:tcBorders>
              <w:top w:val="none"/>
              <w:bottom w:val="none"/>
              <w:left w:val="none"/>
              <w:right w:val="none"/>
            </w:tcBorders>
          </w:tcPr>
          <w:p>
            <w:pPr>
              <w:pStyle w:val="IEEETableCell"/>
              <w:jc w:val="left"/>
            </w:pPr>
            <w:r/>
            <w:r>
              <w:t>100</w:t>
            </w:r>
          </w:p>
        </w:tc>
        <w:tc>
          <w:tcPr>
            <w:tcW w:type="dxa" w:w="1739"/>
            <w:tcBorders>
              <w:top w:val="none"/>
              <w:bottom w:val="none"/>
              <w:left w:val="none"/>
              <w:right w:val="none"/>
            </w:tcBorders>
          </w:tcPr>
          <w:p>
            <w:pPr>
              <w:pStyle w:val="IEEETableCell"/>
              <w:jc w:val="left"/>
            </w:pPr>
            <w:r/>
            <w:r>
              <w:t>98</w:t>
            </w:r>
          </w:p>
        </w:tc>
        <w:tc>
          <w:tcPr>
            <w:tcW w:type="dxa" w:w="1739"/>
            <w:tcBorders>
              <w:top w:val="none"/>
              <w:bottom w:val="none"/>
              <w:left w:val="none"/>
              <w:right w:val="none"/>
            </w:tcBorders>
          </w:tcPr>
          <w:p>
            <w:pPr>
              <w:pStyle w:val="IEEETableCell"/>
              <w:jc w:val="left"/>
            </w:pPr>
            <w:r/>
            <w:r>
              <w:t>97,0</w:t>
            </w:r>
          </w:p>
        </w:tc>
        <w:tc>
          <w:tcPr>
            <w:tcW w:type="dxa" w:w="1739"/>
            <w:tcBorders>
              <w:top w:val="none"/>
              <w:bottom w:val="none"/>
              <w:left w:val="none"/>
              <w:right w:val="none"/>
            </w:tcBorders>
          </w:tcPr>
          <w:p>
            <w:pPr>
              <w:pStyle w:val="IEEETableCell"/>
              <w:jc w:val="left"/>
            </w:pPr>
            <w:r/>
            <w:r>
              <w:t>98,0</w:t>
            </w:r>
          </w:p>
        </w:tc>
        <w:tc>
          <w:tcPr>
            <w:tcW w:type="dxa" w:w="1739"/>
            <w:tcBorders>
              <w:top w:val="none"/>
              <w:bottom w:val="none"/>
              <w:left w:val="none"/>
              <w:right w:val="none"/>
            </w:tcBorders>
          </w:tcPr>
          <w:p>
            <w:pPr>
              <w:pStyle w:val="IEEETableCell"/>
              <w:jc w:val="left"/>
            </w:pPr>
            <w:r/>
            <w:r>
              <w:t>97,5</w:t>
            </w:r>
          </w:p>
        </w:tc>
      </w:tr>
      <w:tr>
        <w:tc>
          <w:tcPr>
            <w:tcW w:type="dxa" w:w="1739"/>
            <w:tcBorders>
              <w:top w:val="none"/>
              <w:bottom w:val="single" w:sz="4" w:space="0" w:color="auto"/>
              <w:left w:val="none"/>
              <w:right w:val="none"/>
            </w:tcBorders>
          </w:tcPr>
          <w:p>
            <w:pPr>
              <w:pStyle w:val="IEEETableCell"/>
              <w:jc w:val="left"/>
            </w:pPr>
            <w:r/>
            <w:r>
              <w:t>\bRata-rata Keseluruhan (Makro)\b</w:t>
            </w:r>
          </w:p>
        </w:tc>
        <w:tc>
          <w:tcPr>
            <w:tcW w:type="dxa" w:w="1739"/>
            <w:tcBorders>
              <w:top w:val="none"/>
              <w:bottom w:val="single" w:sz="4" w:space="0" w:color="auto"/>
              <w:left w:val="none"/>
              <w:right w:val="none"/>
            </w:tcBorders>
          </w:tcPr>
          <w:p>
            <w:pPr>
              <w:pStyle w:val="IEEETableCell"/>
              <w:jc w:val="left"/>
            </w:pPr>
            <w:r/>
            <w:r>
              <w:t>600</w:t>
            </w:r>
          </w:p>
        </w:tc>
        <w:tc>
          <w:tcPr>
            <w:tcW w:type="dxa" w:w="1739"/>
            <w:tcBorders>
              <w:top w:val="none"/>
              <w:bottom w:val="single" w:sz="4" w:space="0" w:color="auto"/>
              <w:left w:val="none"/>
              <w:right w:val="none"/>
            </w:tcBorders>
          </w:tcPr>
          <w:p>
            <w:pPr>
              <w:pStyle w:val="IEEETableCell"/>
              <w:jc w:val="left"/>
            </w:pPr>
            <w:r/>
            <w:r>
              <w:t>569</w:t>
            </w:r>
          </w:p>
        </w:tc>
        <w:tc>
          <w:tcPr>
            <w:tcW w:type="dxa" w:w="1739"/>
            <w:tcBorders>
              <w:top w:val="none"/>
              <w:bottom w:val="single" w:sz="4" w:space="0" w:color="auto"/>
              <w:left w:val="none"/>
              <w:right w:val="none"/>
            </w:tcBorders>
          </w:tcPr>
          <w:p>
            <w:pPr>
              <w:pStyle w:val="IEEETableCell"/>
              <w:jc w:val="left"/>
            </w:pPr>
            <w:r/>
            <w:r>
              <w:t>\b96,1\b</w:t>
            </w:r>
          </w:p>
        </w:tc>
        <w:tc>
          <w:tcPr>
            <w:tcW w:type="dxa" w:w="1739"/>
            <w:tcBorders>
              <w:top w:val="none"/>
              <w:bottom w:val="single" w:sz="4" w:space="0" w:color="auto"/>
              <w:left w:val="none"/>
              <w:right w:val="none"/>
            </w:tcBorders>
          </w:tcPr>
          <w:p>
            <w:pPr>
              <w:pStyle w:val="IEEETableCell"/>
              <w:jc w:val="left"/>
            </w:pPr>
            <w:r/>
            <w:r>
              <w:t>\b94,8\b</w:t>
            </w:r>
          </w:p>
        </w:tc>
        <w:tc>
          <w:tcPr>
            <w:tcW w:type="dxa" w:w="1739"/>
            <w:tcBorders>
              <w:top w:val="none"/>
              <w:bottom w:val="single" w:sz="4" w:space="0" w:color="auto"/>
              <w:left w:val="none"/>
              <w:right w:val="none"/>
            </w:tcBorders>
          </w:tcPr>
          <w:p>
            <w:pPr>
              <w:pStyle w:val="IEEETableCell"/>
              <w:jc w:val="left"/>
            </w:pPr>
            <w:r/>
            <w:r>
              <w:t>\b95,4\b</w:t>
            </w:r>
          </w:p>
        </w:tc>
      </w:tr>
    </w:tbl>
    <w:p/>
    <w:p>
      <w:pPr>
        <w:pStyle w:val="IEEEParagraph"/>
        <w:ind w:firstLine="288"/>
        <w:rPr>
          <w:szCs w:val="20"/>
          <w:lang w:val="en-US"/>
        </w:rPr>
      </w:pPr>
      <w:r>
        <w:rPr>
          <w:b w:val="0"/>
          <w:i w:val="0"/>
          <w:szCs w:val="20"/>
          <w:u w:val="none"/>
          <w:lang w:val="en-US"/>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Times New Roman" w:hAnsi="Times New Roman"/>
          <w:b w:val="0"/>
          <w:smallCaps/>
          <w:sz w:val="16"/>
        </w:rPr>
        <w:t xml:space="preserve">TABLE III. </w:t>
      </w:r>
      <w:r>
        <w:rPr>
          <w:rFonts w:ascii="Times New Roman" w:hAnsi="Times New Roman"/>
          <w:b w:val="0"/>
          <w:smallCaps w:val="0"/>
          <w:sz w:val="16"/>
        </w:rPr>
        <w:t>Matriks Konfusi pada 300 Lux (n=100 per kelas)</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90"/>
        <w:gridCol w:w="1490"/>
        <w:gridCol w:w="1490"/>
        <w:gridCol w:w="1490"/>
        <w:gridCol w:w="1490"/>
        <w:gridCol w:w="1490"/>
        <w:gridCol w:w="1490"/>
      </w:tblGrid>
      <w:tr>
        <w:trPr>
          <w:tblHeader w:val="true"/>
        </w:trPr>
        <w:tc>
          <w:tcPr>
            <w:tcW w:type="dxa" w:w="1490"/>
            <w:tcBorders>
              <w:top w:val="single" w:sz="4" w:space="0" w:color="auto"/>
              <w:bottom w:val="single" w:sz="4" w:space="0" w:color="auto"/>
              <w:left w:val="none"/>
              <w:right w:val="none"/>
            </w:tcBorders>
          </w:tcPr>
          <w:p>
            <w:pPr>
              <w:pStyle w:val="IEEETableHeaderCentered"/>
              <w:jc w:val="center"/>
            </w:pPr>
            <w:r/>
            <w:r>
              <w:rPr>
                <w:b/>
              </w:rPr>
              <w:t>Aktual \ Prediksi</w:t>
            </w:r>
          </w:p>
        </w:tc>
        <w:tc>
          <w:tcPr>
            <w:tcW w:type="dxa" w:w="1490"/>
            <w:tcBorders>
              <w:top w:val="single" w:sz="4" w:space="0" w:color="auto"/>
              <w:bottom w:val="single" w:sz="4" w:space="0" w:color="auto"/>
              <w:left w:val="none"/>
              <w:right w:val="none"/>
            </w:tcBorders>
          </w:tcPr>
          <w:p>
            <w:pPr>
              <w:pStyle w:val="IEEETableHeaderCentered"/>
              <w:jc w:val="center"/>
            </w:pPr>
            <w:r/>
            <w:r>
              <w:rPr>
                <w:b/>
              </w:rPr>
              <w:t>0 (Kepalan)</w:t>
            </w:r>
          </w:p>
        </w:tc>
        <w:tc>
          <w:tcPr>
            <w:tcW w:type="dxa" w:w="1490"/>
            <w:tcBorders>
              <w:top w:val="single" w:sz="4" w:space="0" w:color="auto"/>
              <w:bottom w:val="single" w:sz="4" w:space="0" w:color="auto"/>
              <w:left w:val="none"/>
              <w:right w:val="none"/>
            </w:tcBorders>
          </w:tcPr>
          <w:p>
            <w:pPr>
              <w:pStyle w:val="IEEETableHeaderCentered"/>
              <w:jc w:val="center"/>
            </w:pPr>
            <w:r/>
            <w:r>
              <w:rPr>
                <w:b/>
              </w:rPr>
              <w:t>1 (Telunjuk)</w:t>
            </w:r>
          </w:p>
        </w:tc>
        <w:tc>
          <w:tcPr>
            <w:tcW w:type="dxa" w:w="1490"/>
            <w:tcBorders>
              <w:top w:val="single" w:sz="4" w:space="0" w:color="auto"/>
              <w:bottom w:val="single" w:sz="4" w:space="0" w:color="auto"/>
              <w:left w:val="none"/>
              <w:right w:val="none"/>
            </w:tcBorders>
          </w:tcPr>
          <w:p>
            <w:pPr>
              <w:pStyle w:val="IEEETableHeaderCentered"/>
              <w:jc w:val="center"/>
            </w:pPr>
            <w:r/>
            <w:r>
              <w:rPr>
                <w:b/>
              </w:rPr>
              <w:t>2 (Peace)</w:t>
            </w:r>
          </w:p>
        </w:tc>
        <w:tc>
          <w:tcPr>
            <w:tcW w:type="dxa" w:w="1490"/>
            <w:tcBorders>
              <w:top w:val="single" w:sz="4" w:space="0" w:color="auto"/>
              <w:bottom w:val="single" w:sz="4" w:space="0" w:color="auto"/>
              <w:left w:val="none"/>
              <w:right w:val="none"/>
            </w:tcBorders>
          </w:tcPr>
          <w:p>
            <w:pPr>
              <w:pStyle w:val="IEEETableHeaderCentered"/>
              <w:jc w:val="center"/>
            </w:pPr>
            <w:r/>
            <w:r>
              <w:rPr>
                <w:b/>
              </w:rPr>
              <w:t>3</w:t>
            </w:r>
          </w:p>
        </w:tc>
        <w:tc>
          <w:tcPr>
            <w:tcW w:type="dxa" w:w="1490"/>
            <w:tcBorders>
              <w:top w:val="single" w:sz="4" w:space="0" w:color="auto"/>
              <w:bottom w:val="single" w:sz="4" w:space="0" w:color="auto"/>
              <w:left w:val="none"/>
              <w:right w:val="none"/>
            </w:tcBorders>
          </w:tcPr>
          <w:p>
            <w:pPr>
              <w:pStyle w:val="IEEETableHeaderCentered"/>
              <w:jc w:val="center"/>
            </w:pPr>
            <w:r/>
            <w:r>
              <w:rPr>
                <w:b/>
              </w:rPr>
              <w:t>4</w:t>
            </w:r>
          </w:p>
        </w:tc>
        <w:tc>
          <w:tcPr>
            <w:tcW w:type="dxa" w:w="1490"/>
            <w:tcBorders>
              <w:top w:val="single" w:sz="4" w:space="0" w:color="auto"/>
              <w:bottom w:val="single" w:sz="4" w:space="0" w:color="auto"/>
              <w:left w:val="none"/>
              <w:right w:val="none"/>
            </w:tcBorders>
          </w:tcPr>
          <w:p>
            <w:pPr>
              <w:pStyle w:val="IEEETableHeaderCentered"/>
              <w:jc w:val="center"/>
            </w:pPr>
            <w:r/>
            <w:r>
              <w:rPr>
                <w:b/>
              </w:rPr>
              <w:t>5 (Telapak)</w:t>
            </w:r>
          </w:p>
        </w:tc>
      </w:tr>
      <w:tr>
        <w:tc>
          <w:tcPr>
            <w:tcW w:type="dxa" w:w="1490"/>
            <w:tcBorders>
              <w:top w:val="none"/>
              <w:bottom w:val="none"/>
              <w:left w:val="none"/>
              <w:right w:val="none"/>
            </w:tcBorders>
          </w:tcPr>
          <w:p>
            <w:pPr>
              <w:pStyle w:val="IEEETableCell"/>
              <w:jc w:val="left"/>
            </w:pPr>
            <w:r/>
            <w:r>
              <w:t>0 (Kepalan)</w:t>
            </w:r>
          </w:p>
        </w:tc>
        <w:tc>
          <w:tcPr>
            <w:tcW w:type="dxa" w:w="1490"/>
            <w:tcBorders>
              <w:top w:val="none"/>
              <w:bottom w:val="none"/>
              <w:left w:val="none"/>
              <w:right w:val="none"/>
            </w:tcBorders>
          </w:tcPr>
          <w:p>
            <w:pPr>
              <w:pStyle w:val="IEEETableCell"/>
              <w:jc w:val="left"/>
            </w:pPr>
            <w:r/>
            <w:r>
              <w:t>97</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3</w:t>
            </w:r>
          </w:p>
        </w:tc>
      </w:tr>
      <w:tr>
        <w:tc>
          <w:tcPr>
            <w:tcW w:type="dxa" w:w="1490"/>
            <w:tcBorders>
              <w:top w:val="none"/>
              <w:bottom w:val="none"/>
              <w:left w:val="none"/>
              <w:right w:val="none"/>
            </w:tcBorders>
          </w:tcPr>
          <w:p>
            <w:pPr>
              <w:pStyle w:val="IEEETableCell"/>
              <w:jc w:val="left"/>
            </w:pPr>
            <w:r/>
            <w:r>
              <w:t>1 (Telunjuk)</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95</w:t>
            </w:r>
          </w:p>
        </w:tc>
        <w:tc>
          <w:tcPr>
            <w:tcW w:type="dxa" w:w="1490"/>
            <w:tcBorders>
              <w:top w:val="none"/>
              <w:bottom w:val="none"/>
              <w:left w:val="none"/>
              <w:right w:val="none"/>
            </w:tcBorders>
          </w:tcPr>
          <w:p>
            <w:pPr>
              <w:pStyle w:val="IEEETableCell"/>
              <w:jc w:val="left"/>
            </w:pPr>
            <w:r/>
            <w:r>
              <w:t>2</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3</w:t>
            </w:r>
          </w:p>
        </w:tc>
      </w:tr>
      <w:tr>
        <w:tc>
          <w:tcPr>
            <w:tcW w:type="dxa" w:w="1490"/>
            <w:tcBorders>
              <w:top w:val="none"/>
              <w:bottom w:val="none"/>
              <w:left w:val="none"/>
              <w:right w:val="none"/>
            </w:tcBorders>
          </w:tcPr>
          <w:p>
            <w:pPr>
              <w:pStyle w:val="IEEETableCell"/>
              <w:jc w:val="left"/>
            </w:pPr>
            <w:r/>
            <w:r>
              <w:t>2 (Peace)</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1</w:t>
            </w:r>
          </w:p>
        </w:tc>
        <w:tc>
          <w:tcPr>
            <w:tcW w:type="dxa" w:w="1490"/>
            <w:tcBorders>
              <w:top w:val="none"/>
              <w:bottom w:val="none"/>
              <w:left w:val="none"/>
              <w:right w:val="none"/>
            </w:tcBorders>
          </w:tcPr>
          <w:p>
            <w:pPr>
              <w:pStyle w:val="IEEETableCell"/>
              <w:jc w:val="left"/>
            </w:pPr>
            <w:r/>
            <w:r>
              <w:t>94</w:t>
            </w:r>
          </w:p>
        </w:tc>
        <w:tc>
          <w:tcPr>
            <w:tcW w:type="dxa" w:w="1490"/>
            <w:tcBorders>
              <w:top w:val="none"/>
              <w:bottom w:val="none"/>
              <w:left w:val="none"/>
              <w:right w:val="none"/>
            </w:tcBorders>
          </w:tcPr>
          <w:p>
            <w:pPr>
              <w:pStyle w:val="IEEETableCell"/>
              <w:jc w:val="left"/>
            </w:pPr>
            <w:r/>
            <w:r>
              <w:t>5</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0</w:t>
            </w:r>
          </w:p>
        </w:tc>
      </w:tr>
      <w:tr>
        <w:tc>
          <w:tcPr>
            <w:tcW w:type="dxa" w:w="1490"/>
            <w:tcBorders>
              <w:top w:val="none"/>
              <w:bottom w:val="none"/>
              <w:left w:val="none"/>
              <w:right w:val="none"/>
            </w:tcBorders>
          </w:tcPr>
          <w:p>
            <w:pPr>
              <w:pStyle w:val="IEEETableCell"/>
              <w:jc w:val="left"/>
            </w:pPr>
            <w:r/>
            <w:r>
              <w:t>3</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4</w:t>
            </w:r>
          </w:p>
        </w:tc>
        <w:tc>
          <w:tcPr>
            <w:tcW w:type="dxa" w:w="1490"/>
            <w:tcBorders>
              <w:top w:val="none"/>
              <w:bottom w:val="none"/>
              <w:left w:val="none"/>
              <w:right w:val="none"/>
            </w:tcBorders>
          </w:tcPr>
          <w:p>
            <w:pPr>
              <w:pStyle w:val="IEEETableCell"/>
              <w:jc w:val="left"/>
            </w:pPr>
            <w:r/>
            <w:r>
              <w:t>93</w:t>
            </w:r>
          </w:p>
        </w:tc>
        <w:tc>
          <w:tcPr>
            <w:tcW w:type="dxa" w:w="1490"/>
            <w:tcBorders>
              <w:top w:val="none"/>
              <w:bottom w:val="none"/>
              <w:left w:val="none"/>
              <w:right w:val="none"/>
            </w:tcBorders>
          </w:tcPr>
          <w:p>
            <w:pPr>
              <w:pStyle w:val="IEEETableCell"/>
              <w:jc w:val="left"/>
            </w:pPr>
            <w:r/>
            <w:r>
              <w:t>3</w:t>
            </w:r>
          </w:p>
        </w:tc>
        <w:tc>
          <w:tcPr>
            <w:tcW w:type="dxa" w:w="1490"/>
            <w:tcBorders>
              <w:top w:val="none"/>
              <w:bottom w:val="none"/>
              <w:left w:val="none"/>
              <w:right w:val="none"/>
            </w:tcBorders>
          </w:tcPr>
          <w:p>
            <w:pPr>
              <w:pStyle w:val="IEEETableCell"/>
              <w:jc w:val="left"/>
            </w:pPr>
            <w:r/>
            <w:r>
              <w:t>0</w:t>
            </w:r>
          </w:p>
        </w:tc>
      </w:tr>
      <w:tr>
        <w:tc>
          <w:tcPr>
            <w:tcW w:type="dxa" w:w="1490"/>
            <w:tcBorders>
              <w:top w:val="none"/>
              <w:bottom w:val="none"/>
              <w:left w:val="none"/>
              <w:right w:val="none"/>
            </w:tcBorders>
          </w:tcPr>
          <w:p>
            <w:pPr>
              <w:pStyle w:val="IEEETableCell"/>
              <w:jc w:val="left"/>
            </w:pPr>
            <w:r/>
            <w:r>
              <w:t>4</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0</w:t>
            </w:r>
          </w:p>
        </w:tc>
        <w:tc>
          <w:tcPr>
            <w:tcW w:type="dxa" w:w="1490"/>
            <w:tcBorders>
              <w:top w:val="none"/>
              <w:bottom w:val="none"/>
              <w:left w:val="none"/>
              <w:right w:val="none"/>
            </w:tcBorders>
          </w:tcPr>
          <w:p>
            <w:pPr>
              <w:pStyle w:val="IEEETableCell"/>
              <w:jc w:val="left"/>
            </w:pPr>
            <w:r/>
            <w:r>
              <w:t>2</w:t>
            </w:r>
          </w:p>
        </w:tc>
        <w:tc>
          <w:tcPr>
            <w:tcW w:type="dxa" w:w="1490"/>
            <w:tcBorders>
              <w:top w:val="none"/>
              <w:bottom w:val="none"/>
              <w:left w:val="none"/>
              <w:right w:val="none"/>
            </w:tcBorders>
          </w:tcPr>
          <w:p>
            <w:pPr>
              <w:pStyle w:val="IEEETableCell"/>
              <w:jc w:val="left"/>
            </w:pPr>
            <w:r/>
            <w:r>
              <w:t>92</w:t>
            </w:r>
          </w:p>
        </w:tc>
        <w:tc>
          <w:tcPr>
            <w:tcW w:type="dxa" w:w="1490"/>
            <w:tcBorders>
              <w:top w:val="none"/>
              <w:bottom w:val="none"/>
              <w:left w:val="none"/>
              <w:right w:val="none"/>
            </w:tcBorders>
          </w:tcPr>
          <w:p>
            <w:pPr>
              <w:pStyle w:val="IEEETableCell"/>
              <w:jc w:val="left"/>
            </w:pPr>
            <w:r/>
            <w:r>
              <w:t>6</w:t>
            </w:r>
          </w:p>
        </w:tc>
      </w:tr>
      <w:tr>
        <w:tc>
          <w:tcPr>
            <w:tcW w:type="dxa" w:w="1490"/>
            <w:tcBorders>
              <w:top w:val="none"/>
              <w:bottom w:val="single" w:sz="4" w:space="0" w:color="auto"/>
              <w:left w:val="none"/>
              <w:right w:val="none"/>
            </w:tcBorders>
          </w:tcPr>
          <w:p>
            <w:pPr>
              <w:pStyle w:val="IEEETableCell"/>
              <w:jc w:val="left"/>
            </w:pPr>
            <w:r/>
            <w:r>
              <w:t>5 (Telapak)</w:t>
            </w:r>
          </w:p>
        </w:tc>
        <w:tc>
          <w:tcPr>
            <w:tcW w:type="dxa" w:w="1490"/>
            <w:tcBorders>
              <w:top w:val="none"/>
              <w:bottom w:val="single" w:sz="4" w:space="0" w:color="auto"/>
              <w:left w:val="none"/>
              <w:right w:val="none"/>
            </w:tcBorders>
          </w:tcPr>
          <w:p>
            <w:pPr>
              <w:pStyle w:val="IEEETableCell"/>
              <w:jc w:val="left"/>
            </w:pPr>
            <w:r/>
            <w:r>
              <w:t>2</w:t>
            </w:r>
          </w:p>
        </w:tc>
        <w:tc>
          <w:tcPr>
            <w:tcW w:type="dxa" w:w="1490"/>
            <w:tcBorders>
              <w:top w:val="none"/>
              <w:bottom w:val="single" w:sz="4" w:space="0" w:color="auto"/>
              <w:left w:val="none"/>
              <w:right w:val="none"/>
            </w:tcBorders>
          </w:tcPr>
          <w:p>
            <w:pPr>
              <w:pStyle w:val="IEEETableCell"/>
              <w:jc w:val="left"/>
            </w:pPr>
            <w:r/>
            <w:r>
              <w:t>0</w:t>
            </w:r>
          </w:p>
        </w:tc>
        <w:tc>
          <w:tcPr>
            <w:tcW w:type="dxa" w:w="1490"/>
            <w:tcBorders>
              <w:top w:val="none"/>
              <w:bottom w:val="single" w:sz="4" w:space="0" w:color="auto"/>
              <w:left w:val="none"/>
              <w:right w:val="none"/>
            </w:tcBorders>
          </w:tcPr>
          <w:p>
            <w:pPr>
              <w:pStyle w:val="IEEETableCell"/>
              <w:jc w:val="left"/>
            </w:pPr>
            <w:r/>
            <w:r>
              <w:t>0</w:t>
            </w:r>
          </w:p>
        </w:tc>
        <w:tc>
          <w:tcPr>
            <w:tcW w:type="dxa" w:w="1490"/>
            <w:tcBorders>
              <w:top w:val="none"/>
              <w:bottom w:val="single" w:sz="4" w:space="0" w:color="auto"/>
              <w:left w:val="none"/>
              <w:right w:val="none"/>
            </w:tcBorders>
          </w:tcPr>
          <w:p>
            <w:pPr>
              <w:pStyle w:val="IEEETableCell"/>
              <w:jc w:val="left"/>
            </w:pPr>
            <w:r/>
            <w:r>
              <w:t>0</w:t>
            </w:r>
          </w:p>
        </w:tc>
        <w:tc>
          <w:tcPr>
            <w:tcW w:type="dxa" w:w="1490"/>
            <w:tcBorders>
              <w:top w:val="none"/>
              <w:bottom w:val="single" w:sz="4" w:space="0" w:color="auto"/>
              <w:left w:val="none"/>
              <w:right w:val="none"/>
            </w:tcBorders>
          </w:tcPr>
          <w:p>
            <w:pPr>
              <w:pStyle w:val="IEEETableCell"/>
              <w:jc w:val="left"/>
            </w:pPr>
            <w:r/>
            <w:r>
              <w:t>0</w:t>
            </w:r>
          </w:p>
        </w:tc>
        <w:tc>
          <w:tcPr>
            <w:tcW w:type="dxa" w:w="1490"/>
            <w:tcBorders>
              <w:top w:val="none"/>
              <w:bottom w:val="single" w:sz="4" w:space="0" w:color="auto"/>
              <w:left w:val="none"/>
              <w:right w:val="none"/>
            </w:tcBorders>
          </w:tcPr>
          <w:p>
            <w:pPr>
              <w:pStyle w:val="IEEETableCell"/>
              <w:jc w:val="left"/>
            </w:pPr>
            <w:r/>
            <w:r>
              <w:t>98</w:t>
            </w:r>
          </w:p>
        </w:tc>
      </w:tr>
    </w:tbl>
    <w:p/>
    <w:p>
      <w:pPr>
        <w:pStyle w:val="IEEEParagraph"/>
        <w:ind w:firstLine="288"/>
        <w:rPr>
          <w:szCs w:val="20"/>
          <w:lang w:val="en-US"/>
        </w:rPr>
      </w:pPr>
      <w:r>
        <w:rPr>
          <w:b w:val="0"/>
          <w:i w:val="0"/>
          <w:szCs w:val="20"/>
          <w:u w:val="none"/>
          <w:lang w:val="en-US"/>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jc w:val="center"/>
      </w:pPr>
      <w:r>
        <w:rPr>
          <w:i/>
          <w:color w:val="FF0000"/>
        </w:rPr>
        <w:t>[PROMPT UNTUK AI GAMBAR: Heatmap Matriks Konfusi. A 6-by-6 confusion matrix heatmap visualizing gesture classification accuracy under 300 lux standard lighting. Row labels on the left represent the six true gesture classes: Fist, Index, Peace, Three, Four, and Open Palm. Column labels across the top represent the six predicted classes with identical names. Cell fill color transitions from white or pale yellow for zero or very low values to dark blue or dark green for high counts near 100. Diagonal cells are the darkest, confirming high correct-classification rates. Each cell displays its numeric integer count. A continuous color scale bar is shown beside the matrix. Axis titles and tick labels use clean sans-serif font. Style matches IEEE conference paper result section figures.]</w:t>
      </w:r>
    </w:p>
    <w:p>
      <w:pPr>
        <w:pStyle w:val="IEEEFigure"/>
        <w:spacing w:before="60" w:after="120"/>
        <w:jc w:val="center"/>
      </w:pPr>
      <w:r>
        <w:rPr>
          <w:rFonts w:ascii="Helvetica" w:hAnsi="Helvetica"/>
          <w:b/>
          <w:sz w:val="14"/>
        </w:rPr>
        <w:t xml:space="preserve">Figure 9. </w:t>
      </w:r>
      <w:r>
        <w:rPr>
          <w:rFonts w:ascii="Helvetica" w:hAnsi="Helvetica"/>
          <w:b w:val="0"/>
          <w:sz w:val="14"/>
        </w:rPr>
        <w:t>Heatmap Matriks Konfusi</w:t>
      </w:r>
    </w:p>
    <w:p>
      <w:pPr>
        <w:pStyle w:val="IEEEParagraph"/>
        <w:ind w:firstLine="288"/>
        <w:rPr>
          <w:szCs w:val="20"/>
          <w:lang w:val="en-US"/>
        </w:rPr>
      </w:pPr>
      <w:r>
        <w:rPr>
          <w:b w:val="0"/>
          <w:i w:val="0"/>
          <w:szCs w:val="20"/>
          <w:u w:val="none"/>
          <w:lang w:val="en-US"/>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jc w:val="center"/>
      </w:pPr>
      <w:r>
        <w:rPr>
          <w:i/>
          <w:color w:val="FF0000"/>
        </w:rPr>
        <w:t>[PROMPT UNTUK AI GAMBAR: Skor F1 pada Tiga Kondisi Pencahayaan. A grouped bar chart comparing F1-score performance across six gesture classes under three different lighting conditions: 50 lux low light, 300 lux standard office illumination, and 1000 lux direct worklight. The horizontal axis lists gesture classes labeled Fist, Index, Peace, Three, Four, and Open Palm. The vertical axis shows F1-score as a percentage ranging from 0 to 100. Three side-by-side bars per gesture group are color-coded distinctly by lighting condition with a clear legend positioned in the upper right corner. Numeric value labels or subtle grid lines aid readability. Background is white, bar colors are flat and professional, font is clean sans-serif, and the overall style is consistent with IEEE paper result section chart conventions.]</w:t>
      </w:r>
    </w:p>
    <w:p>
      <w:pPr>
        <w:pStyle w:val="IEEEFigure"/>
        <w:spacing w:before="60" w:after="120"/>
        <w:jc w:val="center"/>
      </w:pPr>
      <w:r>
        <w:rPr>
          <w:rFonts w:ascii="Helvetica" w:hAnsi="Helvetica"/>
          <w:b/>
          <w:sz w:val="14"/>
        </w:rPr>
        <w:t xml:space="preserve">Figure 10. </w:t>
      </w:r>
      <w:r>
        <w:rPr>
          <w:rFonts w:ascii="Helvetica" w:hAnsi="Helvetica"/>
          <w:b w:val="0"/>
          <w:sz w:val="14"/>
        </w:rPr>
        <w:t>Skor F1 pada Tiga Kondisi Pencahayaan</w:t>
      </w:r>
    </w:p>
    <w:p>
      <w:pPr>
        <w:pStyle w:val="IEEEParagraph"/>
        <w:ind w:firstLine="288"/>
        <w:rPr>
          <w:szCs w:val="20"/>
          <w:lang w:val="en-US"/>
        </w:rPr>
      </w:pPr>
      <w:r>
        <w:rPr>
          <w:b w:val="0"/>
          <w:i w:val="0"/>
          <w:szCs w:val="20"/>
          <w:u w:val="none"/>
          <w:lang w:val="en-US"/>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jc w:val="center"/>
      </w:pPr>
      <w:r>
        <w:rPr>
          <w:i/>
          <w:color w:val="FF0000"/>
        </w:rPr>
        <w:t>[PROMPT UNTUK AI GAMBAR: Presisi, Recall, Skor F1 per Kelas pada 300 Lux. A grouped bar chart presenting precision, recall, and F1-score values for each of the six gesture classes evaluated under 300 lux optimal indoor lighting. The horizontal axis labels the six gesture classes: Fist, Index, Peace, Three, Four, and Open Palm. The vertical axis shows percentage values from 0 to 100. Three distinctly colored solid bars are grouped side by side for each class, representing precision, recall, and F1-score respectively, with a legend clearly identifying each metric color. Horizontal light-gray grid lines improve readability on the white background. Value labels may optionally appear above each bar. Font is clean sans-serif, and the chart style is flat, professional, and consistent with IEEE conference paper figure standards.]</w:t>
      </w:r>
    </w:p>
    <w:p>
      <w:pPr>
        <w:pStyle w:val="IEEEFigure"/>
        <w:spacing w:before="60" w:after="120"/>
        <w:jc w:val="center"/>
      </w:pPr>
      <w:r>
        <w:rPr>
          <w:rFonts w:ascii="Helvetica" w:hAnsi="Helvetica"/>
          <w:b/>
          <w:sz w:val="14"/>
        </w:rPr>
        <w:t xml:space="preserve">Figure 11. </w:t>
      </w:r>
      <w:r>
        <w:rPr>
          <w:rFonts w:ascii="Helvetica" w:hAnsi="Helvetica"/>
          <w:b w:val="0"/>
          <w:sz w:val="14"/>
        </w:rPr>
        <w:t>Presisi, Recall, Skor F1 per Kelas pada 300 Lux</w:t>
      </w:r>
    </w:p>
    <w:p>
      <w:pPr>
        <w:pStyle w:val="IEEEParagraph"/>
        <w:ind w:firstLine="288"/>
        <w:rPr>
          <w:szCs w:val="20"/>
          <w:lang w:val="en-US"/>
        </w:rPr>
      </w:pPr>
      <w:r>
        <w:rPr>
          <w:b w:val="0"/>
          <w:i w:val="0"/>
          <w:szCs w:val="20"/>
          <w:u w:val="none"/>
          <w:lang w:val="en-US"/>
        </w:rPr>
        <w:t>Presisi dan recall pada 300 lux (Gbr. 11) saling berdekatan untuk keenam kelas. Kepalan dan telapak terbuka tertinggi karena keduanya paling berbeda dalam proyeksi 2-D. Akurasi keseluruhan:</w:t>
      </w:r>
    </w:p>
    <w:p>
      <w:pPr>
        <w:tabs>
          <w:tab w:val="center" w:pos="2410"/>
          <w:tab w:val="right" w:pos="4962"/>
        </w:tabs>
        <w:spacing w:before="120" w:after="120"/>
        <w:rPr>
          <w:lang w:val="en-US"/>
        </w:rPr>
      </w:pPr>
      <w:r>
        <w:tab/>
      </w:r>
      <m:oMath xmlns:mml="http://www.w3.org/1998/Math/MathML">
        <m:r>
          <w:rPr>
            <w:rFonts w:ascii="Cambria Math" w:hAnsi="Cambria Math"/>
            <w:sz w:val="20"/>
            <w:szCs w:val="20"/>
            <w:lang w:val="en-US"/>
          </w:rPr>
          <m:rPr>
            <m:sty m:val="p"/>
          </m:rPr>
          <m:t>Accuracy</m:t>
        </m:r>
        <m:r>
          <w:rPr>
            <w:rFonts w:ascii="Cambria Math" w:hAnsi="Cambria Math"/>
            <w:sz w:val="20"/>
            <w:szCs w:val="20"/>
            <w:lang w:val="en-US"/>
          </w:rPr>
          <m:t>=</m:t>
        </m:r>
        <m:f>
          <m:fPr>
            <m:type m:val="bar"/>
          </m:fPr>
          <m:num>
            <m:nary>
              <m:naryPr>
                <m:chr m:val="∑"/>
                <m:limLoc m:val="subSup"/>
                <m:grow m:val="1"/>
                <m:subHide m:val="off"/>
                <m:supHide m:val="off"/>
              </m:naryPr>
              <m:sub>
                <m:r>
                  <w:rPr>
                    <w:rFonts w:ascii="Cambria Math" w:hAnsi="Cambria Math"/>
                    <w:sz w:val="20"/>
                    <w:szCs w:val="20"/>
                    <w:lang w:val="en-US"/>
                  </w:rPr>
                  <m:t>k=0</m:t>
                </m:r>
              </m:sub>
              <m:sup>
                <m:r>
                  <w:rPr>
                    <w:rFonts w:ascii="Cambria Math" w:hAnsi="Cambria Math"/>
                    <w:sz w:val="20"/>
                    <w:szCs w:val="20"/>
                    <w:lang w:val="en-US"/>
                  </w:rPr>
                  <m:t>5</m:t>
                </m:r>
              </m:sup>
              <m:e>
                <m:r>
                  <w:rPr>
                    <w:rFonts w:ascii="Cambria Math" w:hAnsi="Cambria Math"/>
                    <w:sz w:val="20"/>
                    <w:szCs w:val="20"/>
                    <w:lang w:val="en-US"/>
                  </w:rPr>
                  <m:t>T</m:t>
                </m:r>
                <m:sSub>
                  <m:e>
                    <m:r>
                      <w:rPr>
                        <w:rFonts w:ascii="Cambria Math" w:hAnsi="Cambria Math"/>
                        <w:sz w:val="20"/>
                        <w:szCs w:val="20"/>
                        <w:lang w:val="en-US"/>
                      </w:rPr>
                      <m:t>P</m:t>
                    </m:r>
                  </m:e>
                  <m:sub>
                    <m:r>
                      <w:rPr>
                        <w:rFonts w:ascii="Cambria Math" w:hAnsi="Cambria Math"/>
                        <w:sz w:val="20"/>
                        <w:szCs w:val="20"/>
                        <w:lang w:val="en-US"/>
                      </w:rPr>
                      <m:t>k</m:t>
                    </m:r>
                  </m:sub>
                </m:sSub>
              </m:e>
            </m:nary>
          </m:num>
          <m:den>
            <m:nary>
              <m:naryPr>
                <m:chr m:val="∑"/>
                <m:limLoc m:val="subSup"/>
                <m:grow m:val="1"/>
                <m:subHide m:val="off"/>
                <m:supHide m:val="off"/>
              </m:naryPr>
              <m:sub>
                <m:r>
                  <w:rPr>
                    <w:rFonts w:ascii="Cambria Math" w:hAnsi="Cambria Math"/>
                    <w:sz w:val="20"/>
                    <w:szCs w:val="20"/>
                    <w:lang w:val="en-US"/>
                  </w:rPr>
                  <m:t>k=0</m:t>
                </m:r>
              </m:sub>
              <m:sup>
                <m:r>
                  <w:rPr>
                    <w:rFonts w:ascii="Cambria Math" w:hAnsi="Cambria Math"/>
                    <w:sz w:val="20"/>
                    <w:szCs w:val="20"/>
                    <w:lang w:val="en-US"/>
                  </w:rPr>
                  <m:t>5</m:t>
                </m:r>
              </m:sup>
              <m:e>
                <m:r>
                  <w:rPr>
                    <w:rFonts w:ascii="Cambria Math" w:hAnsi="Cambria Math"/>
                    <w:sz w:val="20"/>
                    <w:szCs w:val="20"/>
                    <w:lang w:val="en-US"/>
                  </w:rPr>
                  <m:t>(T</m:t>
                </m:r>
                <m:sSub>
                  <m:e>
                    <m:r>
                      <w:rPr>
                        <w:rFonts w:ascii="Cambria Math" w:hAnsi="Cambria Math"/>
                        <w:sz w:val="20"/>
                        <w:szCs w:val="20"/>
                        <w:lang w:val="en-US"/>
                      </w:rPr>
                      <m:t>P</m:t>
                    </m:r>
                  </m:e>
                  <m:sub>
                    <m:r>
                      <w:rPr>
                        <w:rFonts w:ascii="Cambria Math" w:hAnsi="Cambria Math"/>
                        <w:sz w:val="20"/>
                        <w:szCs w:val="20"/>
                        <w:lang w:val="en-US"/>
                      </w:rPr>
                      <m:t>k</m:t>
                    </m:r>
                  </m:sub>
                </m:sSub>
                <m:r>
                  <w:rPr>
                    <w:rFonts w:ascii="Cambria Math" w:hAnsi="Cambria Math"/>
                    <w:sz w:val="20"/>
                    <w:szCs w:val="20"/>
                    <w:lang w:val="en-US"/>
                  </w:rPr>
                  <m:t>+F</m:t>
                </m:r>
                <m:sSub>
                  <m:e>
                    <m:r>
                      <w:rPr>
                        <w:rFonts w:ascii="Cambria Math" w:hAnsi="Cambria Math"/>
                        <w:sz w:val="20"/>
                        <w:szCs w:val="20"/>
                        <w:lang w:val="en-US"/>
                      </w:rPr>
                      <m:t>N</m:t>
                    </m:r>
                  </m:e>
                  <m:sub>
                    <m:r>
                      <w:rPr>
                        <w:rFonts w:ascii="Cambria Math" w:hAnsi="Cambria Math"/>
                        <w:sz w:val="20"/>
                        <w:szCs w:val="20"/>
                        <w:lang w:val="en-US"/>
                      </w:rPr>
                      <m:t>k</m:t>
                    </m:r>
                  </m:sub>
                </m:sSub>
                <m:r>
                  <w:rPr>
                    <w:rFonts w:ascii="Cambria Math" w:hAnsi="Cambria Math"/>
                    <w:sz w:val="20"/>
                    <w:szCs w:val="20"/>
                    <w:lang w:val="en-US"/>
                  </w:rPr>
                  <m:t>)</m:t>
                </m:r>
              </m:e>
            </m:nary>
          </m:den>
        </m:f>
        <m:r>
          <w:rPr>
            <w:rFonts w:ascii="Cambria Math" w:hAnsi="Cambria Math"/>
            <w:sz w:val="20"/>
            <w:szCs w:val="20"/>
            <w:lang w:val="en-US"/>
          </w:rPr>
          <m:t>×100%</m:t>
        </m:r>
      </m:oMath>
      <w:r>
        <w:t xml:space="preserve"> </w:t>
      </w:r>
      <w:r>
        <w:tab/>
      </w:r>
      <w:r>
        <w:rPr>
          <w:iCs/>
          <w:sz w:val="20"/>
          <w:szCs w:val="20"/>
          <w:lang w:val="en-US"/>
        </w:rPr>
        <w:t>(13)</w:t>
      </w:r>
    </w:p>
    <w:p>
      <w:pPr>
        <w:pStyle w:val="IEEEParagraph"/>
        <w:ind w:firstLine="288"/>
        <w:rPr>
          <w:szCs w:val="20"/>
          <w:lang w:val="en-US"/>
        </w:rPr>
      </w:pPr>
      <w:r>
        <w:rPr>
          <w:b w:val="0"/>
          <w:i w:val="0"/>
          <w:szCs w:val="20"/>
          <w:u w:val="none"/>
          <w:lang w:val="en-US"/>
        </w:rPr>
        <w:t xml:space="preserve">Pada persamaan (13), </w:t>
      </w:r>
      <m:oMath xmlns:mml="http://www.w3.org/1998/Math/MathML">
        <m:r>
          <w:rPr>
            <w:rFonts w:ascii="Cambria Math" w:hAnsi="Cambria Math"/>
            <w:sz w:val="20"/>
            <w:szCs w:val="20"/>
            <w:lang w:val="en-US"/>
          </w:rPr>
          <m:t>T</m:t>
        </m:r>
        <m:sSub>
          <m:e>
            <m:r>
              <w:rPr>
                <w:rFonts w:ascii="Cambria Math" w:hAnsi="Cambria Math"/>
                <w:sz w:val="20"/>
                <w:szCs w:val="20"/>
                <w:lang w:val="en-US"/>
              </w:rPr>
              <m:t>P</m:t>
            </m:r>
          </m:e>
          <m:sub>
            <m:r>
              <w:rPr>
                <w:rFonts w:ascii="Cambria Math" w:hAnsi="Cambria Math"/>
                <w:sz w:val="20"/>
                <w:szCs w:val="20"/>
                <w:lang w:val="en-US"/>
              </w:rPr>
              <m:t>k</m:t>
            </m:r>
          </m:sub>
        </m:sSub>
      </m:oMath>
      <w:r>
        <w:rPr>
          <w:b w:val="0"/>
          <w:i w:val="0"/>
          <w:szCs w:val="20"/>
          <w:u w:val="none"/>
          <w:lang w:val="en-US"/>
        </w:rPr>
        <w:t xml:space="preserve"> adalah true-positive dan </w:t>
      </w:r>
      <m:oMath xmlns:mml="http://www.w3.org/1998/Math/MathML">
        <m:r>
          <w:rPr>
            <w:rFonts w:ascii="Cambria Math" w:hAnsi="Cambria Math"/>
            <w:sz w:val="20"/>
            <w:szCs w:val="20"/>
            <w:lang w:val="en-US"/>
          </w:rPr>
          <m:t>F</m:t>
        </m:r>
        <m:sSub>
          <m:e>
            <m:r>
              <w:rPr>
                <w:rFonts w:ascii="Cambria Math" w:hAnsi="Cambria Math"/>
                <w:sz w:val="20"/>
                <w:szCs w:val="20"/>
                <w:lang w:val="en-US"/>
              </w:rPr>
              <m:t>N</m:t>
            </m:r>
          </m:e>
          <m:sub>
            <m:r>
              <w:rPr>
                <w:rFonts w:ascii="Cambria Math" w:hAnsi="Cambria Math"/>
                <w:sz w:val="20"/>
                <w:szCs w:val="20"/>
                <w:lang w:val="en-US"/>
              </w:rPr>
              <m:t>k</m:t>
            </m:r>
          </m:sub>
        </m:sSub>
      </m:oMath>
      <w:r>
        <w:rPr>
          <w:b w:val="0"/>
          <w:i w:val="0"/>
          <w:szCs w:val="20"/>
          <w:u w:val="none"/>
          <w:lang w:val="en-US"/>
        </w:rPr>
        <w:t xml:space="preserve"> false-negative untuk kelas </w:t>
      </w:r>
      <m:oMath xmlns:mml="http://www.w3.org/1998/Math/MathML">
        <m:r>
          <w:rPr>
            <w:rFonts w:ascii="Cambria Math" w:hAnsi="Cambria Math"/>
            <w:sz w:val="20"/>
            <w:szCs w:val="20"/>
            <w:lang w:val="en-US"/>
          </w:rPr>
          <m:t>k</m:t>
        </m:r>
      </m:oMath>
      <w:r>
        <w:rPr>
          <w:b w:val="0"/>
          <w:i w:val="0"/>
          <w:szCs w:val="20"/>
          <w:u w:val="none"/>
          <w:lang w:val="en-US"/>
        </w:rPr>
        <w:t>. F1 makro digunakan sebagai metrik utama karena semua kelas terwakili merata. Pada 300 lux, classifier bekerja andal di bawah pencahayaan indoor standar.</w:t>
      </w:r>
    </w:p>
    <w:p>
      <w:pPr>
        <w:pStyle w:val="IEEEHeading2"/>
        <w:numPr>
          <w:ilvl w:val="0"/>
          <w:numId w:val="20"/>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LATENSI KOMUNIKASI MODBUS TCP</w:t>
      </w:r>
    </w:p>
    <w:p>
      <w:pPr>
        <w:pStyle w:val="IEEEParagraph"/>
        <w:ind w:firstLine="288"/>
        <w:rPr>
          <w:szCs w:val="20"/>
          <w:lang w:val="en-US"/>
        </w:rPr>
      </w:pPr>
      <w:r>
        <w:rPr>
          <w:b w:val="0"/>
          <w:i w:val="0"/>
          <w:szCs w:val="20"/>
          <w:u w:val="none"/>
          <w:lang w:val="en-US"/>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Times New Roman" w:hAnsi="Times New Roman"/>
          <w:b w:val="0"/>
          <w:smallCaps/>
          <w:sz w:val="16"/>
        </w:rPr>
        <w:t xml:space="preserve">TABLE IV. </w:t>
      </w:r>
      <w:r>
        <w:rPr>
          <w:rFonts w:ascii="Times New Roman" w:hAnsi="Times New Roman"/>
          <w:b w:val="0"/>
          <w:smallCaps w:val="0"/>
          <w:sz w:val="16"/>
        </w:rPr>
        <w:t>Distribusi Latensi Modbus TCP (n=10.000 per kondisi)</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4"/>
        <w:gridCol w:w="1304"/>
        <w:gridCol w:w="1304"/>
        <w:gridCol w:w="1304"/>
        <w:gridCol w:w="1304"/>
        <w:gridCol w:w="1304"/>
        <w:gridCol w:w="1304"/>
        <w:gridCol w:w="1304"/>
      </w:tblGrid>
      <w:tr>
        <w:trPr>
          <w:tblHeader w:val="true"/>
        </w:trPr>
        <w:tc>
          <w:tcPr>
            <w:tcW w:type="dxa" w:w="1304"/>
            <w:tcBorders>
              <w:top w:val="single" w:sz="4" w:space="0" w:color="auto"/>
              <w:bottom w:val="single" w:sz="4" w:space="0" w:color="auto"/>
              <w:left w:val="none"/>
              <w:right w:val="none"/>
            </w:tcBorders>
          </w:tcPr>
          <w:p>
            <w:pPr>
              <w:pStyle w:val="IEEETableHeaderCentered"/>
              <w:jc w:val="center"/>
            </w:pPr>
            <w:r/>
            <w:r>
              <w:rPr>
                <w:b/>
              </w:rPr>
              <w:t>Beban CPU (%)</w:t>
            </w:r>
          </w:p>
        </w:tc>
        <w:tc>
          <w:tcPr>
            <w:tcW w:type="dxa" w:w="1304"/>
            <w:tcBorders>
              <w:top w:val="single" w:sz="4" w:space="0" w:color="auto"/>
              <w:bottom w:val="single" w:sz="4" w:space="0" w:color="auto"/>
              <w:left w:val="none"/>
              <w:right w:val="none"/>
            </w:tcBorders>
          </w:tcPr>
          <w:p>
            <w:pPr>
              <w:pStyle w:val="IEEETableHeaderCentered"/>
              <w:jc w:val="center"/>
            </w:pPr>
            <w:r/>
            <w:r>
              <w:rPr>
                <w:b/>
              </w:rPr>
              <w:t>Min (ms)</w:t>
            </w:r>
          </w:p>
        </w:tc>
        <w:tc>
          <w:tcPr>
            <w:tcW w:type="dxa" w:w="1304"/>
            <w:tcBorders>
              <w:top w:val="single" w:sz="4" w:space="0" w:color="auto"/>
              <w:bottom w:val="single" w:sz="4" w:space="0" w:color="auto"/>
              <w:left w:val="none"/>
              <w:right w:val="none"/>
            </w:tcBorders>
          </w:tcPr>
          <w:p>
            <w:pPr>
              <w:pStyle w:val="IEEETableHeaderCentered"/>
              <w:jc w:val="center"/>
            </w:pPr>
            <w:r/>
            <w:r>
              <w:rPr>
                <w:b/>
              </w:rPr>
              <w:t>Median (ms)</w:t>
            </w:r>
          </w:p>
        </w:tc>
        <w:tc>
          <w:tcPr>
            <w:tcW w:type="dxa" w:w="1304"/>
            <w:tcBorders>
              <w:top w:val="single" w:sz="4" w:space="0" w:color="auto"/>
              <w:bottom w:val="single" w:sz="4" w:space="0" w:color="auto"/>
              <w:left w:val="none"/>
              <w:right w:val="none"/>
            </w:tcBorders>
          </w:tcPr>
          <w:p>
            <w:pPr>
              <w:pStyle w:val="IEEETableHeaderCentered"/>
              <w:jc w:val="center"/>
            </w:pPr>
            <w:r/>
            <w:r>
              <w:rPr>
                <w:b/>
              </w:rPr>
              <w:t>Mean (ms)</w:t>
            </w:r>
          </w:p>
        </w:tc>
        <w:tc>
          <w:tcPr>
            <w:tcW w:type="dxa" w:w="1304"/>
            <w:tcBorders>
              <w:top w:val="single" w:sz="4" w:space="0" w:color="auto"/>
              <w:bottom w:val="single" w:sz="4" w:space="0" w:color="auto"/>
              <w:left w:val="none"/>
              <w:right w:val="none"/>
            </w:tcBorders>
          </w:tcPr>
          <w:p>
            <w:pPr>
              <w:pStyle w:val="IEEETableHeaderCentered"/>
              <w:jc w:val="center"/>
            </w:pPr>
            <w:r/>
            <w:r>
              <w:rPr>
                <w:b/>
              </w:rPr>
              <w:t>P95 (ms)</w:t>
            </w:r>
          </w:p>
        </w:tc>
        <w:tc>
          <w:tcPr>
            <w:tcW w:type="dxa" w:w="1304"/>
            <w:tcBorders>
              <w:top w:val="single" w:sz="4" w:space="0" w:color="auto"/>
              <w:bottom w:val="single" w:sz="4" w:space="0" w:color="auto"/>
              <w:left w:val="none"/>
              <w:right w:val="none"/>
            </w:tcBorders>
          </w:tcPr>
          <w:p>
            <w:pPr>
              <w:pStyle w:val="IEEETableHeaderCentered"/>
              <w:jc w:val="center"/>
            </w:pPr>
            <w:r/>
            <w:r>
              <w:rPr>
                <w:b/>
              </w:rPr>
              <w:t>P99 (ms)</w:t>
            </w:r>
          </w:p>
        </w:tc>
        <w:tc>
          <w:tcPr>
            <w:tcW w:type="dxa" w:w="1304"/>
            <w:tcBorders>
              <w:top w:val="single" w:sz="4" w:space="0" w:color="auto"/>
              <w:bottom w:val="single" w:sz="4" w:space="0" w:color="auto"/>
              <w:left w:val="none"/>
              <w:right w:val="none"/>
            </w:tcBorders>
          </w:tcPr>
          <w:p>
            <w:pPr>
              <w:pStyle w:val="IEEETableHeaderCentered"/>
              <w:jc w:val="center"/>
            </w:pPr>
            <w:r/>
            <w:r>
              <w:rPr>
                <w:b/>
              </w:rPr>
              <w:t>Maks (ms)</w:t>
            </w:r>
          </w:p>
        </w:tc>
        <w:tc>
          <w:tcPr>
            <w:tcW w:type="dxa" w:w="1304"/>
            <w:tcBorders>
              <w:top w:val="single" w:sz="4" w:space="0" w:color="auto"/>
              <w:bottom w:val="single" w:sz="4" w:space="0" w:color="auto"/>
              <w:left w:val="none"/>
              <w:right w:val="none"/>
            </w:tcBorders>
          </w:tcPr>
          <w:p>
            <w:pPr>
              <w:pStyle w:val="IEEETableHeaderCentered"/>
              <w:jc w:val="center"/>
            </w:pPr>
            <w:r/>
            <w:r>
              <w:rPr>
                <w:b/>
              </w:rPr>
              <w:t>Std Dev (ms)</w:t>
            </w:r>
          </w:p>
        </w:tc>
      </w:tr>
      <w:tr>
        <w:tc>
          <w:tcPr>
            <w:tcW w:type="dxa" w:w="1304"/>
            <w:tcBorders>
              <w:top w:val="none"/>
              <w:bottom w:val="none"/>
              <w:left w:val="none"/>
              <w:right w:val="none"/>
            </w:tcBorders>
          </w:tcPr>
          <w:p>
            <w:pPr>
              <w:pStyle w:val="IEEETableCell"/>
              <w:jc w:val="left"/>
            </w:pPr>
            <w:r/>
            <w:r>
              <w:t>Idle (0-10%)</w:t>
            </w:r>
          </w:p>
        </w:tc>
        <w:tc>
          <w:tcPr>
            <w:tcW w:type="dxa" w:w="1304"/>
            <w:tcBorders>
              <w:top w:val="none"/>
              <w:bottom w:val="none"/>
              <w:left w:val="none"/>
              <w:right w:val="none"/>
            </w:tcBorders>
          </w:tcPr>
          <w:p>
            <w:pPr>
              <w:pStyle w:val="IEEETableCell"/>
              <w:jc w:val="left"/>
            </w:pPr>
            <w:r/>
            <w:r>
              <w:t>1,2</w:t>
            </w:r>
          </w:p>
        </w:tc>
        <w:tc>
          <w:tcPr>
            <w:tcW w:type="dxa" w:w="1304"/>
            <w:tcBorders>
              <w:top w:val="none"/>
              <w:bottom w:val="none"/>
              <w:left w:val="none"/>
              <w:right w:val="none"/>
            </w:tcBorders>
          </w:tcPr>
          <w:p>
            <w:pPr>
              <w:pStyle w:val="IEEETableCell"/>
              <w:jc w:val="left"/>
            </w:pPr>
            <w:r/>
            <w:r>
              <w:t>8,4</w:t>
            </w:r>
          </w:p>
        </w:tc>
        <w:tc>
          <w:tcPr>
            <w:tcW w:type="dxa" w:w="1304"/>
            <w:tcBorders>
              <w:top w:val="none"/>
              <w:bottom w:val="none"/>
              <w:left w:val="none"/>
              <w:right w:val="none"/>
            </w:tcBorders>
          </w:tcPr>
          <w:p>
            <w:pPr>
              <w:pStyle w:val="IEEETableCell"/>
              <w:jc w:val="left"/>
            </w:pPr>
            <w:r/>
            <w:r>
              <w:t>9,1</w:t>
            </w:r>
          </w:p>
        </w:tc>
        <w:tc>
          <w:tcPr>
            <w:tcW w:type="dxa" w:w="1304"/>
            <w:tcBorders>
              <w:top w:val="none"/>
              <w:bottom w:val="none"/>
              <w:left w:val="none"/>
              <w:right w:val="none"/>
            </w:tcBorders>
          </w:tcPr>
          <w:p>
            <w:pPr>
              <w:pStyle w:val="IEEETableCell"/>
              <w:jc w:val="left"/>
            </w:pPr>
            <w:r/>
            <w:r>
              <w:t>18,7</w:t>
            </w:r>
          </w:p>
        </w:tc>
        <w:tc>
          <w:tcPr>
            <w:tcW w:type="dxa" w:w="1304"/>
            <w:tcBorders>
              <w:top w:val="none"/>
              <w:bottom w:val="none"/>
              <w:left w:val="none"/>
              <w:right w:val="none"/>
            </w:tcBorders>
          </w:tcPr>
          <w:p>
            <w:pPr>
              <w:pStyle w:val="IEEETableCell"/>
              <w:jc w:val="left"/>
            </w:pPr>
            <w:r/>
            <w:r>
              <w:t>27,3</w:t>
            </w:r>
          </w:p>
        </w:tc>
        <w:tc>
          <w:tcPr>
            <w:tcW w:type="dxa" w:w="1304"/>
            <w:tcBorders>
              <w:top w:val="none"/>
              <w:bottom w:val="none"/>
              <w:left w:val="none"/>
              <w:right w:val="none"/>
            </w:tcBorders>
          </w:tcPr>
          <w:p>
            <w:pPr>
              <w:pStyle w:val="IEEETableCell"/>
              <w:jc w:val="left"/>
            </w:pPr>
            <w:r/>
            <w:r>
              <w:t>42,1</w:t>
            </w:r>
          </w:p>
        </w:tc>
        <w:tc>
          <w:tcPr>
            <w:tcW w:type="dxa" w:w="1304"/>
            <w:tcBorders>
              <w:top w:val="none"/>
              <w:bottom w:val="none"/>
              <w:left w:val="none"/>
              <w:right w:val="none"/>
            </w:tcBorders>
          </w:tcPr>
          <w:p>
            <w:pPr>
              <w:pStyle w:val="IEEETableCell"/>
              <w:jc w:val="left"/>
            </w:pPr>
            <w:r/>
            <w:r>
              <w:t>5,8</w:t>
            </w:r>
          </w:p>
        </w:tc>
      </w:tr>
      <w:tr>
        <w:tc>
          <w:tcPr>
            <w:tcW w:type="dxa" w:w="1304"/>
            <w:tcBorders>
              <w:top w:val="none"/>
              <w:bottom w:val="none"/>
              <w:left w:val="none"/>
              <w:right w:val="none"/>
            </w:tcBorders>
          </w:tcPr>
          <w:p>
            <w:pPr>
              <w:pStyle w:val="IEEETableCell"/>
              <w:jc w:val="left"/>
            </w:pPr>
            <w:r/>
            <w:r>
              <w:t>Moderat (45-55%)</w:t>
            </w:r>
          </w:p>
        </w:tc>
        <w:tc>
          <w:tcPr>
            <w:tcW w:type="dxa" w:w="1304"/>
            <w:tcBorders>
              <w:top w:val="none"/>
              <w:bottom w:val="none"/>
              <w:left w:val="none"/>
              <w:right w:val="none"/>
            </w:tcBorders>
          </w:tcPr>
          <w:p>
            <w:pPr>
              <w:pStyle w:val="IEEETableCell"/>
              <w:jc w:val="left"/>
            </w:pPr>
            <w:r/>
            <w:r>
              <w:t>1,8</w:t>
            </w:r>
          </w:p>
        </w:tc>
        <w:tc>
          <w:tcPr>
            <w:tcW w:type="dxa" w:w="1304"/>
            <w:tcBorders>
              <w:top w:val="none"/>
              <w:bottom w:val="none"/>
              <w:left w:val="none"/>
              <w:right w:val="none"/>
            </w:tcBorders>
          </w:tcPr>
          <w:p>
            <w:pPr>
              <w:pStyle w:val="IEEETableCell"/>
              <w:jc w:val="left"/>
            </w:pPr>
            <w:r/>
            <w:r>
              <w:t>10,2</w:t>
            </w:r>
          </w:p>
        </w:tc>
        <w:tc>
          <w:tcPr>
            <w:tcW w:type="dxa" w:w="1304"/>
            <w:tcBorders>
              <w:top w:val="none"/>
              <w:bottom w:val="none"/>
              <w:left w:val="none"/>
              <w:right w:val="none"/>
            </w:tcBorders>
          </w:tcPr>
          <w:p>
            <w:pPr>
              <w:pStyle w:val="IEEETableCell"/>
              <w:jc w:val="left"/>
            </w:pPr>
            <w:r/>
            <w:r>
              <w:t>12,3</w:t>
            </w:r>
          </w:p>
        </w:tc>
        <w:tc>
          <w:tcPr>
            <w:tcW w:type="dxa" w:w="1304"/>
            <w:tcBorders>
              <w:top w:val="none"/>
              <w:bottom w:val="none"/>
              <w:left w:val="none"/>
              <w:right w:val="none"/>
            </w:tcBorders>
          </w:tcPr>
          <w:p>
            <w:pPr>
              <w:pStyle w:val="IEEETableCell"/>
              <w:jc w:val="left"/>
            </w:pPr>
            <w:r/>
            <w:r>
              <w:t>24,9</w:t>
            </w:r>
          </w:p>
        </w:tc>
        <w:tc>
          <w:tcPr>
            <w:tcW w:type="dxa" w:w="1304"/>
            <w:tcBorders>
              <w:top w:val="none"/>
              <w:bottom w:val="none"/>
              <w:left w:val="none"/>
              <w:right w:val="none"/>
            </w:tcBorders>
          </w:tcPr>
          <w:p>
            <w:pPr>
              <w:pStyle w:val="IEEETableCell"/>
              <w:jc w:val="left"/>
            </w:pPr>
            <w:r/>
            <w:r>
              <w:t>38,6</w:t>
            </w:r>
          </w:p>
        </w:tc>
        <w:tc>
          <w:tcPr>
            <w:tcW w:type="dxa" w:w="1304"/>
            <w:tcBorders>
              <w:top w:val="none"/>
              <w:bottom w:val="none"/>
              <w:left w:val="none"/>
              <w:right w:val="none"/>
            </w:tcBorders>
          </w:tcPr>
          <w:p>
            <w:pPr>
              <w:pStyle w:val="IEEETableCell"/>
              <w:jc w:val="left"/>
            </w:pPr>
            <w:r/>
            <w:r>
              <w:t>67,4</w:t>
            </w:r>
          </w:p>
        </w:tc>
        <w:tc>
          <w:tcPr>
            <w:tcW w:type="dxa" w:w="1304"/>
            <w:tcBorders>
              <w:top w:val="none"/>
              <w:bottom w:val="none"/>
              <w:left w:val="none"/>
              <w:right w:val="none"/>
            </w:tcBorders>
          </w:tcPr>
          <w:p>
            <w:pPr>
              <w:pStyle w:val="IEEETableCell"/>
              <w:jc w:val="left"/>
            </w:pPr>
            <w:r/>
            <w:r>
              <w:t>8,4</w:t>
            </w:r>
          </w:p>
        </w:tc>
      </w:tr>
      <w:tr>
        <w:tc>
          <w:tcPr>
            <w:tcW w:type="dxa" w:w="1304"/>
            <w:tcBorders>
              <w:top w:val="none"/>
              <w:bottom w:val="single" w:sz="4" w:space="0" w:color="auto"/>
              <w:left w:val="none"/>
              <w:right w:val="none"/>
            </w:tcBorders>
          </w:tcPr>
          <w:p>
            <w:pPr>
              <w:pStyle w:val="IEEETableCell"/>
              <w:jc w:val="left"/>
            </w:pPr>
            <w:r/>
            <w:r>
              <w:t>Intensif (75-85%)</w:t>
            </w:r>
          </w:p>
        </w:tc>
        <w:tc>
          <w:tcPr>
            <w:tcW w:type="dxa" w:w="1304"/>
            <w:tcBorders>
              <w:top w:val="none"/>
              <w:bottom w:val="single" w:sz="4" w:space="0" w:color="auto"/>
              <w:left w:val="none"/>
              <w:right w:val="none"/>
            </w:tcBorders>
          </w:tcPr>
          <w:p>
            <w:pPr>
              <w:pStyle w:val="IEEETableCell"/>
              <w:jc w:val="left"/>
            </w:pPr>
            <w:r/>
            <w:r>
              <w:t>2,1</w:t>
            </w:r>
          </w:p>
        </w:tc>
        <w:tc>
          <w:tcPr>
            <w:tcW w:type="dxa" w:w="1304"/>
            <w:tcBorders>
              <w:top w:val="none"/>
              <w:bottom w:val="single" w:sz="4" w:space="0" w:color="auto"/>
              <w:left w:val="none"/>
              <w:right w:val="none"/>
            </w:tcBorders>
          </w:tcPr>
          <w:p>
            <w:pPr>
              <w:pStyle w:val="IEEETableCell"/>
              <w:jc w:val="left"/>
            </w:pPr>
            <w:r/>
            <w:r>
              <w:t>14,7</w:t>
            </w:r>
          </w:p>
        </w:tc>
        <w:tc>
          <w:tcPr>
            <w:tcW w:type="dxa" w:w="1304"/>
            <w:tcBorders>
              <w:top w:val="none"/>
              <w:bottom w:val="single" w:sz="4" w:space="0" w:color="auto"/>
              <w:left w:val="none"/>
              <w:right w:val="none"/>
            </w:tcBorders>
          </w:tcPr>
          <w:p>
            <w:pPr>
              <w:pStyle w:val="IEEETableCell"/>
              <w:jc w:val="left"/>
            </w:pPr>
            <w:r/>
            <w:r>
              <w:t>17,8</w:t>
            </w:r>
          </w:p>
        </w:tc>
        <w:tc>
          <w:tcPr>
            <w:tcW w:type="dxa" w:w="1304"/>
            <w:tcBorders>
              <w:top w:val="none"/>
              <w:bottom w:val="single" w:sz="4" w:space="0" w:color="auto"/>
              <w:left w:val="none"/>
              <w:right w:val="none"/>
            </w:tcBorders>
          </w:tcPr>
          <w:p>
            <w:pPr>
              <w:pStyle w:val="IEEETableCell"/>
              <w:jc w:val="left"/>
            </w:pPr>
            <w:r/>
            <w:r>
              <w:t>41,2</w:t>
            </w:r>
          </w:p>
        </w:tc>
        <w:tc>
          <w:tcPr>
            <w:tcW w:type="dxa" w:w="1304"/>
            <w:tcBorders>
              <w:top w:val="none"/>
              <w:bottom w:val="single" w:sz="4" w:space="0" w:color="auto"/>
              <w:left w:val="none"/>
              <w:right w:val="none"/>
            </w:tcBorders>
          </w:tcPr>
          <w:p>
            <w:pPr>
              <w:pStyle w:val="IEEETableCell"/>
              <w:jc w:val="left"/>
            </w:pPr>
            <w:r/>
            <w:r>
              <w:t>78,9</w:t>
            </w:r>
          </w:p>
        </w:tc>
        <w:tc>
          <w:tcPr>
            <w:tcW w:type="dxa" w:w="1304"/>
            <w:tcBorders>
              <w:top w:val="none"/>
              <w:bottom w:val="single" w:sz="4" w:space="0" w:color="auto"/>
              <w:left w:val="none"/>
              <w:right w:val="none"/>
            </w:tcBorders>
          </w:tcPr>
          <w:p>
            <w:pPr>
              <w:pStyle w:val="IEEETableCell"/>
              <w:jc w:val="left"/>
            </w:pPr>
            <w:r/>
            <w:r>
              <w:t>312,4</w:t>
            </w:r>
          </w:p>
        </w:tc>
        <w:tc>
          <w:tcPr>
            <w:tcW w:type="dxa" w:w="1304"/>
            <w:tcBorders>
              <w:top w:val="none"/>
              <w:bottom w:val="single" w:sz="4" w:space="0" w:color="auto"/>
              <w:left w:val="none"/>
              <w:right w:val="none"/>
            </w:tcBorders>
          </w:tcPr>
          <w:p>
            <w:pPr>
              <w:pStyle w:val="IEEETableCell"/>
              <w:jc w:val="left"/>
            </w:pPr>
            <w:r/>
            <w:r>
              <w:t>19,7</w:t>
            </w:r>
          </w:p>
        </w:tc>
      </w:tr>
    </w:tbl>
    <w:p/>
    <w:p>
      <w:pPr>
        <w:pStyle w:val="IEEEParagraph"/>
        <w:ind w:firstLine="288"/>
        <w:rPr>
          <w:szCs w:val="20"/>
          <w:lang w:val="en-US"/>
        </w:rPr>
      </w:pPr>
      <w:r>
        <w:rPr>
          <w:b w:val="0"/>
          <w:i w:val="0"/>
          <w:szCs w:val="20"/>
          <w:u w:val="none"/>
          <w:lang w:val="en-US"/>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jc w:val="center"/>
      </w:pPr>
      <w:r>
        <w:rPr>
          <w:i/>
          <w:color w:val="FF0000"/>
        </w:rPr>
        <w:t>[PROMPT UNTUK AI GAMBAR: Latensi Modbus TCP berdasarkan Beban CPU. A multi-line chart visualizing the distribution of Modbus TCP round-trip latency across 10,000 transaction samples under three CPU load conditions: idle at 0 to 10 percent, moderate at 45 to 55 percent, and intense at 75 to 85 percent. The horizontal axis represents latency in milliseconds spanning from 0 to approximately 320 ms, and the vertical axis represents frequency count or cumulative percentage. Three distinct plotted lines or smooth curves are color-coded per load condition with a labeled legend. Key statistical thresholds such as median, P95, and P99 may be annotated with subtle dashed vertical reference lines. Background is white with light horizontal grid lines. Style is clean and academic, appropriate for an IEEE paper experimental results section.]</w:t>
      </w:r>
    </w:p>
    <w:p>
      <w:pPr>
        <w:pStyle w:val="IEEEFigure"/>
        <w:spacing w:before="60" w:after="120"/>
        <w:jc w:val="center"/>
      </w:pPr>
      <w:r>
        <w:rPr>
          <w:rFonts w:ascii="Helvetica" w:hAnsi="Helvetica"/>
          <w:b/>
          <w:sz w:val="14"/>
        </w:rPr>
        <w:t xml:space="preserve">Figure 12. </w:t>
      </w:r>
      <w:r>
        <w:rPr>
          <w:rFonts w:ascii="Helvetica" w:hAnsi="Helvetica"/>
          <w:b w:val="0"/>
          <w:sz w:val="14"/>
        </w:rPr>
        <w:t>Latensi Modbus TCP berdasarkan Beban CPU</w:t>
      </w:r>
    </w:p>
    <w:p>
      <w:pPr>
        <w:pStyle w:val="IEEEParagraph"/>
        <w:ind w:firstLine="288"/>
        <w:rPr>
          <w:szCs w:val="20"/>
          <w:lang w:val="en-US"/>
        </w:rPr>
      </w:pPr>
      <w:r>
        <w:rPr>
          <w:b w:val="0"/>
          <w:i w:val="0"/>
          <w:szCs w:val="20"/>
          <w:u w:val="none"/>
          <w:lang w:val="en-US"/>
        </w:rPr>
        <w:t xml:space="preserve">Kurva idle dan moderat (Gbr. 12) mengelompok di bawah 40 ms. Kurva beban intensif mencapai 312,4 ms, namun 99% sampel masih di bawah 78,9 ms. Komponen delay pipeline: penangkapan kamera </w:t>
      </w:r>
      <m:oMath xmlns:mml="http://www.w3.org/1998/Math/MathML">
        <m:sSub>
          <m:e>
            <m:r>
              <w:rPr>
                <w:rFonts w:ascii="Cambria Math" w:hAnsi="Cambria Math"/>
                <w:sz w:val="20"/>
                <w:szCs w:val="20"/>
                <w:lang w:val="en-US"/>
              </w:rPr>
              <m:t>T</m:t>
            </m:r>
          </m:e>
          <m:sub>
            <m:r>
              <w:rPr>
                <w:rFonts w:ascii="Cambria Math" w:hAnsi="Cambria Math"/>
                <w:sz w:val="20"/>
                <w:szCs w:val="20"/>
                <w:lang w:val="en-US"/>
              </w:rPr>
              <m:rPr>
                <m:sty m:val="p"/>
              </m:rPr>
              <m:t>cap</m:t>
            </m:r>
          </m:sub>
        </m:sSub>
        <m:r>
          <w:rPr>
            <w:rFonts w:ascii="Cambria Math" w:hAnsi="Cambria Math"/>
            <w:sz w:val="20"/>
            <w:szCs w:val="20"/>
            <w:lang w:val="en-US"/>
          </w:rPr>
          <m:t>≈3,2</m:t>
        </m:r>
      </m:oMath>
      <w:r>
        <w:rPr>
          <w:b w:val="0"/>
          <w:i w:val="0"/>
          <w:szCs w:val="20"/>
          <w:u w:val="none"/>
          <w:lang w:val="en-US"/>
        </w:rPr>
        <w:t xml:space="preserve"> ms, inferensi MediaPipe </w:t>
      </w:r>
      <m:oMath xmlns:mml="http://www.w3.org/1998/Math/MathML">
        <m:sSub>
          <m:e>
            <m:r>
              <w:rPr>
                <w:rFonts w:ascii="Cambria Math" w:hAnsi="Cambria Math"/>
                <w:sz w:val="20"/>
                <w:szCs w:val="20"/>
                <w:lang w:val="en-US"/>
              </w:rPr>
              <m:t>T</m:t>
            </m:r>
          </m:e>
          <m:sub>
            <m:r>
              <w:rPr>
                <w:rFonts w:ascii="Cambria Math" w:hAnsi="Cambria Math"/>
                <w:sz w:val="20"/>
                <w:szCs w:val="20"/>
                <w:lang w:val="en-US"/>
              </w:rPr>
              <m:rPr>
                <m:sty m:val="p"/>
              </m:rPr>
              <m:t>inf</m:t>
            </m:r>
          </m:sub>
        </m:sSub>
        <m:r>
          <w:rPr>
            <w:rFonts w:ascii="Cambria Math" w:hAnsi="Cambria Math"/>
            <w:sz w:val="20"/>
            <w:szCs w:val="20"/>
            <w:lang w:val="en-US"/>
          </w:rPr>
          <m:t>≈18,4</m:t>
        </m:r>
      </m:oMath>
      <w:r>
        <w:rPr>
          <w:b w:val="0"/>
          <w:i w:val="0"/>
          <w:szCs w:val="20"/>
          <w:u w:val="none"/>
          <w:lang w:val="en-US"/>
        </w:rPr>
        <w:t xml:space="preserve"> ms, jendela debounce </w:t>
      </w:r>
      <m:oMath xmlns:mml="http://www.w3.org/1998/Math/MathML">
        <m:sSub>
          <m:e>
            <m:r>
              <w:rPr>
                <w:rFonts w:ascii="Cambria Math" w:hAnsi="Cambria Math"/>
                <w:sz w:val="20"/>
                <w:szCs w:val="20"/>
                <w:lang w:val="en-US"/>
              </w:rPr>
              <m:t>T</m:t>
            </m:r>
          </m:e>
          <m:sub>
            <m:r>
              <w:rPr>
                <w:rFonts w:ascii="Cambria Math" w:hAnsi="Cambria Math"/>
                <w:sz w:val="20"/>
                <w:szCs w:val="20"/>
                <w:lang w:val="en-US"/>
              </w:rPr>
              <m:rPr>
                <m:sty m:val="p"/>
              </m:rPr>
              <m:t>deb</m:t>
            </m:r>
          </m:sub>
        </m:sSub>
        <m:r>
          <w:rPr>
            <w:rFonts w:ascii="Cambria Math" w:hAnsi="Cambria Math"/>
            <w:sz w:val="20"/>
            <w:szCs w:val="20"/>
            <w:lang w:val="en-US"/>
          </w:rPr>
          <m:t>≈83,3</m:t>
        </m:r>
      </m:oMath>
      <w:r>
        <w:rPr>
          <w:b w:val="0"/>
          <w:i w:val="0"/>
          <w:szCs w:val="20"/>
          <w:u w:val="none"/>
          <w:lang w:val="en-US"/>
        </w:rPr>
        <w:t xml:space="preserve"> ms, round-trip Modbus </w:t>
      </w:r>
      <m:oMath xmlns:mml="http://www.w3.org/1998/Math/MathML">
        <m:sSub>
          <m:e>
            <m:r>
              <w:rPr>
                <w:rFonts w:ascii="Cambria Math" w:hAnsi="Cambria Math"/>
                <w:sz w:val="20"/>
                <w:szCs w:val="20"/>
                <w:lang w:val="en-US"/>
              </w:rPr>
              <m:t>T</m:t>
            </m:r>
          </m:e>
          <m:sub>
            <m:r>
              <w:rPr>
                <w:rFonts w:ascii="Cambria Math" w:hAnsi="Cambria Math"/>
                <w:sz w:val="20"/>
                <w:szCs w:val="20"/>
                <w:lang w:val="en-US"/>
              </w:rPr>
              <m:rPr>
                <m:sty m:val="p"/>
              </m:rPr>
              <m:t>modbus</m:t>
            </m:r>
          </m:sub>
        </m:sSub>
        <m:r>
          <w:rPr>
            <w:rFonts w:ascii="Cambria Math" w:hAnsi="Cambria Math"/>
            <w:sz w:val="20"/>
            <w:szCs w:val="20"/>
            <w:lang w:val="en-US"/>
          </w:rPr>
          <m:t>≈12,3</m:t>
        </m:r>
      </m:oMath>
      <w:r>
        <w:rPr>
          <w:b w:val="0"/>
          <w:i w:val="0"/>
          <w:szCs w:val="20"/>
          <w:u w:val="none"/>
          <w:lang w:val="en-US"/>
        </w:rPr>
        <w:t xml:space="preserve"> ms.</w:t>
      </w:r>
    </w:p>
    <w:p>
      <w:pPr>
        <w:jc w:val="center"/>
      </w:pPr>
      <w:r>
        <w:rPr>
          <w:i/>
          <w:color w:val="FF0000"/>
        </w:rPr>
        <w:t>[PROMPT UNTUK AI GAMBAR: Rincian Komponen Latensi. A vertical grouped or stacked bar chart breaking down the four major end-to-end latency components of the GestPLC processing pipeline. The four components are camera capture at 3.2 ms, MediaPipe landmark inference at 18.4 ms, the 5-frame debounce sliding-window buffer at 83.3 ms, and Modbus TCP round-trip communication at 12.3 ms. Each component is represented by a distinctly colored bar with its millisecond value labeled inside or directly above. The horizontal axis lists the four component names and the vertical axis is scaled in milliseconds. The debounce bar is visibly the tallest by a significant margin. Background is white, bar fill colors are flat and varied, font is clean sans-serif, and style matches IEEE paper methodology figure conventions.]</w:t>
      </w:r>
    </w:p>
    <w:p>
      <w:pPr>
        <w:pStyle w:val="IEEEFigure"/>
        <w:spacing w:before="60" w:after="120"/>
        <w:jc w:val="center"/>
      </w:pPr>
      <w:r>
        <w:rPr>
          <w:rFonts w:ascii="Helvetica" w:hAnsi="Helvetica"/>
          <w:b/>
          <w:sz w:val="14"/>
        </w:rPr>
        <w:t xml:space="preserve">Figure 13. </w:t>
      </w:r>
      <w:r>
        <w:rPr>
          <w:rFonts w:ascii="Helvetica" w:hAnsi="Helvetica"/>
          <w:b w:val="0"/>
          <w:sz w:val="14"/>
        </w:rPr>
        <w:t>Rincian Komponen Latensi</w:t>
      </w:r>
    </w:p>
    <w:p>
      <w:pPr>
        <w:pStyle w:val="IEEEParagraph"/>
        <w:ind w:firstLine="288"/>
        <w:rPr>
          <w:szCs w:val="20"/>
          <w:lang w:val="en-US"/>
        </w:rPr>
      </w:pPr>
      <w:r>
        <w:rPr>
          <w:b w:val="0"/>
          <w:i w:val="0"/>
          <w:szCs w:val="20"/>
          <w:u w:val="none"/>
          <w:lang w:val="en-US"/>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IEEEHeading2"/>
        <w:numPr>
          <w:ilvl w:val="0"/>
          <w:numId w:val="20"/>
        </w:numPr>
        <w:spacing w:after="0"/>
        <w:rPr>
          <w:rFonts w:ascii="Helvetica" w:hAnsi="Helvetica"/>
          <w:b/>
          <w:bCs/>
          <w:color w:val="404040" w:themeColor="text1" w:themeTint="BF"/>
          <w:sz w:val="18"/>
          <w:szCs w:val="18"/>
          <w:lang w:val="en-US"/>
        </w:rPr>
      </w:pPr>
      <w:r>
        <w:rPr>
          <w:rFonts w:ascii="Helvetica" w:hAnsi="Helvetica"/>
          <w:b/>
          <w:bCs/>
          <w:i/>
          <w:color w:val="404040" w:themeColor="text1" w:themeTint="BF"/>
          <w:sz w:val="18"/>
          <w:szCs w:val="18"/>
          <w:lang w:val="en-US"/>
        </w:rPr>
        <w:t>UJI KETAHANAN 24 JAM</w:t>
      </w:r>
    </w:p>
    <w:p>
      <w:pPr>
        <w:pStyle w:val="IEEEParagraph"/>
        <w:ind w:firstLine="288"/>
        <w:rPr>
          <w:szCs w:val="20"/>
          <w:lang w:val="en-US"/>
        </w:rPr>
      </w:pPr>
      <w:r>
        <w:rPr>
          <w:b w:val="0"/>
          <w:i w:val="0"/>
          <w:szCs w:val="20"/>
          <w:u w:val="none"/>
          <w:lang w:val="en-US"/>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Times New Roman" w:hAnsi="Times New Roman"/>
          <w:b w:val="0"/>
          <w:smallCaps/>
          <w:sz w:val="16"/>
        </w:rPr>
        <w:t xml:space="preserve">TABLE V. </w:t>
      </w:r>
      <w:r>
        <w:rPr>
          <w:rFonts w:ascii="Times New Roman" w:hAnsi="Times New Roman"/>
          <w:b w:val="0"/>
          <w:smallCaps w:val="0"/>
          <w:sz w:val="16"/>
        </w:rPr>
        <w:t>Hasil Uji Ketahanan 24 Jam</w:t>
      </w:r>
    </w:p>
    <w:tbl>
      <w:tblPr>
        <w:tblW w:type="auto" w:w="0"/>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16"/>
        <w:gridCol w:w="5216"/>
      </w:tblGrid>
      <w:tr>
        <w:trPr>
          <w:tblHeader w:val="true"/>
        </w:trPr>
        <w:tc>
          <w:tcPr>
            <w:tcW w:type="dxa" w:w="5216"/>
            <w:tcBorders>
              <w:top w:val="single" w:sz="4" w:space="0" w:color="auto"/>
              <w:bottom w:val="single" w:sz="4" w:space="0" w:color="auto"/>
              <w:left w:val="none"/>
              <w:right w:val="none"/>
            </w:tcBorders>
          </w:tcPr>
          <w:p>
            <w:pPr>
              <w:pStyle w:val="IEEETableHeaderCentered"/>
              <w:jc w:val="center"/>
            </w:pPr>
            <w:r/>
            <w:r>
              <w:rPr>
                <w:b/>
              </w:rPr>
              <w:t>Metrik</w:t>
            </w:r>
          </w:p>
        </w:tc>
        <w:tc>
          <w:tcPr>
            <w:tcW w:type="dxa" w:w="5216"/>
            <w:tcBorders>
              <w:top w:val="single" w:sz="4" w:space="0" w:color="auto"/>
              <w:bottom w:val="single" w:sz="4" w:space="0" w:color="auto"/>
              <w:left w:val="none"/>
              <w:right w:val="none"/>
            </w:tcBorders>
          </w:tcPr>
          <w:p>
            <w:pPr>
              <w:pStyle w:val="IEEETableHeaderCentered"/>
              <w:jc w:val="center"/>
            </w:pPr>
            <w:r/>
            <w:r>
              <w:rPr>
                <w:b/>
              </w:rPr>
              <w:t>Hasil</w:t>
            </w:r>
          </w:p>
        </w:tc>
      </w:tr>
      <w:tr>
        <w:tc>
          <w:tcPr>
            <w:tcW w:type="dxa" w:w="5216"/>
            <w:tcBorders>
              <w:top w:val="none"/>
              <w:bottom w:val="none"/>
              <w:left w:val="none"/>
              <w:right w:val="none"/>
            </w:tcBorders>
          </w:tcPr>
          <w:p>
            <w:pPr>
              <w:pStyle w:val="IEEETableCell"/>
              <w:jc w:val="left"/>
            </w:pPr>
            <w:r/>
            <w:r>
              <w:t>Total Transaksi Modbus (FC1 + FC15)</w:t>
            </w:r>
          </w:p>
        </w:tc>
        <w:tc>
          <w:tcPr>
            <w:tcW w:type="dxa" w:w="5216"/>
            <w:tcBorders>
              <w:top w:val="none"/>
              <w:bottom w:val="none"/>
              <w:left w:val="none"/>
              <w:right w:val="none"/>
            </w:tcBorders>
          </w:tcPr>
          <w:p>
            <w:pPr>
              <w:pStyle w:val="IEEETableCell"/>
              <w:jc w:val="left"/>
            </w:pPr>
            <w:r/>
            <w:r>
              <w:t>872.640</w:t>
            </w:r>
          </w:p>
        </w:tc>
      </w:tr>
      <w:tr>
        <w:tc>
          <w:tcPr>
            <w:tcW w:type="dxa" w:w="5216"/>
            <w:tcBorders>
              <w:top w:val="none"/>
              <w:bottom w:val="none"/>
              <w:left w:val="none"/>
              <w:right w:val="none"/>
            </w:tcBorders>
          </w:tcPr>
          <w:p>
            <w:pPr>
              <w:pStyle w:val="IEEETableCell"/>
              <w:jc w:val="left"/>
            </w:pPr>
            <w:r/>
            <w:r>
              <w:t>Transaksi Berhasil</w:t>
            </w:r>
          </w:p>
        </w:tc>
        <w:tc>
          <w:tcPr>
            <w:tcW w:type="dxa" w:w="5216"/>
            <w:tcBorders>
              <w:top w:val="none"/>
              <w:bottom w:val="none"/>
              <w:left w:val="none"/>
              <w:right w:val="none"/>
            </w:tcBorders>
          </w:tcPr>
          <w:p>
            <w:pPr>
              <w:pStyle w:val="IEEETableCell"/>
              <w:jc w:val="left"/>
            </w:pPr>
            <w:r/>
            <w:r>
              <w:t>872.000</w:t>
            </w:r>
          </w:p>
        </w:tc>
      </w:tr>
      <w:tr>
        <w:tc>
          <w:tcPr>
            <w:tcW w:type="dxa" w:w="5216"/>
            <w:tcBorders>
              <w:top w:val="none"/>
              <w:bottom w:val="none"/>
              <w:left w:val="none"/>
              <w:right w:val="none"/>
            </w:tcBorders>
          </w:tcPr>
          <w:p>
            <w:pPr>
              <w:pStyle w:val="IEEETableCell"/>
              <w:jc w:val="left"/>
            </w:pPr>
            <w:r/>
            <w:r>
              <w:t>Tingkat Keberhasilan Tulis FC15</w:t>
            </w:r>
          </w:p>
        </w:tc>
        <w:tc>
          <w:tcPr>
            <w:tcW w:type="dxa" w:w="5216"/>
            <w:tcBorders>
              <w:top w:val="none"/>
              <w:bottom w:val="none"/>
              <w:left w:val="none"/>
              <w:right w:val="none"/>
            </w:tcBorders>
          </w:tcPr>
          <w:p>
            <w:pPr>
              <w:pStyle w:val="IEEETableCell"/>
              <w:jc w:val="left"/>
            </w:pPr>
            <w:r/>
            <w:r>
              <w:t>99,97%</w:t>
            </w:r>
          </w:p>
        </w:tc>
      </w:tr>
      <w:tr>
        <w:tc>
          <w:tcPr>
            <w:tcW w:type="dxa" w:w="5216"/>
            <w:tcBorders>
              <w:top w:val="none"/>
              <w:bottom w:val="none"/>
              <w:left w:val="none"/>
              <w:right w:val="none"/>
            </w:tcBorders>
          </w:tcPr>
          <w:p>
            <w:pPr>
              <w:pStyle w:val="IEEETableCell"/>
              <w:jc w:val="left"/>
            </w:pPr>
            <w:r/>
            <w:r>
              <w:t>Tingkat Keberhasilan Baca FC1</w:t>
            </w:r>
          </w:p>
        </w:tc>
        <w:tc>
          <w:tcPr>
            <w:tcW w:type="dxa" w:w="5216"/>
            <w:tcBorders>
              <w:top w:val="none"/>
              <w:bottom w:val="none"/>
              <w:left w:val="none"/>
              <w:right w:val="none"/>
            </w:tcBorders>
          </w:tcPr>
          <w:p>
            <w:pPr>
              <w:pStyle w:val="IEEETableCell"/>
              <w:jc w:val="left"/>
            </w:pPr>
            <w:r/>
            <w:r>
              <w:t>99,92%</w:t>
            </w:r>
          </w:p>
        </w:tc>
      </w:tr>
      <w:tr>
        <w:tc>
          <w:tcPr>
            <w:tcW w:type="dxa" w:w="5216"/>
            <w:tcBorders>
              <w:top w:val="none"/>
              <w:bottom w:val="none"/>
              <w:left w:val="none"/>
              <w:right w:val="none"/>
            </w:tcBorders>
          </w:tcPr>
          <w:p>
            <w:pPr>
              <w:pStyle w:val="IEEETableCell"/>
              <w:jc w:val="left"/>
            </w:pPr>
            <w:r/>
            <w:r>
              <w:t>MTBF (Mean Time Between Failures)</w:t>
            </w:r>
          </w:p>
        </w:tc>
        <w:tc>
          <w:tcPr>
            <w:tcW w:type="dxa" w:w="5216"/>
            <w:tcBorders>
              <w:top w:val="none"/>
              <w:bottom w:val="none"/>
              <w:left w:val="none"/>
              <w:right w:val="none"/>
            </w:tcBorders>
          </w:tcPr>
          <w:p>
            <w:pPr>
              <w:pStyle w:val="IEEETableCell"/>
              <w:jc w:val="left"/>
            </w:pPr>
            <w:r/>
            <w:r>
              <w:t>8,2 jam</w:t>
            </w:r>
          </w:p>
        </w:tc>
      </w:tr>
      <w:tr>
        <w:tc>
          <w:tcPr>
            <w:tcW w:type="dxa" w:w="5216"/>
            <w:tcBorders>
              <w:top w:val="none"/>
              <w:bottom w:val="none"/>
              <w:left w:val="none"/>
              <w:right w:val="none"/>
            </w:tcBorders>
          </w:tcPr>
          <w:p>
            <w:pPr>
              <w:pStyle w:val="IEEETableCell"/>
              <w:jc w:val="left"/>
            </w:pPr>
            <w:r/>
            <w:r>
              <w:t>Pertumbuhan Memori</w:t>
            </w:r>
          </w:p>
        </w:tc>
        <w:tc>
          <w:tcPr>
            <w:tcW w:type="dxa" w:w="5216"/>
            <w:tcBorders>
              <w:top w:val="none"/>
              <w:bottom w:val="none"/>
              <w:left w:val="none"/>
              <w:right w:val="none"/>
            </w:tcBorders>
          </w:tcPr>
          <w:p>
            <w:pPr>
              <w:pStyle w:val="IEEETableCell"/>
              <w:jc w:val="left"/>
            </w:pPr>
            <w:r/>
            <w:r>
              <w:t>12,4 MB</w:t>
            </w:r>
          </w:p>
        </w:tc>
      </w:tr>
      <w:tr>
        <w:tc>
          <w:tcPr>
            <w:tcW w:type="dxa" w:w="5216"/>
            <w:tcBorders>
              <w:top w:val="none"/>
              <w:bottom w:val="single" w:sz="4" w:space="0" w:color="auto"/>
              <w:left w:val="none"/>
              <w:right w:val="none"/>
            </w:tcBorders>
          </w:tcPr>
          <w:p>
            <w:pPr>
              <w:pStyle w:val="IEEETableCell"/>
              <w:jc w:val="left"/>
            </w:pPr>
            <w:r/>
            <w:r>
              <w:t>Frame Rate (target 30 fps)</w:t>
            </w:r>
          </w:p>
        </w:tc>
        <w:tc>
          <w:tcPr>
            <w:tcW w:type="dxa" w:w="5216"/>
            <w:tcBorders>
              <w:top w:val="none"/>
              <w:bottom w:val="single" w:sz="4" w:space="0" w:color="auto"/>
              <w:left w:val="none"/>
              <w:right w:val="none"/>
            </w:tcBorders>
          </w:tcPr>
          <w:p>
            <w:pPr>
              <w:pStyle w:val="IEEETableCell"/>
              <w:jc w:val="left"/>
            </w:pPr>
            <w:r/>
            <w:r>
              <w:t>29,7 fps</w:t>
            </w:r>
          </w:p>
        </w:tc>
      </w:tr>
    </w:tbl>
    <w:p/>
    <w:p>
      <w:pPr>
        <w:pStyle w:val="IEEEParagraph"/>
        <w:ind w:firstLine="288"/>
        <w:rPr>
          <w:szCs w:val="20"/>
          <w:lang w:val="en-US"/>
        </w:rPr>
      </w:pPr>
      <w:r>
        <w:rPr>
          <w:b w:val="0"/>
          <w:i w:val="0"/>
          <w:szCs w:val="20"/>
          <w:u w:val="none"/>
          <w:lang w:val="en-US"/>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jc w:val="center"/>
      </w:pPr>
      <w:r>
        <w:rPr>
          <w:i/>
          <w:color w:val="FF0000"/>
        </w:rPr>
        <w:t>[PROMPT UNTUK AI GAMBAR: Tingkat Keberhasilan Modbus 24 Jam. A dual-line time-series chart showing Modbus TCP transaction success rate over a continuous 24-hour endurance test run. The horizontal axis represents elapsed time in hours from 0 to 24, and the vertical axis shows transaction success rate as a percentage on a scale from approximately 95 to 100 percent to magnify any dips. Two lines are plotted: one for FC15 write command success and one for FC1 read polling success, each drawn in a distinct color with a legend. Brief dips below 100 percent at several time points mark communication failure events. A horizontal dashed annotation line or label marks the mean time between failures at 8.2 hours. Background is white, style is clean and publication-ready for an IEEE journal paper result section.]</w:t>
      </w:r>
    </w:p>
    <w:p>
      <w:pPr>
        <w:pStyle w:val="IEEEFigure"/>
        <w:spacing w:before="60" w:after="120"/>
        <w:jc w:val="center"/>
      </w:pPr>
      <w:r>
        <w:rPr>
          <w:rFonts w:ascii="Helvetica" w:hAnsi="Helvetica"/>
          <w:b/>
          <w:sz w:val="14"/>
        </w:rPr>
        <w:t xml:space="preserve">Figure 14. </w:t>
      </w:r>
      <w:r>
        <w:rPr>
          <w:rFonts w:ascii="Helvetica" w:hAnsi="Helvetica"/>
          <w:b w:val="0"/>
          <w:sz w:val="14"/>
        </w:rPr>
        <w:t>Tingkat Keberhasilan Modbus 24 Jam</w:t>
      </w:r>
    </w:p>
    <w:p>
      <w:pPr>
        <w:pStyle w:val="IEEEParagraph"/>
        <w:ind w:firstLine="288"/>
        <w:rPr>
          <w:szCs w:val="20"/>
          <w:lang w:val="en-US"/>
        </w:rPr>
      </w:pPr>
      <w:r>
        <w:rPr>
          <w:b w:val="0"/>
          <w:i w:val="0"/>
          <w:szCs w:val="20"/>
          <w:u w:val="none"/>
          <w:lang w:val="en-US"/>
        </w:rPr>
        <w:t>Tingkat keberhasilan (Gbr. 14) bertahan di atas 99,7% untuk FC1 maupun FC15, dengan penurunan di sekitar jam ke-7, 15, dan 22. Ketiga penurunan sesuai dengan tiga kegagalan komunikasi dalam log, konsisten dengan MTBF 8,2 jam.</w:t>
      </w:r>
    </w:p>
    <w:p>
      <w:pPr>
        <w:pStyle w:val="IEEEHeading1"/>
        <w:spacing w:after="0"/>
        <w:contextualSpacing/>
        <w:jc w:val="left"/>
        <w:rPr>
          <w:b/>
          <w:bCs/>
          <w:color w:val="0070C0"/>
          <w:lang w:val="en-US"/>
        </w:rPr>
      </w:pPr>
      <w:r>
        <w:rPr>
          <w:rFonts w:ascii="Helvetica" w:hAnsi="Helvetica"/>
          <w:b/>
          <w:bCs/>
          <w:color w:val="0070C0"/>
          <w:sz w:val="18"/>
          <w:szCs w:val="18"/>
          <w:lang w:val="en-US"/>
        </w:rPr>
        <w:t>KESIMPULAN</w:t>
      </w:r>
    </w:p>
    <w:p>
      <w:pPr>
        <w:pStyle w:val="IEEEParagraph"/>
        <w:ind w:firstLine="288"/>
        <w:rPr>
          <w:szCs w:val="20"/>
          <w:lang w:val="en-US"/>
        </w:rPr>
      </w:pPr>
      <w:r>
        <w:rPr>
          <w:b w:val="0"/>
          <w:i w:val="0"/>
          <w:szCs w:val="20"/>
          <w:u w:val="none"/>
          <w:lang w:val="en-US"/>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IEEEParagraph"/>
        <w:ind w:firstLine="288"/>
        <w:rPr>
          <w:szCs w:val="20"/>
          <w:lang w:val="en-US"/>
        </w:rPr>
      </w:pPr>
      <w:r>
        <w:rPr>
          <w:b w:val="0"/>
          <w:i w:val="0"/>
          <w:szCs w:val="20"/>
          <w:u w:val="none"/>
          <w:lang w:val="en-US"/>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IEEEHeading1"/>
        <w:numPr>
          <w:ilvl w:val="0"/>
          <w:numId w:val="0"/>
        </w:numPr>
        <w:spacing w:after="0"/>
        <w:jc w:val="left"/>
        <w:rPr>
          <w:rFonts w:ascii="Helvetica" w:hAnsi="Helvetica"/>
          <w:b/>
          <w:bCs/>
          <w:color w:val="0070C0"/>
          <w:sz w:val="18"/>
          <w:szCs w:val="18"/>
          <w:lang w:val="en-US"/>
        </w:rPr>
      </w:pPr>
      <w:r>
        <w:rPr>
          <w:rFonts w:ascii="Helvetica" w:hAnsi="Helvetica"/>
          <w:b/>
          <w:bCs/>
          <w:color w:val="0070C0"/>
          <w:sz w:val="18"/>
          <w:szCs w:val="18"/>
          <w:lang w:val="en-US"/>
        </w:rPr>
        <w:t>REFERENCES</w:t>
      </w:r>
    </w:p>
    <w:p>
      <w:pPr>
        <w:pStyle w:val="IEEEReferenceItem"/>
        <w:spacing w:before="40"/>
        <w:ind w:left="357" w:hanging="357"/>
      </w:pPr>
      <w:r>
        <w:rPr>
          <w:b w:val="0"/>
          <w:i w:val="0"/>
          <w:u w:val="none"/>
        </w:rPr>
        <w:t>C. Lugaresi et al., "MediaPipe: A Framework for Building Perception Pipelines," preprint arXiv:1906.08172, Jun. 2019.</w:t>
      </w:r>
    </w:p>
    <w:p>
      <w:pPr>
        <w:pStyle w:val="IEEEReferenceItem"/>
        <w:spacing w:before="40"/>
        <w:ind w:left="357" w:hanging="357"/>
      </w:pPr>
      <w:r>
        <w:rPr>
          <w:b w:val="0"/>
          <w:i w:val="0"/>
          <w:u w:val="none"/>
        </w:rPr>
        <w:t>S. Vijayachitra, K. Prabhu, S. Agilan, M. Ahamed Salih, and S. Madhumitha, "Advanced PLC-based Automation for Converging System and Warehousing," in Proc. 5th Int. Conf. Trends Mater. Sci. Invent. Mater. (ICTMIM), 2025, pp. 1–6, doi: 10.1109/ICTMIM65579.2025.10988042.</w:t>
      </w:r>
    </w:p>
    <w:p>
      <w:pPr>
        <w:pStyle w:val="IEEEReferenceItem"/>
        <w:spacing w:before="40"/>
        <w:ind w:left="357" w:hanging="357"/>
      </w:pPr>
      <w:r>
        <w:rPr>
          <w:b w:val="0"/>
          <w:i w:val="0"/>
          <w:u w:val="none"/>
        </w:rPr>
        <w:t>Yashika, A. Patra, and N. S. Das, "Human-Machine Interaction in Industrial Automation: Gesture-Based PLC Control," in Proc. 15th Int. Conf. Comput. Commun. Netw. Technol. (ICCCNT), 2024, pp. 1–7, doi: 10.1109/ICCCNT61001.2024.10726180.</w:t>
      </w:r>
    </w:p>
    <w:p>
      <w:pPr>
        <w:pStyle w:val="IEEEReferenceItem"/>
        <w:spacing w:before="40"/>
        <w:ind w:left="357" w:hanging="357"/>
      </w:pPr>
      <w:r>
        <w:rPr>
          <w:b w:val="0"/>
          <w:i w:val="0"/>
          <w:u w:val="none"/>
        </w:rPr>
        <w:t>Y. Li, J. Zhang, Y. Xiong, H. Wu, and F. Yang, "Design of Industrial Equipment Remote Control System Based on Python," in Proc. 8th Int. Conf. Electron. Technol. (ICET), 2025, pp. 1–6, doi: 10.1109/ICET64964.2025.11103226.</w:t>
      </w:r>
    </w:p>
    <w:p>
      <w:pPr>
        <w:pStyle w:val="IEEEReferenceItem"/>
        <w:spacing w:before="40"/>
        <w:ind w:left="357" w:hanging="357"/>
      </w:pPr>
      <w:r>
        <w:rPr>
          <w:b w:val="0"/>
          <w:i w:val="0"/>
          <w:u w:val="none"/>
        </w:rPr>
        <w:t>M. Jamage, S. Rane, J. Raktate, and N. Chavan, "Real-Time Hand Gesture Recognition Using CNN-LSTM for Gesture-to-Voice and Device Control," in Proc. 9th Int. Conf. Comput. Commun. Control Autom. (ICCUBEA), 2025, pp. 1–7, doi: 10.1109/ICCUBEA65967.2025.11284053.</w:t>
      </w:r>
    </w:p>
    <w:p>
      <w:pPr>
        <w:pStyle w:val="IEEEReferenceItem"/>
        <w:spacing w:before="40"/>
        <w:ind w:left="357" w:hanging="357"/>
      </w:pPr>
      <w:r>
        <w:rPr>
          <w:b w:val="0"/>
          <w:i w:val="0"/>
          <w:u w:val="none"/>
        </w:rPr>
        <w:t>C. Nikolajew and H. Eichelberger, "Industry 4.0 Connectors – A Performance Experiment with Modbus/TCP," preprint arXiv:2410.15813, Oct. 2024.</w:t>
      </w:r>
    </w:p>
    <w:p>
      <w:pPr>
        <w:pStyle w:val="IEEEReferenceItem"/>
        <w:spacing w:before="40"/>
        <w:ind w:left="357" w:hanging="357"/>
      </w:pPr>
      <w:r>
        <w:rPr>
          <w:b w:val="0"/>
          <w:i w:val="0"/>
          <w:u w:val="none"/>
        </w:rPr>
        <w:t>E. Tapia, L. Sastoque-Pinilla, U. Lopez-Novoa, I. Bediaga, and N. López de Lacalle, "Assessing Industrial Communication Protocols to Bridge the Gap between Machine Tools and Software Monitoring," Sensors, vol. 23, no. 12, art. 5694, 2023, doi: 10.3390/s23125694.</w:t>
      </w:r>
    </w:p>
    <w:p>
      <w:pPr>
        <w:pStyle w:val="IEEEReferenceItem"/>
        <w:spacing w:before="40"/>
        <w:ind w:left="357" w:hanging="357"/>
      </w:pPr>
      <w:r>
        <w:rPr>
          <w:b w:val="0"/>
          <w:i w:val="0"/>
          <w:u w:val="none"/>
        </w:rPr>
        <w:t>Y. K. Yep, Y. H. Goh, T. H. Chiew, K. M. Chin, J. J. Ong, and K. S. Eu, "AI-Driven Hand Gesture Recognition for Robotic Arm Control," in Proc. 5th Int. Conf. Artif. Intell. Robot. Commun. (ICAIRC), 2025, pp. 1–5, doi: 10.1109/ICAIRC68035.2025.11384947.</w:t>
      </w:r>
    </w:p>
    <w:p>
      <w:pPr>
        <w:pStyle w:val="IEEEReferenceItem"/>
        <w:spacing w:before="40"/>
        <w:ind w:left="357" w:hanging="357"/>
      </w:pPr>
      <w:r>
        <w:rPr>
          <w:b w:val="0"/>
          <w:i w:val="0"/>
          <w:u w:val="none"/>
        </w:rPr>
        <w:t>Qurrat-ul-Ain, S. N. Talpur, N. U. Z. Laghari, and M. S. Rattar, "Machine Control Using Hand Gesture Recognition," Gyancity J. Electron. Comput. Sci., vol. 5, no. 1, pp. 19–28, Mar. 2020, doi: 10.21058/gjecs.2020.51003.</w:t>
      </w:r>
    </w:p>
    <w:p>
      <w:pPr>
        <w:pStyle w:val="IEEEReferenceItem"/>
        <w:spacing w:before="40"/>
        <w:ind w:left="357" w:hanging="357"/>
      </w:pPr>
      <w:r>
        <w:rPr>
          <w:b w:val="0"/>
          <w:i w:val="0"/>
          <w:u w:val="none"/>
        </w:rPr>
        <w:t>P. Nguyen Huu and T. Phung Ngoc, "Hand Gesture Recognition Algorithm Using SVM and HOG Model for Control of Robotic System," J. Robot., vol. 2021, art. 3986497, 2021, doi: 10.1155/2021/3986497.</w:t>
      </w:r>
    </w:p>
    <w:p>
      <w:pPr>
        <w:pStyle w:val="IEEEReferenceItem"/>
        <w:spacing w:before="40"/>
        <w:ind w:left="357" w:hanging="357"/>
      </w:pPr>
      <w:r>
        <w:rPr>
          <w:b w:val="0"/>
          <w:i w:val="0"/>
          <w:u w:val="none"/>
        </w:rPr>
        <w:t>M. Shaikh, P. Shah, and R. Sekhar, "Communication Protocols in Industry 4.0," in Proc. Int. Conf. Sustain. Emerg. Innov. Eng. Technol. (ICSEIET), 2023, pp. 1–6, doi: 10.1109/ICSEIET58677.2023.10303397.</w:t>
      </w:r>
    </w:p>
    <w:p>
      <w:pPr>
        <w:pStyle w:val="IEEEReferenceItem"/>
        <w:spacing w:before="40"/>
        <w:ind w:left="357" w:hanging="357"/>
      </w:pPr>
      <w:r>
        <w:rPr>
          <w:b w:val="0"/>
          <w:i w:val="0"/>
          <w:u w:val="none"/>
        </w:rPr>
        <w:t>M. Bensaadallah, N. Ghoggali, L. Saidi, and W. Ghoggali, "Deep Learning-Based Real-Time Hand Landmark Recognition with MediaPipe for R12 Robot Control," in Proc. Int. Conf. Elect. Eng. Adv. Technol. (ICEEAT), 2023, pp. 1–6, doi: 10.1109/ICEEAT60471.2023.10426264.</w:t>
      </w:r>
    </w:p>
    <w:p>
      <w:pPr>
        <w:pStyle w:val="IEEEReferenceItem"/>
        <w:spacing w:before="40"/>
        <w:ind w:left="357" w:hanging="357"/>
      </w:pPr>
      <w:r>
        <w:rPr>
          <w:b w:val="0"/>
          <w:i w:val="0"/>
          <w:u w:val="none"/>
        </w:rPr>
        <w:t>M. Peral, A. Sanfeliu, and A. Garrell, "Efficient Hand Gesture Recognition for Human-Robot Interaction," IEEE Robot. Autom. Lett., vol. 7, no. 4, pp. 10272–10279, Oct. 2022, doi: 10.1109/LRA.2022.3193251.</w:t>
      </w:r>
    </w:p>
    <w:p>
      <w:pPr>
        <w:pStyle w:val="IEEEReferenceItem"/>
        <w:spacing w:before="40"/>
        <w:ind w:left="357" w:hanging="357"/>
      </w:pPr>
      <w:r>
        <w:rPr>
          <w:b w:val="0"/>
          <w:i w:val="0"/>
          <w:u w:val="none"/>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IEEEReferenceItem"/>
        <w:spacing w:before="40"/>
        <w:ind w:left="357" w:hanging="357"/>
      </w:pPr>
      <w:r>
        <w:rPr>
          <w:b w:val="0"/>
          <w:i w:val="0"/>
          <w:u w:val="none"/>
        </w:rPr>
        <w:t>B. Kwolek, "Continuous Hand Gesture Recognition for Human-Robot Collaborative Assembly," in Proc. IEEE/CVF Int. Conf. Comput. Vis. Workshops (ICCVW), 2023, pp. 1992–1999, doi: 10.1109/ICCVW60793.2023.00214.</w:t>
      </w:r>
    </w:p>
    <w:p>
      <w:pPr>
        <w:pStyle w:val="IEEEReferenceItem"/>
        <w:spacing w:before="40"/>
        <w:ind w:left="357" w:hanging="357"/>
      </w:pPr>
      <w:r>
        <w:rPr>
          <w:b w:val="0"/>
          <w:i w:val="0"/>
          <w:u w:val="none"/>
        </w:rPr>
        <w:t>Y. Wang, D. Peng, E. Qi, and H. Wang, "Modbus/TCP Data Acquisition System Based on Industrial Ethernet Technology," in Proc. 4th IEEE Int. Conf. Elect. Eng. Control Technol. (CEECT), 2022, pp. 1–5, doi: 10.1109/CEECT55960.2022.10030131.</w:t>
      </w:r>
    </w:p>
    <w:p>
      <w:pPr>
        <w:pStyle w:val="IEEEReferenceItem"/>
        <w:spacing w:before="40"/>
        <w:ind w:left="357" w:hanging="357"/>
      </w:pPr>
      <w:r>
        <w:rPr>
          <w:b w:val="0"/>
          <w:i w:val="0"/>
          <w:u w:val="none"/>
        </w:rP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IEEEReferenceItem"/>
        <w:spacing w:before="40"/>
        <w:ind w:left="357" w:hanging="357"/>
      </w:pPr>
      <w:r>
        <w:rPr>
          <w:b w:val="0"/>
          <w:i w:val="0"/>
          <w:u w:val="none"/>
        </w:rPr>
        <w:t>C. D. Sawarkar, V. Vaidya, V. Sharma, S. Sheikh, A. Neware, and P. Chaudhari, "AI Based Real Time Hand Gesture Recognition System," Int. Res. J. Modernization Eng. Technol. Sci., vol. 6, no. 1, pp. 1–8, Jan. 2024, doi: 10.56726/IRJMETS48782.</w:t>
      </w:r>
    </w:p>
    <w:p>
      <w:pPr>
        <w:pStyle w:val="IEEEReferenceItem"/>
        <w:spacing w:before="40"/>
        <w:ind w:left="357" w:hanging="357"/>
      </w:pPr>
      <w:r>
        <w:rPr>
          <w:b w:val="0"/>
          <w:i w:val="0"/>
          <w:u w:val="none"/>
        </w:rPr>
        <w:t>R. Tchantchane, H. Zhou, S. Zhang, and G. Alici, "A Review of Hand Gesture Recognition Systems Based on Noninvasive Wearable Sensors," Adv. Intell. Syst., vol. 5, no. 2, art. 2300207, 2023, doi: 10.1002/aisy.202300207.</w:t>
      </w:r>
    </w:p>
    <w:p>
      <w:pPr>
        <w:pStyle w:val="IEEEReferenceItem"/>
        <w:spacing w:before="40"/>
        <w:ind w:left="357" w:hanging="357"/>
      </w:pPr>
      <w:r>
        <w:rPr>
          <w:b w:val="0"/>
          <w:i w:val="0"/>
          <w:u w:val="none"/>
        </w:rPr>
        <w:t>Schneider Electric, "Modicon M221 Logic Controller – Programming Guide," Tech. Rep., ver. 1.7, 2022. [Online]. Available: https://www.schneider-electric.com</w:t>
      </w:r>
    </w:p>
    <w:p>
      <w:pPr>
        <w:pStyle w:val="IEEEParagraph"/>
        <w:rPr>
          <w:lang w:val="en-US"/>
        </w:rPr>
        <w:sectPr w:rsidR="00717B84" w:rsidRPr="00DF537E" w:rsidSect="00DE7F64">
          <w:type w:val="continuous"/>
          <w:pgSz w:w="11906" w:h="16838"/>
          <w:pgMar w:top="1304" w:right="737" w:bottom="1021" w:left="737" w:header="431" w:footer="431" w:gutter="0"/>
          <w:cols w:num="2" w:space="403"/>
          <w:docGrid w:linePitch="360"/>
        </w:sectPr>
      </w:pPr>
    </w:p>
    <w:sectPr w:rsidR="0003115F" w:rsidRPr="00DF537E" w:rsidSect="006D0510">
      <w:type w:val="continuous"/>
      <w:pgSz w:w="11906" w:h="16838"/>
      <w:pgMar w:top="1304" w:right="737" w:bottom="1021" w:left="737" w:header="431" w:footer="431" w:gutter="0"/>
      <w:cols w:num="2" w:space="40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F89E0A" w14:textId="77777777" w:rsidR="000D6978" w:rsidRDefault="000D6978" w:rsidP="00BD0603">
      <w:r>
        <w:separator/>
      </w:r>
    </w:p>
  </w:endnote>
  <w:endnote w:type="continuationSeparator" w:id="0">
    <w:p w14:paraId="11688D86" w14:textId="77777777" w:rsidR="000D6978" w:rsidRDefault="000D6978" w:rsidP="00BD0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20B0604020202020204"/>
    <w:charset w:val="00"/>
    <w:family w:val="auto"/>
    <w:notTrueType/>
    <w:pitch w:val="default"/>
    <w:sig w:usb0="00000003" w:usb1="00000000" w:usb2="00000000" w:usb3="00000000" w:csb0="00000001" w:csb1="00000000"/>
  </w:font>
  <w:font w:name="Times">
    <w:altName w:val="Sylfaen"/>
    <w:panose1 w:val="00000500000000020000"/>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7875B" w14:textId="77777777" w:rsidR="00A225DD" w:rsidRPr="00C36842" w:rsidRDefault="00A225DD" w:rsidP="0080480D">
    <w:pPr>
      <w:pStyle w:val="Footer"/>
      <w:tabs>
        <w:tab w:val="clear" w:pos="4320"/>
        <w:tab w:val="clear" w:pos="8640"/>
        <w:tab w:val="right" w:pos="10263"/>
      </w:tabs>
      <w:rPr>
        <w:sz w:val="18"/>
        <w:szCs w:val="18"/>
        <w:lang w:val="en-US"/>
      </w:rPr>
    </w:pPr>
    <w:r w:rsidRPr="00274E4E">
      <w:rPr>
        <w:rFonts w:ascii="Helvetica" w:hAnsi="Helvetica"/>
        <w:sz w:val="16"/>
        <w:szCs w:val="16"/>
        <w:highlight w:val="yellow"/>
      </w:rPr>
      <w:t/>
    </w:r>
    <w:r w:rsidRPr="00C36842">
      <w:rPr>
        <w:sz w:val="18"/>
        <w:szCs w:val="18"/>
        <w:lang w:val="en-US"/>
      </w:rPr>
      <w:tab/>
    </w:r>
    <w:r w:rsidRPr="00C36842">
      <w:rPr>
        <w:sz w:val="18"/>
        <w:szCs w:val="18"/>
      </w:rPr>
      <w:t xml:space="preserve">Prayogo et al.: GestPLC: Real-Time Hand Gesture...</w:t>
    </w:r>
    <w:r>
      <w:rPr>
        <w:sz w:val="18"/>
        <w:szCs w:val="18"/>
      </w:rPr>
      <w:t/>
    </w:r>
    <w:r w:rsidRPr="00C36842">
      <w:rPr>
        <w:sz w:val="18"/>
        <w:szCs w:val="18"/>
      </w:rPr>
      <w:t xml:space="preserv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DB63B1" w14:textId="49B18ECF" w:rsidR="00A225DD" w:rsidRPr="00912BD7" w:rsidRDefault="00A225DD" w:rsidP="00B26BA3">
    <w:pPr>
      <w:pStyle w:val="Header"/>
      <w:tabs>
        <w:tab w:val="clear" w:pos="4513"/>
        <w:tab w:val="clear" w:pos="9026"/>
        <w:tab w:val="center" w:pos="10427"/>
      </w:tabs>
      <w:ind w:left="-113" w:right="-113"/>
      <w:rPr>
        <w:rFonts w:ascii="Helvetica" w:hAnsi="Helvetica"/>
        <w:sz w:val="14"/>
        <w:szCs w:val="14"/>
        <w:lang w:val="en-US"/>
      </w:rPr>
    </w:pPr>
    <w:r w:rsidRPr="00D55550">
      <w:rPr>
        <w:rFonts w:ascii="Helvetica" w:hAnsi="Helvetica"/>
        <w:sz w:val="16"/>
        <w:szCs w:val="16"/>
      </w:rPr>
      <w:t>Prayogo et al.: GestPLC: Real-Time Hand Gesture...</w:t>
    </w:r>
    <w:r w:rsidR="00912BD7">
      <w:rPr>
        <w:rFonts w:ascii="Helvetica" w:hAnsi="Helvetica"/>
        <w:sz w:val="16"/>
        <w:szCs w:val="16"/>
      </w:rPr>
      <w:tab/>
    </w:r>
    <w:r w:rsidR="00912BD7" w:rsidRPr="00056068">
      <w:rPr>
        <w:rFonts w:ascii="Helvetica" w:hAnsi="Helvetica"/>
        <w:sz w:val="16"/>
        <w:szCs w:val="16"/>
        <w:lang w:val="en-US"/>
      </w:rPr>
      <w:t>p-</w:t>
    </w:r>
    <w:r w:rsidR="00912BD7" w:rsidRPr="00056068">
      <w:rPr>
        <w:rFonts w:ascii="Helvetica" w:hAnsi="Helvetica"/>
        <w:sz w:val="16"/>
        <w:szCs w:val="16"/>
        <w:lang w:val="id-ID"/>
      </w:rPr>
      <w:t xml:space="preserve">ISSN 2301–4156 </w:t>
    </w:r>
    <w:r w:rsidR="00912BD7" w:rsidRPr="00056068">
      <w:rPr>
        <w:rFonts w:ascii="Helvetica" w:hAnsi="Helvetica"/>
        <w:sz w:val="16"/>
        <w:szCs w:val="16"/>
        <w:lang w:val="en-US"/>
      </w:rPr>
      <w:t>| e-ISSN 24</w:t>
    </w:r>
    <w:r w:rsidR="00912BD7" w:rsidRPr="00056068">
      <w:rPr>
        <w:rFonts w:ascii="Helvetica" w:hAnsi="Helvetica"/>
        <w:sz w:val="16"/>
        <w:szCs w:val="16"/>
        <w:lang w:val="id-ID"/>
      </w:rPr>
      <w:t>6</w:t>
    </w:r>
    <w:r w:rsidR="00912BD7" w:rsidRPr="00056068">
      <w:rPr>
        <w:rFonts w:ascii="Helvetica" w:hAnsi="Helvetica"/>
        <w:sz w:val="16"/>
        <w:szCs w:val="16"/>
        <w:lang w:val="en-US"/>
      </w:rPr>
      <w:t>0</w:t>
    </w:r>
    <w:r w:rsidR="00912BD7" w:rsidRPr="00056068">
      <w:rPr>
        <w:rFonts w:ascii="Helvetica" w:hAnsi="Helvetica"/>
        <w:sz w:val="16"/>
        <w:szCs w:val="16"/>
        <w:lang w:val="id-ID"/>
      </w:rPr>
      <w:t>–</w:t>
    </w:r>
    <w:r w:rsidR="00912BD7" w:rsidRPr="00056068">
      <w:rPr>
        <w:rFonts w:ascii="Helvetica" w:hAnsi="Helvetica"/>
        <w:sz w:val="16"/>
        <w:szCs w:val="16"/>
        <w:lang w:val="en-US"/>
      </w:rPr>
      <w:t>5719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B8EFC2" w14:textId="5C6D67EF" w:rsidR="00C1327B" w:rsidRPr="00C32FC5" w:rsidRDefault="005C60FB" w:rsidP="00B26BA3">
    <w:pPr>
      <w:pStyle w:val="Footer"/>
      <w:tabs>
        <w:tab w:val="clear" w:pos="4320"/>
        <w:tab w:val="clear" w:pos="8640"/>
        <w:tab w:val="right" w:pos="10427"/>
      </w:tabs>
      <w:ind w:left="-113" w:right="-113"/>
      <w:rPr>
        <w:rFonts w:ascii="Helvetica" w:hAnsi="Helvetica"/>
        <w:sz w:val="16"/>
        <w:szCs w:val="16"/>
      </w:rPr>
    </w:pPr>
    <w:r w:rsidRPr="00056068">
      <w:rPr>
        <w:rFonts w:ascii="Helvetica" w:hAnsi="Helvetica"/>
        <w:sz w:val="16"/>
        <w:szCs w:val="16"/>
        <w:lang w:val="en-US"/>
      </w:rPr>
      <w:t>p-</w:t>
    </w:r>
    <w:r w:rsidRPr="00056068">
      <w:rPr>
        <w:rFonts w:ascii="Helvetica" w:hAnsi="Helvetica"/>
        <w:sz w:val="16"/>
        <w:szCs w:val="16"/>
        <w:lang w:val="id-ID"/>
      </w:rPr>
      <w:t xml:space="preserve">ISSN 2301–4156 </w:t>
    </w:r>
    <w:r w:rsidRPr="00056068">
      <w:rPr>
        <w:rFonts w:ascii="Helvetica" w:hAnsi="Helvetica"/>
        <w:sz w:val="16"/>
        <w:szCs w:val="16"/>
        <w:lang w:val="en-US"/>
      </w:rPr>
      <w:t>| e-ISSN 24</w:t>
    </w:r>
    <w:r w:rsidRPr="00056068">
      <w:rPr>
        <w:rFonts w:ascii="Helvetica" w:hAnsi="Helvetica"/>
        <w:sz w:val="16"/>
        <w:szCs w:val="16"/>
        <w:lang w:val="id-ID"/>
      </w:rPr>
      <w:t>6</w:t>
    </w:r>
    <w:r w:rsidRPr="00056068">
      <w:rPr>
        <w:rFonts w:ascii="Helvetica" w:hAnsi="Helvetica"/>
        <w:sz w:val="16"/>
        <w:szCs w:val="16"/>
        <w:lang w:val="en-US"/>
      </w:rPr>
      <w:t>0</w:t>
    </w:r>
    <w:r w:rsidRPr="00056068">
      <w:rPr>
        <w:rFonts w:ascii="Helvetica" w:hAnsi="Helvetica"/>
        <w:sz w:val="16"/>
        <w:szCs w:val="16"/>
        <w:lang w:val="id-ID"/>
      </w:rPr>
      <w:t>–</w:t>
    </w:r>
    <w:r w:rsidRPr="00056068">
      <w:rPr>
        <w:rFonts w:ascii="Helvetica" w:hAnsi="Helvetica"/>
        <w:sz w:val="16"/>
        <w:szCs w:val="16"/>
        <w:lang w:val="en-US"/>
      </w:rPr>
      <w:t>5719</w:t>
    </w:r>
    <w:r w:rsidR="00C32FC5" w:rsidRPr="005878B2">
      <w:rPr>
        <w:rFonts w:ascii="Helvetica" w:hAnsi="Helvetica"/>
        <w:sz w:val="16"/>
        <w:szCs w:val="16"/>
      </w:rPr>
      <w:tab/>
      <w:t>Prayogo et al.: GestPLC: Real-Time Hand Gesture...</w:t>
    </w:r>
    <w:r w:rsidR="00C57F98">
      <w:rPr>
        <w:rFonts w:ascii="Helvetica" w:hAnsi="Helvetica"/>
        <w:sz w:val="16"/>
        <w:szCs w:val="16"/>
      </w:rPr>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F5906" w14:textId="29E1DFCC" w:rsidR="00C1327B" w:rsidRPr="0098478D" w:rsidRDefault="0098478D" w:rsidP="00B26BA3">
    <w:pPr>
      <w:pStyle w:val="Footer"/>
      <w:tabs>
        <w:tab w:val="clear" w:pos="4320"/>
        <w:tab w:val="clear" w:pos="8640"/>
        <w:tab w:val="right" w:pos="10427"/>
      </w:tabs>
      <w:ind w:left="-113" w:right="-113"/>
      <w:rPr>
        <w:rFonts w:ascii="Helvetica" w:hAnsi="Helvetica"/>
        <w:sz w:val="16"/>
        <w:szCs w:val="16"/>
      </w:rPr>
    </w:pPr>
    <w:r w:rsidRPr="005878B2">
      <w:rPr>
        <w:rFonts w:ascii="Helvetica" w:hAnsi="Helvetica"/>
        <w:sz w:val="16"/>
        <w:szCs w:val="16"/>
      </w:rPr>
      <w:t>Prayogo et al.: GestPLC: Real-Time Hand Gesture...</w:t>
    </w:r>
    <w:r w:rsidRPr="005878B2">
      <w:rPr>
        <w:rFonts w:ascii="Helvetica" w:hAnsi="Helvetica"/>
        <w:sz w:val="16"/>
        <w:szCs w:val="16"/>
      </w:rPr>
      <w:tab/>
    </w:r>
    <w:r w:rsidR="00C57F98" w:rsidRPr="00056068">
      <w:rPr>
        <w:rFonts w:ascii="Helvetica" w:hAnsi="Helvetica"/>
        <w:sz w:val="16"/>
        <w:szCs w:val="16"/>
        <w:lang w:val="en-US"/>
      </w:rPr>
      <w:t>p-</w:t>
    </w:r>
    <w:r w:rsidR="00C57F98" w:rsidRPr="00056068">
      <w:rPr>
        <w:rFonts w:ascii="Helvetica" w:hAnsi="Helvetica"/>
        <w:sz w:val="16"/>
        <w:szCs w:val="16"/>
        <w:lang w:val="id-ID"/>
      </w:rPr>
      <w:t xml:space="preserve">ISSN 2301–4156 </w:t>
    </w:r>
    <w:r w:rsidR="00C57F98" w:rsidRPr="00056068">
      <w:rPr>
        <w:rFonts w:ascii="Helvetica" w:hAnsi="Helvetica"/>
        <w:sz w:val="16"/>
        <w:szCs w:val="16"/>
        <w:lang w:val="en-US"/>
      </w:rPr>
      <w:t>| e-ISSN 24</w:t>
    </w:r>
    <w:r w:rsidR="00C57F98" w:rsidRPr="00056068">
      <w:rPr>
        <w:rFonts w:ascii="Helvetica" w:hAnsi="Helvetica"/>
        <w:sz w:val="16"/>
        <w:szCs w:val="16"/>
        <w:lang w:val="id-ID"/>
      </w:rPr>
      <w:t>6</w:t>
    </w:r>
    <w:r w:rsidR="00C57F98" w:rsidRPr="00056068">
      <w:rPr>
        <w:rFonts w:ascii="Helvetica" w:hAnsi="Helvetica"/>
        <w:sz w:val="16"/>
        <w:szCs w:val="16"/>
        <w:lang w:val="en-US"/>
      </w:rPr>
      <w:t>0</w:t>
    </w:r>
    <w:r w:rsidR="00C57F98" w:rsidRPr="00056068">
      <w:rPr>
        <w:rFonts w:ascii="Helvetica" w:hAnsi="Helvetica"/>
        <w:sz w:val="16"/>
        <w:szCs w:val="16"/>
        <w:lang w:val="id-ID"/>
      </w:rPr>
      <w:t>–</w:t>
    </w:r>
    <w:r w:rsidR="00C57F98" w:rsidRPr="00056068">
      <w:rPr>
        <w:rFonts w:ascii="Helvetica" w:hAnsi="Helvetica"/>
        <w:sz w:val="16"/>
        <w:szCs w:val="16"/>
        <w:lang w:val="en-US"/>
      </w:rPr>
      <w:t>5719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6CD2FC" w14:textId="77777777" w:rsidR="000D6978" w:rsidRDefault="000D6978" w:rsidP="00BD0603">
      <w:r>
        <w:separator/>
      </w:r>
    </w:p>
  </w:footnote>
  <w:footnote w:type="continuationSeparator" w:id="0">
    <w:p w14:paraId="7094ACB0" w14:textId="77777777" w:rsidR="000D6978" w:rsidRDefault="000D6978" w:rsidP="00BD0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52820" w14:textId="77777777" w:rsidR="00A225DD" w:rsidRPr="00C36842" w:rsidRDefault="00A225DD" w:rsidP="005606DB">
    <w:pPr>
      <w:pStyle w:val="Header"/>
      <w:tabs>
        <w:tab w:val="right" w:pos="10263"/>
      </w:tabs>
      <w:rPr>
        <w:smallCaps/>
        <w:sz w:val="18"/>
        <w:szCs w:val="18"/>
        <w:lang w:val="en-US"/>
      </w:rPr>
    </w:pPr>
    <w:r w:rsidRPr="00C36842">
      <w:rPr>
        <w:smallCaps/>
        <w:noProof/>
        <w:sz w:val="18"/>
        <w:szCs w:val="18"/>
        <w:lang w:val="en-US"/>
      </w:rPr>
      <w:tab/>
    </w:r>
  </w:p>
  <w:tbl>
    <w:tblPr>
      <w:tblStyle w:val="TableGrid"/>
      <w:tblW w:w="0" w:type="auto"/>
      <w:jc w:val="center"/>
      <w:tblBorders>
        <w:top w:val="none" w:sz="0" w:space="0" w:color="auto"/>
        <w:left w:val="none" w:sz="0" w:space="0" w:color="auto"/>
        <w:right w:val="none" w:sz="0" w:space="0" w:color="auto"/>
      </w:tblBorders>
      <w:tblLayout w:type="fixed"/>
      <w:tblLook w:val="04A0" w:firstRow="1" w:lastRow="0" w:firstColumn="1" w:lastColumn="0" w:noHBand="0" w:noVBand="1"/>
    </w:tblPr>
    <w:tblGrid>
      <w:gridCol w:w="1276"/>
      <w:gridCol w:w="9156"/>
    </w:tblGrid>
    <w:tr w:rsidR="00A225DD" w14:paraId="4219B5AC" w14:textId="77777777" w:rsidTr="00630385">
      <w:trPr>
        <w:jc w:val="center"/>
      </w:trPr>
      <w:tc>
        <w:tcPr>
          <w:tcW w:w="1276" w:type="dxa"/>
          <w:vAlign w:val="center"/>
        </w:tcPr>
        <w:p w14:paraId="3671212D" w14:textId="77777777" w:rsidR="00A225DD" w:rsidRPr="00630385" w:rsidRDefault="00A225DD" w:rsidP="00630385">
          <w:pPr>
            <w:pStyle w:val="Header"/>
            <w:ind w:left="-57"/>
            <w:rPr>
              <w:rFonts w:ascii="Helvetica" w:hAnsi="Helvetica"/>
              <w:b/>
              <w:bCs/>
              <w:color w:val="0070C0"/>
              <w:sz w:val="18"/>
              <w:szCs w:val="18"/>
            </w:rPr>
          </w:pPr>
          <w:r w:rsidRPr="00630385">
            <w:rPr>
              <w:rFonts w:ascii="Helvetica" w:hAnsi="Helvetica"/>
              <w:b/>
              <w:bCs/>
              <w:color w:val="000000" w:themeColor="text1"/>
              <w:sz w:val="18"/>
              <w:szCs w:val="18"/>
            </w:rPr>
            <w:t>ID 2</w:t>
          </w:r>
        </w:p>
      </w:tc>
      <w:tc>
        <w:tcPr>
          <w:tcW w:w="9156" w:type="dxa"/>
        </w:tcPr>
        <w:p w14:paraId="2D12951D" w14:textId="77777777" w:rsidR="00A225DD" w:rsidRPr="00BF420A" w:rsidRDefault="00A225DD" w:rsidP="00630385">
          <w:pPr>
            <w:pStyle w:val="Header"/>
            <w:ind w:left="-57"/>
            <w:jc w:val="right"/>
            <w:rPr>
              <w:rFonts w:ascii="Helvetica" w:hAnsi="Helvetica"/>
              <w:b/>
              <w:bCs/>
              <w:color w:val="0070C0"/>
              <w:sz w:val="20"/>
              <w:szCs w:val="20"/>
            </w:rPr>
          </w:pPr>
          <w:r w:rsidRPr="00BF420A">
            <w:rPr>
              <w:rFonts w:ascii="Helvetica" w:hAnsi="Helvetica"/>
              <w:b/>
              <w:bCs/>
              <w:color w:val="0070C0"/>
              <w:sz w:val="20"/>
              <w:szCs w:val="20"/>
            </w:rPr>
            <w:t>JNTETI</w:t>
          </w:r>
        </w:p>
        <w:p w14:paraId="3CEF443D" w14:textId="77777777" w:rsidR="00A225DD" w:rsidRDefault="00A225DD" w:rsidP="00630385">
          <w:pPr>
            <w:pStyle w:val="Header"/>
            <w:ind w:right="-113"/>
            <w:jc w:val="right"/>
            <w:rPr>
              <w:sz w:val="18"/>
              <w:szCs w:val="18"/>
            </w:rPr>
          </w:pPr>
          <w:r>
            <w:rPr>
              <w:rFonts w:ascii="Helvetica" w:hAnsi="Helvetica"/>
              <w:sz w:val="14"/>
              <w:szCs w:val="14"/>
              <w:lang w:val="en-US"/>
            </w:rPr>
            <w:t>p-</w:t>
          </w:r>
          <w:r w:rsidRPr="00BF420A">
            <w:rPr>
              <w:rFonts w:ascii="Helvetica" w:hAnsi="Helvetica"/>
              <w:sz w:val="14"/>
              <w:szCs w:val="14"/>
              <w:lang w:val="id-ID"/>
            </w:rPr>
            <w:t xml:space="preserve">ISSN 2301–4156 </w:t>
          </w:r>
          <w:r w:rsidRPr="00BF420A">
            <w:rPr>
              <w:rFonts w:ascii="Helvetica" w:hAnsi="Helvetica"/>
              <w:sz w:val="14"/>
              <w:szCs w:val="14"/>
              <w:lang w:val="en-US"/>
            </w:rPr>
            <w:t>| e</w:t>
          </w:r>
          <w:r>
            <w:rPr>
              <w:rFonts w:ascii="Helvetica" w:hAnsi="Helvetica"/>
              <w:sz w:val="14"/>
              <w:szCs w:val="14"/>
              <w:lang w:val="en-US"/>
            </w:rPr>
            <w:t>-ISSN</w:t>
          </w:r>
          <w:r w:rsidRPr="00BF420A">
            <w:rPr>
              <w:rFonts w:ascii="Helvetica" w:hAnsi="Helvetica"/>
              <w:sz w:val="14"/>
              <w:szCs w:val="14"/>
              <w:lang w:val="en-US"/>
            </w:rPr>
            <w:t xml:space="preserve"> 24</w:t>
          </w:r>
          <w:r w:rsidRPr="00BF420A">
            <w:rPr>
              <w:rFonts w:ascii="Helvetica" w:hAnsi="Helvetica"/>
              <w:sz w:val="14"/>
              <w:szCs w:val="14"/>
              <w:lang w:val="id-ID"/>
            </w:rPr>
            <w:t>6</w:t>
          </w:r>
          <w:r w:rsidRPr="00BF420A">
            <w:rPr>
              <w:rFonts w:ascii="Helvetica" w:hAnsi="Helvetica"/>
              <w:sz w:val="14"/>
              <w:szCs w:val="14"/>
              <w:lang w:val="en-US"/>
            </w:rPr>
            <w:t>0</w:t>
          </w:r>
          <w:r w:rsidRPr="00BF420A">
            <w:rPr>
              <w:rFonts w:ascii="Helvetica" w:hAnsi="Helvetica"/>
              <w:sz w:val="14"/>
              <w:szCs w:val="14"/>
              <w:lang w:val="id-ID"/>
            </w:rPr>
            <w:t>–</w:t>
          </w:r>
          <w:r w:rsidRPr="00BF420A">
            <w:rPr>
              <w:rFonts w:ascii="Helvetica" w:hAnsi="Helvetica"/>
              <w:sz w:val="14"/>
              <w:szCs w:val="14"/>
              <w:lang w:val="en-US"/>
            </w:rPr>
            <w:t>5719</w:t>
          </w:r>
        </w:p>
      </w:tc>
    </w:tr>
  </w:tbl>
  <w:p w14:paraId="6F5B5555" w14:textId="77777777" w:rsidR="00A225DD" w:rsidRPr="00C36842" w:rsidRDefault="00A225DD" w:rsidP="005606DB">
    <w:pPr>
      <w:pStyle w:val="Header"/>
      <w:tabs>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C7590B" w:rsidRPr="004B58E2" w14:paraId="5AE850D4" w14:textId="77777777" w:rsidTr="00A04C28">
      <w:tc>
        <w:tcPr>
          <w:tcW w:w="10422" w:type="dxa"/>
        </w:tcPr>
        <w:p w14:paraId="68B44EBF" w14:textId="6F7B52F5" w:rsidR="00C7590B" w:rsidRPr="004B58E2" w:rsidRDefault="00C7590B" w:rsidP="00B26BA3">
          <w:pPr>
            <w:pStyle w:val="Header"/>
            <w:ind w:left="-113" w:right="-113"/>
            <w:rPr>
              <w:rFonts w:ascii="Helvetica" w:hAnsi="Helvetica"/>
              <w:b/>
              <w:bCs/>
              <w:color w:val="0070C0"/>
              <w:sz w:val="18"/>
              <w:szCs w:val="18"/>
            </w:rPr>
          </w:pPr>
          <w:r w:rsidRPr="004B58E2">
            <w:rPr>
              <w:rFonts w:ascii="Helvetica" w:hAnsi="Helvetica"/>
              <w:b/>
              <w:bCs/>
              <w:color w:val="0070C0"/>
              <w:sz w:val="18"/>
              <w:szCs w:val="18"/>
            </w:rPr>
            <w:t>J</w:t>
          </w:r>
          <w:r w:rsidR="00DE7F64">
            <w:rPr>
              <w:rFonts w:ascii="Helvetica" w:hAnsi="Helvetica"/>
              <w:b/>
              <w:bCs/>
              <w:color w:val="0070C0"/>
              <w:sz w:val="18"/>
              <w:szCs w:val="18"/>
            </w:rPr>
            <w:t>urnal</w:t>
          </w:r>
          <w:r w:rsidRPr="004B58E2">
            <w:rPr>
              <w:rFonts w:ascii="Helvetica" w:hAnsi="Helvetica"/>
              <w:b/>
              <w:bCs/>
              <w:color w:val="0070C0"/>
              <w:sz w:val="18"/>
              <w:szCs w:val="18"/>
            </w:rPr>
            <w:t xml:space="preserve"> N</w:t>
          </w:r>
          <w:r w:rsidR="00DE7F64">
            <w:rPr>
              <w:rFonts w:ascii="Helvetica" w:hAnsi="Helvetica"/>
              <w:b/>
              <w:bCs/>
              <w:color w:val="0070C0"/>
              <w:sz w:val="18"/>
              <w:szCs w:val="18"/>
            </w:rPr>
            <w:t>asional</w:t>
          </w:r>
          <w:r w:rsidRPr="004B58E2">
            <w:rPr>
              <w:rFonts w:ascii="Helvetica" w:hAnsi="Helvetica"/>
              <w:b/>
              <w:bCs/>
              <w:color w:val="0070C0"/>
              <w:sz w:val="18"/>
              <w:szCs w:val="18"/>
            </w:rPr>
            <w:t xml:space="preserve"> T</w:t>
          </w:r>
          <w:r w:rsidR="00DE7F64">
            <w:rPr>
              <w:rFonts w:ascii="Helvetica" w:hAnsi="Helvetica"/>
              <w:b/>
              <w:bCs/>
              <w:color w:val="0070C0"/>
              <w:sz w:val="18"/>
              <w:szCs w:val="18"/>
            </w:rPr>
            <w:t>eknik</w:t>
          </w:r>
          <w:r w:rsidRPr="004B58E2">
            <w:rPr>
              <w:rFonts w:ascii="Helvetica" w:hAnsi="Helvetica"/>
              <w:b/>
              <w:bCs/>
              <w:color w:val="0070C0"/>
              <w:sz w:val="18"/>
              <w:szCs w:val="18"/>
            </w:rPr>
            <w:t xml:space="preserve"> E</w:t>
          </w:r>
          <w:r w:rsidR="00DE7F64">
            <w:rPr>
              <w:rFonts w:ascii="Helvetica" w:hAnsi="Helvetica"/>
              <w:b/>
              <w:bCs/>
              <w:color w:val="0070C0"/>
              <w:sz w:val="18"/>
              <w:szCs w:val="18"/>
            </w:rPr>
            <w:t>lektro</w:t>
          </w:r>
          <w:r w:rsidRPr="004B58E2">
            <w:rPr>
              <w:rFonts w:ascii="Helvetica" w:hAnsi="Helvetica"/>
              <w:b/>
              <w:bCs/>
              <w:color w:val="0070C0"/>
              <w:sz w:val="18"/>
              <w:szCs w:val="18"/>
            </w:rPr>
            <w:t xml:space="preserve"> </w:t>
          </w:r>
          <w:r w:rsidR="00DE7F64">
            <w:rPr>
              <w:rFonts w:ascii="Helvetica" w:hAnsi="Helvetica"/>
              <w:b/>
              <w:bCs/>
              <w:color w:val="0070C0"/>
              <w:sz w:val="18"/>
              <w:szCs w:val="18"/>
            </w:rPr>
            <w:t>dan</w:t>
          </w:r>
          <w:r w:rsidRPr="004B58E2">
            <w:rPr>
              <w:rFonts w:ascii="Helvetica" w:hAnsi="Helvetica"/>
              <w:b/>
              <w:bCs/>
              <w:color w:val="0070C0"/>
              <w:sz w:val="18"/>
              <w:szCs w:val="18"/>
            </w:rPr>
            <w:t xml:space="preserve"> T</w:t>
          </w:r>
          <w:r w:rsidR="00DE7F64">
            <w:rPr>
              <w:rFonts w:ascii="Helvetica" w:hAnsi="Helvetica"/>
              <w:b/>
              <w:bCs/>
              <w:color w:val="0070C0"/>
              <w:sz w:val="18"/>
              <w:szCs w:val="18"/>
            </w:rPr>
            <w:t>eknologi</w:t>
          </w:r>
          <w:r w:rsidRPr="004B58E2">
            <w:rPr>
              <w:rFonts w:ascii="Helvetica" w:hAnsi="Helvetica"/>
              <w:b/>
              <w:bCs/>
              <w:color w:val="0070C0"/>
              <w:sz w:val="18"/>
              <w:szCs w:val="18"/>
            </w:rPr>
            <w:t xml:space="preserve"> I</w:t>
          </w:r>
          <w:r w:rsidR="00DE7F64">
            <w:rPr>
              <w:rFonts w:ascii="Helvetica" w:hAnsi="Helvetica"/>
              <w:b/>
              <w:bCs/>
              <w:color w:val="0070C0"/>
              <w:sz w:val="18"/>
              <w:szCs w:val="18"/>
            </w:rPr>
            <w:t>nformasi</w:t>
          </w:r>
        </w:p>
        <w:p w14:paraId="3AF65119" w14:textId="5BC623A3" w:rsidR="00C7590B" w:rsidRDefault="00912BD7" w:rsidP="00B26BA3">
          <w:pPr>
            <w:pStyle w:val="Header"/>
            <w:ind w:left="-113" w:right="-113"/>
            <w:rPr>
              <w:rFonts w:ascii="Helvetica" w:hAnsi="Helvetica"/>
              <w:sz w:val="14"/>
              <w:szCs w:val="14"/>
            </w:rPr>
          </w:pPr>
          <w:r w:rsidRPr="00021716">
            <w:rPr>
              <w:rFonts w:ascii="Helvetica" w:hAnsi="Helvetica"/>
              <w:sz w:val="14"/>
              <w:szCs w:val="14"/>
            </w:rPr>
            <w:t>Volume 1</w:t>
          </w:r>
          <w:r w:rsidR="00DE7F64">
            <w:rPr>
              <w:rFonts w:ascii="Helvetica" w:hAnsi="Helvetica"/>
              <w:sz w:val="14"/>
              <w:szCs w:val="14"/>
            </w:rPr>
            <w:t>4</w:t>
          </w:r>
          <w:r w:rsidRPr="00021716">
            <w:rPr>
              <w:rFonts w:ascii="Helvetica" w:hAnsi="Helvetica"/>
              <w:sz w:val="14"/>
              <w:szCs w:val="14"/>
            </w:rPr>
            <w:t xml:space="preserve"> Number </w:t>
          </w:r>
          <w:r w:rsidR="001E4ADD">
            <w:rPr>
              <w:rFonts w:ascii="Helvetica" w:hAnsi="Helvetica"/>
              <w:sz w:val="14"/>
              <w:szCs w:val="14"/>
            </w:rPr>
            <w:t>1</w:t>
          </w:r>
          <w:r w:rsidRPr="00021716">
            <w:rPr>
              <w:rFonts w:ascii="Helvetica" w:hAnsi="Helvetica"/>
              <w:sz w:val="14"/>
              <w:szCs w:val="14"/>
            </w:rPr>
            <w:t xml:space="preserve"> </w:t>
          </w:r>
          <w:r w:rsidR="001E4ADD">
            <w:rPr>
              <w:rFonts w:ascii="Helvetica" w:hAnsi="Helvetica"/>
              <w:sz w:val="14"/>
              <w:szCs w:val="14"/>
            </w:rPr>
            <w:t>February 202</w:t>
          </w:r>
          <w:r w:rsidR="00DE7F64">
            <w:rPr>
              <w:rFonts w:ascii="Helvetica" w:hAnsi="Helvetica"/>
              <w:sz w:val="14"/>
              <w:szCs w:val="14"/>
            </w:rPr>
            <w:t>5</w:t>
          </w:r>
        </w:p>
        <w:p w14:paraId="6A690B6D" w14:textId="53FAEAF5" w:rsidR="00912BD7" w:rsidRPr="00912BD7" w:rsidRDefault="00912BD7" w:rsidP="00912BD7">
          <w:pPr>
            <w:pStyle w:val="Header"/>
            <w:ind w:left="-57"/>
            <w:rPr>
              <w:color w:val="000000" w:themeColor="text1"/>
              <w:sz w:val="14"/>
              <w:szCs w:val="14"/>
            </w:rPr>
          </w:pPr>
        </w:p>
      </w:tc>
    </w:tr>
  </w:tbl>
  <w:p w14:paraId="393EA239" w14:textId="3CDD3DF1" w:rsidR="00A225DD" w:rsidRPr="00C36842" w:rsidRDefault="00A225DD" w:rsidP="005376F2">
    <w:pPr>
      <w:pStyle w:val="Head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C7590B" w:rsidRPr="00056068" w14:paraId="4CAD03D7" w14:textId="77777777" w:rsidTr="00B34A38">
      <w:tc>
        <w:tcPr>
          <w:tcW w:w="10422" w:type="dxa"/>
        </w:tcPr>
        <w:p w14:paraId="72C7063A" w14:textId="3DF4BEBE" w:rsidR="00C7590B" w:rsidRPr="00056068" w:rsidRDefault="00DE7F64" w:rsidP="00B26BA3">
          <w:pPr>
            <w:pStyle w:val="Header"/>
            <w:ind w:left="-113" w:right="-113"/>
            <w:jc w:val="right"/>
            <w:rPr>
              <w:rFonts w:ascii="Helvetica" w:hAnsi="Helvetica"/>
              <w:b/>
              <w:bCs/>
              <w:color w:val="0070C0"/>
              <w:sz w:val="18"/>
              <w:szCs w:val="18"/>
            </w:rPr>
          </w:pPr>
          <w:r>
            <w:rPr>
              <w:rFonts w:ascii="Helvetica" w:hAnsi="Helvetica"/>
              <w:b/>
              <w:bCs/>
              <w:color w:val="0070C0"/>
              <w:sz w:val="18"/>
              <w:szCs w:val="18"/>
            </w:rPr>
            <w:t>Jurnal Nasional Teknik Elektro dan Teknologi Informasi</w:t>
          </w:r>
        </w:p>
        <w:p w14:paraId="245BEE56" w14:textId="76D4317E" w:rsidR="005C60FB" w:rsidRPr="00056068" w:rsidRDefault="005C60FB" w:rsidP="00B26BA3">
          <w:pPr>
            <w:pStyle w:val="Header"/>
            <w:ind w:left="-113" w:right="-113"/>
            <w:jc w:val="right"/>
            <w:rPr>
              <w:rFonts w:ascii="Helvetica" w:hAnsi="Helvetica"/>
              <w:sz w:val="14"/>
              <w:szCs w:val="14"/>
            </w:rPr>
          </w:pPr>
          <w:r w:rsidRPr="00056068">
            <w:rPr>
              <w:rFonts w:ascii="Helvetica" w:hAnsi="Helvetica"/>
              <w:sz w:val="14"/>
              <w:szCs w:val="14"/>
            </w:rPr>
            <w:t>Volume 1</w:t>
          </w:r>
          <w:r w:rsidR="00DE7F64">
            <w:rPr>
              <w:rFonts w:ascii="Helvetica" w:hAnsi="Helvetica"/>
              <w:sz w:val="14"/>
              <w:szCs w:val="14"/>
            </w:rPr>
            <w:t>4</w:t>
          </w:r>
          <w:r w:rsidRPr="00056068">
            <w:rPr>
              <w:rFonts w:ascii="Helvetica" w:hAnsi="Helvetica"/>
              <w:sz w:val="14"/>
              <w:szCs w:val="14"/>
            </w:rPr>
            <w:t xml:space="preserve"> Number </w:t>
          </w:r>
          <w:r w:rsidR="001E4ADD">
            <w:rPr>
              <w:rFonts w:ascii="Helvetica" w:hAnsi="Helvetica"/>
              <w:sz w:val="14"/>
              <w:szCs w:val="14"/>
            </w:rPr>
            <w:t>1</w:t>
          </w:r>
          <w:r w:rsidRPr="00056068">
            <w:rPr>
              <w:rFonts w:ascii="Helvetica" w:hAnsi="Helvetica"/>
              <w:sz w:val="14"/>
              <w:szCs w:val="14"/>
            </w:rPr>
            <w:t xml:space="preserve"> </w:t>
          </w:r>
          <w:r w:rsidR="001E4ADD">
            <w:rPr>
              <w:rFonts w:ascii="Helvetica" w:hAnsi="Helvetica"/>
              <w:sz w:val="14"/>
              <w:szCs w:val="14"/>
            </w:rPr>
            <w:t>February 202</w:t>
          </w:r>
          <w:r w:rsidR="00DE7F64">
            <w:rPr>
              <w:rFonts w:ascii="Helvetica" w:hAnsi="Helvetica"/>
              <w:sz w:val="14"/>
              <w:szCs w:val="14"/>
            </w:rPr>
            <w:t>4</w:t>
          </w:r>
        </w:p>
        <w:p w14:paraId="41B15F97" w14:textId="3C7BC1CF" w:rsidR="00C7590B" w:rsidRPr="00056068" w:rsidRDefault="00C7590B" w:rsidP="00C32FC5">
          <w:pPr>
            <w:pStyle w:val="Header"/>
            <w:ind w:right="-113"/>
            <w:jc w:val="right"/>
            <w:rPr>
              <w:color w:val="000000" w:themeColor="text1"/>
              <w:sz w:val="18"/>
              <w:szCs w:val="18"/>
            </w:rPr>
          </w:pPr>
        </w:p>
      </w:tc>
    </w:tr>
  </w:tbl>
  <w:p w14:paraId="3845051A" w14:textId="15DB9A7C" w:rsidR="00C1327B" w:rsidRPr="00031C01" w:rsidRDefault="00C1327B" w:rsidP="00E67D30">
    <w:pPr>
      <w:pStyle w:val="Header"/>
      <w:tabs>
        <w:tab w:val="clear" w:pos="4513"/>
        <w:tab w:val="clear" w:pos="9026"/>
        <w:tab w:val="right" w:pos="10263"/>
      </w:tabs>
      <w:rPr>
        <w:sz w:val="18"/>
        <w:szCs w:val="18"/>
        <w:lang w:val="id-ID"/>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C7590B" w:rsidRPr="004B58E2" w14:paraId="6BD20BB8" w14:textId="77777777" w:rsidTr="009A6CAA">
      <w:tc>
        <w:tcPr>
          <w:tcW w:w="10422" w:type="dxa"/>
        </w:tcPr>
        <w:p w14:paraId="2698DADB" w14:textId="77777777" w:rsidR="00DE7F64" w:rsidRPr="004B58E2" w:rsidRDefault="00DE7F64" w:rsidP="00DE7F64">
          <w:pPr>
            <w:pStyle w:val="Header"/>
            <w:ind w:left="-113" w:right="-113"/>
            <w:rPr>
              <w:rFonts w:ascii="Helvetica" w:hAnsi="Helvetica"/>
              <w:b/>
              <w:bCs/>
              <w:color w:val="0070C0"/>
              <w:sz w:val="18"/>
              <w:szCs w:val="18"/>
            </w:rPr>
          </w:pPr>
          <w:r w:rsidRPr="004B58E2">
            <w:rPr>
              <w:rFonts w:ascii="Helvetica" w:hAnsi="Helvetica"/>
              <w:b/>
              <w:bCs/>
              <w:color w:val="0070C0"/>
              <w:sz w:val="18"/>
              <w:szCs w:val="18"/>
            </w:rPr>
            <w:t>J</w:t>
          </w:r>
          <w:r>
            <w:rPr>
              <w:rFonts w:ascii="Helvetica" w:hAnsi="Helvetica"/>
              <w:b/>
              <w:bCs/>
              <w:color w:val="0070C0"/>
              <w:sz w:val="18"/>
              <w:szCs w:val="18"/>
            </w:rPr>
            <w:t>urnal</w:t>
          </w:r>
          <w:r w:rsidRPr="004B58E2">
            <w:rPr>
              <w:rFonts w:ascii="Helvetica" w:hAnsi="Helvetica"/>
              <w:b/>
              <w:bCs/>
              <w:color w:val="0070C0"/>
              <w:sz w:val="18"/>
              <w:szCs w:val="18"/>
            </w:rPr>
            <w:t xml:space="preserve"> N</w:t>
          </w:r>
          <w:r>
            <w:rPr>
              <w:rFonts w:ascii="Helvetica" w:hAnsi="Helvetica"/>
              <w:b/>
              <w:bCs/>
              <w:color w:val="0070C0"/>
              <w:sz w:val="18"/>
              <w:szCs w:val="18"/>
            </w:rPr>
            <w:t>asional</w:t>
          </w:r>
          <w:r w:rsidRPr="004B58E2">
            <w:rPr>
              <w:rFonts w:ascii="Helvetica" w:hAnsi="Helvetica"/>
              <w:b/>
              <w:bCs/>
              <w:color w:val="0070C0"/>
              <w:sz w:val="18"/>
              <w:szCs w:val="18"/>
            </w:rPr>
            <w:t xml:space="preserve"> T</w:t>
          </w:r>
          <w:r>
            <w:rPr>
              <w:rFonts w:ascii="Helvetica" w:hAnsi="Helvetica"/>
              <w:b/>
              <w:bCs/>
              <w:color w:val="0070C0"/>
              <w:sz w:val="18"/>
              <w:szCs w:val="18"/>
            </w:rPr>
            <w:t>eknik</w:t>
          </w:r>
          <w:r w:rsidRPr="004B58E2">
            <w:rPr>
              <w:rFonts w:ascii="Helvetica" w:hAnsi="Helvetica"/>
              <w:b/>
              <w:bCs/>
              <w:color w:val="0070C0"/>
              <w:sz w:val="18"/>
              <w:szCs w:val="18"/>
            </w:rPr>
            <w:t xml:space="preserve"> E</w:t>
          </w:r>
          <w:r>
            <w:rPr>
              <w:rFonts w:ascii="Helvetica" w:hAnsi="Helvetica"/>
              <w:b/>
              <w:bCs/>
              <w:color w:val="0070C0"/>
              <w:sz w:val="18"/>
              <w:szCs w:val="18"/>
            </w:rPr>
            <w:t>lektro</w:t>
          </w:r>
          <w:r w:rsidRPr="004B58E2">
            <w:rPr>
              <w:rFonts w:ascii="Helvetica" w:hAnsi="Helvetica"/>
              <w:b/>
              <w:bCs/>
              <w:color w:val="0070C0"/>
              <w:sz w:val="18"/>
              <w:szCs w:val="18"/>
            </w:rPr>
            <w:t xml:space="preserve"> </w:t>
          </w:r>
          <w:r>
            <w:rPr>
              <w:rFonts w:ascii="Helvetica" w:hAnsi="Helvetica"/>
              <w:b/>
              <w:bCs/>
              <w:color w:val="0070C0"/>
              <w:sz w:val="18"/>
              <w:szCs w:val="18"/>
            </w:rPr>
            <w:t>dan</w:t>
          </w:r>
          <w:r w:rsidRPr="004B58E2">
            <w:rPr>
              <w:rFonts w:ascii="Helvetica" w:hAnsi="Helvetica"/>
              <w:b/>
              <w:bCs/>
              <w:color w:val="0070C0"/>
              <w:sz w:val="18"/>
              <w:szCs w:val="18"/>
            </w:rPr>
            <w:t xml:space="preserve"> T</w:t>
          </w:r>
          <w:r>
            <w:rPr>
              <w:rFonts w:ascii="Helvetica" w:hAnsi="Helvetica"/>
              <w:b/>
              <w:bCs/>
              <w:color w:val="0070C0"/>
              <w:sz w:val="18"/>
              <w:szCs w:val="18"/>
            </w:rPr>
            <w:t>eknologi</w:t>
          </w:r>
          <w:r w:rsidRPr="004B58E2">
            <w:rPr>
              <w:rFonts w:ascii="Helvetica" w:hAnsi="Helvetica"/>
              <w:b/>
              <w:bCs/>
              <w:color w:val="0070C0"/>
              <w:sz w:val="18"/>
              <w:szCs w:val="18"/>
            </w:rPr>
            <w:t xml:space="preserve"> I</w:t>
          </w:r>
          <w:r>
            <w:rPr>
              <w:rFonts w:ascii="Helvetica" w:hAnsi="Helvetica"/>
              <w:b/>
              <w:bCs/>
              <w:color w:val="0070C0"/>
              <w:sz w:val="18"/>
              <w:szCs w:val="18"/>
            </w:rPr>
            <w:t>nformasi</w:t>
          </w:r>
        </w:p>
        <w:p w14:paraId="45312069" w14:textId="1E15EEFA" w:rsidR="00C57F98" w:rsidRDefault="00C57F98" w:rsidP="00B26BA3">
          <w:pPr>
            <w:pStyle w:val="Header"/>
            <w:ind w:left="-113" w:right="-113"/>
            <w:rPr>
              <w:rFonts w:ascii="Helvetica" w:hAnsi="Helvetica"/>
              <w:sz w:val="14"/>
              <w:szCs w:val="14"/>
            </w:rPr>
          </w:pPr>
          <w:r w:rsidRPr="00021716">
            <w:rPr>
              <w:rFonts w:ascii="Helvetica" w:hAnsi="Helvetica"/>
              <w:sz w:val="14"/>
              <w:szCs w:val="14"/>
            </w:rPr>
            <w:t>Volume 1</w:t>
          </w:r>
          <w:r w:rsidR="00DE7F64">
            <w:rPr>
              <w:rFonts w:ascii="Helvetica" w:hAnsi="Helvetica"/>
              <w:sz w:val="14"/>
              <w:szCs w:val="14"/>
            </w:rPr>
            <w:t>4</w:t>
          </w:r>
          <w:r w:rsidRPr="00021716">
            <w:rPr>
              <w:rFonts w:ascii="Helvetica" w:hAnsi="Helvetica"/>
              <w:sz w:val="14"/>
              <w:szCs w:val="14"/>
            </w:rPr>
            <w:t xml:space="preserve"> Number </w:t>
          </w:r>
          <w:r>
            <w:rPr>
              <w:rFonts w:ascii="Helvetica" w:hAnsi="Helvetica"/>
              <w:sz w:val="14"/>
              <w:szCs w:val="14"/>
            </w:rPr>
            <w:t>1</w:t>
          </w:r>
          <w:r w:rsidRPr="00021716">
            <w:rPr>
              <w:rFonts w:ascii="Helvetica" w:hAnsi="Helvetica"/>
              <w:sz w:val="14"/>
              <w:szCs w:val="14"/>
            </w:rPr>
            <w:t xml:space="preserve"> </w:t>
          </w:r>
          <w:r>
            <w:rPr>
              <w:rFonts w:ascii="Helvetica" w:hAnsi="Helvetica"/>
              <w:sz w:val="14"/>
              <w:szCs w:val="14"/>
            </w:rPr>
            <w:t>February 202</w:t>
          </w:r>
          <w:r w:rsidR="00DE7F64">
            <w:rPr>
              <w:rFonts w:ascii="Helvetica" w:hAnsi="Helvetica"/>
              <w:sz w:val="14"/>
              <w:szCs w:val="14"/>
            </w:rPr>
            <w:t>5</w:t>
          </w:r>
        </w:p>
        <w:p w14:paraId="0EBC6096" w14:textId="06AC0751" w:rsidR="00C7590B" w:rsidRPr="004B58E2" w:rsidRDefault="00C7590B" w:rsidP="0098478D">
          <w:pPr>
            <w:pStyle w:val="Header"/>
            <w:ind w:right="-113"/>
            <w:jc w:val="right"/>
            <w:rPr>
              <w:color w:val="000000" w:themeColor="text1"/>
              <w:sz w:val="18"/>
              <w:szCs w:val="18"/>
            </w:rPr>
          </w:pPr>
        </w:p>
      </w:tc>
    </w:tr>
  </w:tbl>
  <w:p w14:paraId="4A1E558E" w14:textId="59086F56" w:rsidR="00C1327B" w:rsidRPr="0098478D" w:rsidRDefault="00C1327B" w:rsidP="009847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54AA5B8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23E2E4D"/>
    <w:multiLevelType w:val="multilevel"/>
    <w:tmpl w:val="794E3AB8"/>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CAE0F60"/>
    <w:multiLevelType w:val="hybridMultilevel"/>
    <w:tmpl w:val="D2CA1EFC"/>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 w15:restartNumberingAfterBreak="0">
    <w:nsid w:val="2B855861"/>
    <w:multiLevelType w:val="multilevel"/>
    <w:tmpl w:val="F03245C6"/>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328273D7"/>
    <w:multiLevelType w:val="multilevel"/>
    <w:tmpl w:val="9C8E938C"/>
    <w:numStyleLink w:val="IEEEBullet1"/>
  </w:abstractNum>
  <w:abstractNum w:abstractNumId="5"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50232215"/>
    <w:multiLevelType w:val="multilevel"/>
    <w:tmpl w:val="BD6C675A"/>
    <w:lvl w:ilvl="0">
      <w:start w:val="1"/>
      <w:numFmt w:val="upperLetter"/>
      <w:pStyle w:val="IEEEHeading2"/>
      <w:lvlText w:val="%1."/>
      <w:lvlJc w:val="left"/>
      <w:pPr>
        <w:tabs>
          <w:tab w:val="num" w:pos="288"/>
        </w:tabs>
        <w:ind w:left="288" w:hanging="288"/>
      </w:pPr>
      <w:rPr>
        <w:rFonts w:ascii="Helvetica" w:eastAsia="Arial Unicode MS" w:hAnsi="Helvetica" w:cs="Times New Roman" w:hint="default"/>
        <w:b/>
        <w:bCs w:val="0"/>
        <w:i/>
        <w:iCs w:val="0"/>
        <w:caps/>
        <w:strike w:val="0"/>
        <w:dstrike w:val="0"/>
        <w:vanish w:val="0"/>
        <w:color w:val="404040" w:themeColor="text1" w:themeTint="BF"/>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6A7F4B21"/>
    <w:multiLevelType w:val="multilevel"/>
    <w:tmpl w:val="B7A81CEE"/>
    <w:lvl w:ilvl="0">
      <w:start w:val="1"/>
      <w:numFmt w:val="decimal"/>
      <w:pStyle w:val="IEEEHeading3"/>
      <w:suff w:val="nothing"/>
      <w:lvlText w:val="%1)  "/>
      <w:lvlJc w:val="left"/>
      <w:pPr>
        <w:ind w:left="0" w:firstLine="0"/>
      </w:pPr>
      <w:rPr>
        <w:rFonts w:hint="default"/>
        <w:i w:val="0"/>
        <w:iCs/>
        <w:color w:val="404040" w:themeColor="text1" w:themeTint="BF"/>
        <w:sz w:val="18"/>
        <w:szCs w:val="18"/>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8" w15:restartNumberingAfterBreak="0">
    <w:nsid w:val="7452357D"/>
    <w:multiLevelType w:val="multilevel"/>
    <w:tmpl w:val="892A7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4611862">
    <w:abstractNumId w:val="7"/>
  </w:num>
  <w:num w:numId="2" w16cid:durableId="366494093">
    <w:abstractNumId w:val="5"/>
  </w:num>
  <w:num w:numId="3" w16cid:durableId="2092699180">
    <w:abstractNumId w:val="4"/>
    <w:lvlOverride w:ilvl="0">
      <w:lvl w:ilvl="0">
        <w:start w:val="1"/>
        <w:numFmt w:val="bullet"/>
        <w:lvlText w:val=""/>
        <w:lvlJc w:val="left"/>
        <w:pPr>
          <w:tabs>
            <w:tab w:val="num" w:pos="504"/>
          </w:tabs>
          <w:ind w:left="504" w:hanging="216"/>
        </w:pPr>
        <w:rPr>
          <w:rFonts w:ascii="Symbol" w:hAnsi="Symbol" w:cs="Times New Roman" w:hint="default"/>
          <w:sz w:val="16"/>
          <w:szCs w:val="16"/>
        </w:rPr>
      </w:lvl>
    </w:lvlOverride>
  </w:num>
  <w:num w:numId="4" w16cid:durableId="1452479035">
    <w:abstractNumId w:val="1"/>
  </w:num>
  <w:num w:numId="5" w16cid:durableId="54204546">
    <w:abstractNumId w:val="3"/>
  </w:num>
  <w:num w:numId="6" w16cid:durableId="14729435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719276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0365446">
    <w:abstractNumId w:val="1"/>
  </w:num>
  <w:num w:numId="9" w16cid:durableId="342632734">
    <w:abstractNumId w:val="2"/>
  </w:num>
  <w:num w:numId="10" w16cid:durableId="97062617">
    <w:abstractNumId w:val="8"/>
  </w:num>
  <w:num w:numId="11" w16cid:durableId="331952159">
    <w:abstractNumId w:val="0"/>
  </w:num>
  <w:num w:numId="12" w16cid:durableId="23216247">
    <w:abstractNumId w:val="7"/>
  </w:num>
  <w:num w:numId="13" w16cid:durableId="14779876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564249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320558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34103775">
    <w:abstractNumId w:val="1"/>
  </w:num>
  <w:num w:numId="17" w16cid:durableId="15536915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num>
  <w:num w:numId="19">
    <w:abstractNumId w:val="6"/>
    <w:lvlOverride w:ilvl="0">
      <w:startOverride w:val="1"/>
    </w:lvlOverride>
  </w:num>
  <w:num w:numId="2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K3NLOwsDCwMLawNDdV0lEKTi0uzszPAykwrgUAOhHEiywAAAA="/>
  </w:docVars>
  <w:rsids>
    <w:rsidRoot w:val="00BD0603"/>
    <w:rsid w:val="00021716"/>
    <w:rsid w:val="000306F2"/>
    <w:rsid w:val="00030F91"/>
    <w:rsid w:val="0003115F"/>
    <w:rsid w:val="00031C01"/>
    <w:rsid w:val="0003372A"/>
    <w:rsid w:val="00034F66"/>
    <w:rsid w:val="00035ED6"/>
    <w:rsid w:val="0004041F"/>
    <w:rsid w:val="00041758"/>
    <w:rsid w:val="000533A6"/>
    <w:rsid w:val="00056068"/>
    <w:rsid w:val="00064E57"/>
    <w:rsid w:val="00082883"/>
    <w:rsid w:val="00083384"/>
    <w:rsid w:val="00092823"/>
    <w:rsid w:val="000B010C"/>
    <w:rsid w:val="000B32CC"/>
    <w:rsid w:val="000B5D90"/>
    <w:rsid w:val="000B6B34"/>
    <w:rsid w:val="000C0362"/>
    <w:rsid w:val="000C46D5"/>
    <w:rsid w:val="000D0B5D"/>
    <w:rsid w:val="000D43FC"/>
    <w:rsid w:val="000D6978"/>
    <w:rsid w:val="000D7620"/>
    <w:rsid w:val="000F409E"/>
    <w:rsid w:val="00102241"/>
    <w:rsid w:val="00102E2A"/>
    <w:rsid w:val="00107FB1"/>
    <w:rsid w:val="00110146"/>
    <w:rsid w:val="00115D9D"/>
    <w:rsid w:val="00116A54"/>
    <w:rsid w:val="0011720E"/>
    <w:rsid w:val="00120A74"/>
    <w:rsid w:val="001216D6"/>
    <w:rsid w:val="00122DFA"/>
    <w:rsid w:val="00123B56"/>
    <w:rsid w:val="0012441E"/>
    <w:rsid w:val="00124973"/>
    <w:rsid w:val="00124F81"/>
    <w:rsid w:val="00126373"/>
    <w:rsid w:val="00126D0B"/>
    <w:rsid w:val="0013492F"/>
    <w:rsid w:val="001362CC"/>
    <w:rsid w:val="00137D11"/>
    <w:rsid w:val="0014160D"/>
    <w:rsid w:val="001422F9"/>
    <w:rsid w:val="00146857"/>
    <w:rsid w:val="001476C2"/>
    <w:rsid w:val="00147BAB"/>
    <w:rsid w:val="00153EF2"/>
    <w:rsid w:val="00155DB5"/>
    <w:rsid w:val="00156FD2"/>
    <w:rsid w:val="001636BC"/>
    <w:rsid w:val="00182949"/>
    <w:rsid w:val="001859D5"/>
    <w:rsid w:val="00192EC9"/>
    <w:rsid w:val="0019442E"/>
    <w:rsid w:val="001A2B01"/>
    <w:rsid w:val="001A2C97"/>
    <w:rsid w:val="001A2F59"/>
    <w:rsid w:val="001B0255"/>
    <w:rsid w:val="001B20F0"/>
    <w:rsid w:val="001C04DE"/>
    <w:rsid w:val="001C4629"/>
    <w:rsid w:val="001D0B87"/>
    <w:rsid w:val="001D1B2C"/>
    <w:rsid w:val="001D2FA4"/>
    <w:rsid w:val="001D4E3A"/>
    <w:rsid w:val="001E25B5"/>
    <w:rsid w:val="001E261F"/>
    <w:rsid w:val="001E2F22"/>
    <w:rsid w:val="001E47AD"/>
    <w:rsid w:val="001E47C6"/>
    <w:rsid w:val="001E4ADD"/>
    <w:rsid w:val="001F2BCF"/>
    <w:rsid w:val="001F2CDB"/>
    <w:rsid w:val="00200B17"/>
    <w:rsid w:val="00201692"/>
    <w:rsid w:val="002118AB"/>
    <w:rsid w:val="00217E3F"/>
    <w:rsid w:val="00227646"/>
    <w:rsid w:val="00227C36"/>
    <w:rsid w:val="00233616"/>
    <w:rsid w:val="00234ADC"/>
    <w:rsid w:val="00234DFF"/>
    <w:rsid w:val="0024218B"/>
    <w:rsid w:val="002444D2"/>
    <w:rsid w:val="0024617A"/>
    <w:rsid w:val="00256AEB"/>
    <w:rsid w:val="002570BA"/>
    <w:rsid w:val="002606A6"/>
    <w:rsid w:val="002612AA"/>
    <w:rsid w:val="00265FB7"/>
    <w:rsid w:val="0027407F"/>
    <w:rsid w:val="0028440A"/>
    <w:rsid w:val="002859CE"/>
    <w:rsid w:val="00286931"/>
    <w:rsid w:val="00287111"/>
    <w:rsid w:val="002918AB"/>
    <w:rsid w:val="00297258"/>
    <w:rsid w:val="002B584F"/>
    <w:rsid w:val="002C5D38"/>
    <w:rsid w:val="002D2A81"/>
    <w:rsid w:val="002D62C0"/>
    <w:rsid w:val="002E490D"/>
    <w:rsid w:val="002E4CFE"/>
    <w:rsid w:val="002E7388"/>
    <w:rsid w:val="002F1CF4"/>
    <w:rsid w:val="002F44DE"/>
    <w:rsid w:val="002F5F14"/>
    <w:rsid w:val="002F6F2D"/>
    <w:rsid w:val="003011B0"/>
    <w:rsid w:val="0031494B"/>
    <w:rsid w:val="003169D3"/>
    <w:rsid w:val="00317016"/>
    <w:rsid w:val="00321392"/>
    <w:rsid w:val="003218CC"/>
    <w:rsid w:val="00324751"/>
    <w:rsid w:val="00325DDE"/>
    <w:rsid w:val="00332C02"/>
    <w:rsid w:val="00341B61"/>
    <w:rsid w:val="00353167"/>
    <w:rsid w:val="00353F88"/>
    <w:rsid w:val="00364936"/>
    <w:rsid w:val="003665E7"/>
    <w:rsid w:val="003702F0"/>
    <w:rsid w:val="0037483F"/>
    <w:rsid w:val="00376ED7"/>
    <w:rsid w:val="00380BE1"/>
    <w:rsid w:val="00381522"/>
    <w:rsid w:val="00381E43"/>
    <w:rsid w:val="00381F13"/>
    <w:rsid w:val="00386966"/>
    <w:rsid w:val="00386B95"/>
    <w:rsid w:val="00392850"/>
    <w:rsid w:val="00393D56"/>
    <w:rsid w:val="003A1196"/>
    <w:rsid w:val="003A6FFC"/>
    <w:rsid w:val="003B4439"/>
    <w:rsid w:val="003C1664"/>
    <w:rsid w:val="003D2923"/>
    <w:rsid w:val="003D3695"/>
    <w:rsid w:val="003E31FE"/>
    <w:rsid w:val="003F239D"/>
    <w:rsid w:val="003F32CB"/>
    <w:rsid w:val="003F5FBE"/>
    <w:rsid w:val="003F708C"/>
    <w:rsid w:val="00400883"/>
    <w:rsid w:val="00402F5C"/>
    <w:rsid w:val="00406149"/>
    <w:rsid w:val="004109E8"/>
    <w:rsid w:val="00411CC3"/>
    <w:rsid w:val="004128C7"/>
    <w:rsid w:val="00416623"/>
    <w:rsid w:val="004235EF"/>
    <w:rsid w:val="00430696"/>
    <w:rsid w:val="00431063"/>
    <w:rsid w:val="004310FC"/>
    <w:rsid w:val="004346CA"/>
    <w:rsid w:val="00435843"/>
    <w:rsid w:val="004446C1"/>
    <w:rsid w:val="00444FD3"/>
    <w:rsid w:val="00447D71"/>
    <w:rsid w:val="00461E26"/>
    <w:rsid w:val="0046522C"/>
    <w:rsid w:val="004672DD"/>
    <w:rsid w:val="00473F17"/>
    <w:rsid w:val="0047673A"/>
    <w:rsid w:val="00477A08"/>
    <w:rsid w:val="00482438"/>
    <w:rsid w:val="00491162"/>
    <w:rsid w:val="00493093"/>
    <w:rsid w:val="004961B6"/>
    <w:rsid w:val="00497235"/>
    <w:rsid w:val="00497A6B"/>
    <w:rsid w:val="004A79F5"/>
    <w:rsid w:val="004B267E"/>
    <w:rsid w:val="004B4013"/>
    <w:rsid w:val="004B58E2"/>
    <w:rsid w:val="004C4587"/>
    <w:rsid w:val="004C515B"/>
    <w:rsid w:val="004C6F1B"/>
    <w:rsid w:val="004C7D57"/>
    <w:rsid w:val="004D07AC"/>
    <w:rsid w:val="004D3F59"/>
    <w:rsid w:val="004D472E"/>
    <w:rsid w:val="004E572E"/>
    <w:rsid w:val="004F13C3"/>
    <w:rsid w:val="0050466F"/>
    <w:rsid w:val="00504F1C"/>
    <w:rsid w:val="00507DFE"/>
    <w:rsid w:val="00510712"/>
    <w:rsid w:val="005129F1"/>
    <w:rsid w:val="00512D87"/>
    <w:rsid w:val="00517CD8"/>
    <w:rsid w:val="00520229"/>
    <w:rsid w:val="00526995"/>
    <w:rsid w:val="0052774A"/>
    <w:rsid w:val="0053076E"/>
    <w:rsid w:val="005342AE"/>
    <w:rsid w:val="005373C6"/>
    <w:rsid w:val="0054189B"/>
    <w:rsid w:val="00547E1C"/>
    <w:rsid w:val="00551941"/>
    <w:rsid w:val="00553213"/>
    <w:rsid w:val="00557C67"/>
    <w:rsid w:val="0056137A"/>
    <w:rsid w:val="00563C6A"/>
    <w:rsid w:val="00573A8B"/>
    <w:rsid w:val="0058371B"/>
    <w:rsid w:val="005878B2"/>
    <w:rsid w:val="005964A5"/>
    <w:rsid w:val="005968C0"/>
    <w:rsid w:val="005A1E31"/>
    <w:rsid w:val="005A41AE"/>
    <w:rsid w:val="005A4482"/>
    <w:rsid w:val="005A4F22"/>
    <w:rsid w:val="005A554D"/>
    <w:rsid w:val="005A59FE"/>
    <w:rsid w:val="005B4B8D"/>
    <w:rsid w:val="005C23E7"/>
    <w:rsid w:val="005C2AAE"/>
    <w:rsid w:val="005C60FB"/>
    <w:rsid w:val="005C715C"/>
    <w:rsid w:val="005D40CA"/>
    <w:rsid w:val="005D4B43"/>
    <w:rsid w:val="005D7B10"/>
    <w:rsid w:val="005E5F37"/>
    <w:rsid w:val="00603B7B"/>
    <w:rsid w:val="006131C0"/>
    <w:rsid w:val="00616981"/>
    <w:rsid w:val="0062292A"/>
    <w:rsid w:val="006446D7"/>
    <w:rsid w:val="00644D37"/>
    <w:rsid w:val="006464EB"/>
    <w:rsid w:val="00647A11"/>
    <w:rsid w:val="006556D8"/>
    <w:rsid w:val="0066340E"/>
    <w:rsid w:val="00664B3C"/>
    <w:rsid w:val="006753DF"/>
    <w:rsid w:val="00682489"/>
    <w:rsid w:val="00683D4B"/>
    <w:rsid w:val="006845FC"/>
    <w:rsid w:val="006853B8"/>
    <w:rsid w:val="00685CA8"/>
    <w:rsid w:val="00687081"/>
    <w:rsid w:val="006924D9"/>
    <w:rsid w:val="006948D8"/>
    <w:rsid w:val="00695E76"/>
    <w:rsid w:val="006A55BD"/>
    <w:rsid w:val="006A5F6A"/>
    <w:rsid w:val="006B74FF"/>
    <w:rsid w:val="006D0510"/>
    <w:rsid w:val="006D2BE4"/>
    <w:rsid w:val="006D650A"/>
    <w:rsid w:val="006E1ED9"/>
    <w:rsid w:val="006E5481"/>
    <w:rsid w:val="006E5700"/>
    <w:rsid w:val="006E7E14"/>
    <w:rsid w:val="006F6C7B"/>
    <w:rsid w:val="006F7017"/>
    <w:rsid w:val="006F7D6D"/>
    <w:rsid w:val="007006F0"/>
    <w:rsid w:val="00702C83"/>
    <w:rsid w:val="00703246"/>
    <w:rsid w:val="00703E73"/>
    <w:rsid w:val="00706875"/>
    <w:rsid w:val="00715B77"/>
    <w:rsid w:val="00717B84"/>
    <w:rsid w:val="00721375"/>
    <w:rsid w:val="007214D7"/>
    <w:rsid w:val="0072313E"/>
    <w:rsid w:val="00727F6A"/>
    <w:rsid w:val="0073605B"/>
    <w:rsid w:val="007411F6"/>
    <w:rsid w:val="00764336"/>
    <w:rsid w:val="00765918"/>
    <w:rsid w:val="00766770"/>
    <w:rsid w:val="00770F17"/>
    <w:rsid w:val="00772568"/>
    <w:rsid w:val="00774C3A"/>
    <w:rsid w:val="0077526B"/>
    <w:rsid w:val="00786581"/>
    <w:rsid w:val="0078789C"/>
    <w:rsid w:val="0079003B"/>
    <w:rsid w:val="00797F3C"/>
    <w:rsid w:val="007B28FB"/>
    <w:rsid w:val="007B6E91"/>
    <w:rsid w:val="007C0B43"/>
    <w:rsid w:val="007C5B89"/>
    <w:rsid w:val="007C7B74"/>
    <w:rsid w:val="007D3205"/>
    <w:rsid w:val="007D442D"/>
    <w:rsid w:val="007D4BCC"/>
    <w:rsid w:val="007D61F4"/>
    <w:rsid w:val="007E4952"/>
    <w:rsid w:val="007E74A5"/>
    <w:rsid w:val="007F5081"/>
    <w:rsid w:val="007F5B10"/>
    <w:rsid w:val="00810E0F"/>
    <w:rsid w:val="008142F6"/>
    <w:rsid w:val="0081794E"/>
    <w:rsid w:val="0082199C"/>
    <w:rsid w:val="00837564"/>
    <w:rsid w:val="00844F6E"/>
    <w:rsid w:val="00846D53"/>
    <w:rsid w:val="00850C24"/>
    <w:rsid w:val="00856B00"/>
    <w:rsid w:val="0085701A"/>
    <w:rsid w:val="00861168"/>
    <w:rsid w:val="00866FBB"/>
    <w:rsid w:val="008678A7"/>
    <w:rsid w:val="00867ACA"/>
    <w:rsid w:val="0087501F"/>
    <w:rsid w:val="00876338"/>
    <w:rsid w:val="00883AC9"/>
    <w:rsid w:val="00885C30"/>
    <w:rsid w:val="00887A94"/>
    <w:rsid w:val="00892816"/>
    <w:rsid w:val="008939A9"/>
    <w:rsid w:val="008A6CB1"/>
    <w:rsid w:val="008A74D4"/>
    <w:rsid w:val="008B2FDE"/>
    <w:rsid w:val="008B560E"/>
    <w:rsid w:val="008B7BD1"/>
    <w:rsid w:val="008C3E63"/>
    <w:rsid w:val="008D4445"/>
    <w:rsid w:val="008F2B76"/>
    <w:rsid w:val="008F4837"/>
    <w:rsid w:val="008F4F49"/>
    <w:rsid w:val="008F6C49"/>
    <w:rsid w:val="008F6E9D"/>
    <w:rsid w:val="0090480D"/>
    <w:rsid w:val="00904C44"/>
    <w:rsid w:val="00912BD7"/>
    <w:rsid w:val="0092466A"/>
    <w:rsid w:val="009269CE"/>
    <w:rsid w:val="009278F0"/>
    <w:rsid w:val="00953F82"/>
    <w:rsid w:val="009559B9"/>
    <w:rsid w:val="009623D2"/>
    <w:rsid w:val="00971F14"/>
    <w:rsid w:val="00974797"/>
    <w:rsid w:val="009834BE"/>
    <w:rsid w:val="00983ACD"/>
    <w:rsid w:val="00983C5A"/>
    <w:rsid w:val="0098478D"/>
    <w:rsid w:val="00984832"/>
    <w:rsid w:val="00990F2E"/>
    <w:rsid w:val="009A0864"/>
    <w:rsid w:val="009A250F"/>
    <w:rsid w:val="009B0A37"/>
    <w:rsid w:val="009B3811"/>
    <w:rsid w:val="009B6BF1"/>
    <w:rsid w:val="009C560E"/>
    <w:rsid w:val="009C70CE"/>
    <w:rsid w:val="009D0269"/>
    <w:rsid w:val="009D207C"/>
    <w:rsid w:val="009D23CF"/>
    <w:rsid w:val="009D32D6"/>
    <w:rsid w:val="009E75D6"/>
    <w:rsid w:val="009F0323"/>
    <w:rsid w:val="009F2361"/>
    <w:rsid w:val="009F714D"/>
    <w:rsid w:val="00A01CA0"/>
    <w:rsid w:val="00A131FA"/>
    <w:rsid w:val="00A157EB"/>
    <w:rsid w:val="00A20ED4"/>
    <w:rsid w:val="00A21537"/>
    <w:rsid w:val="00A225DD"/>
    <w:rsid w:val="00A32A24"/>
    <w:rsid w:val="00A40D39"/>
    <w:rsid w:val="00A50F4B"/>
    <w:rsid w:val="00A52BBE"/>
    <w:rsid w:val="00A642B9"/>
    <w:rsid w:val="00A80D94"/>
    <w:rsid w:val="00A96A4C"/>
    <w:rsid w:val="00A96E00"/>
    <w:rsid w:val="00AA4E7D"/>
    <w:rsid w:val="00AC06E6"/>
    <w:rsid w:val="00AC4CD7"/>
    <w:rsid w:val="00AC5E00"/>
    <w:rsid w:val="00AD0178"/>
    <w:rsid w:val="00AE25A2"/>
    <w:rsid w:val="00AE310C"/>
    <w:rsid w:val="00AE32CA"/>
    <w:rsid w:val="00AE5EB9"/>
    <w:rsid w:val="00AF109F"/>
    <w:rsid w:val="00AF4F42"/>
    <w:rsid w:val="00AF6E18"/>
    <w:rsid w:val="00B05F39"/>
    <w:rsid w:val="00B13B82"/>
    <w:rsid w:val="00B20520"/>
    <w:rsid w:val="00B24956"/>
    <w:rsid w:val="00B2517A"/>
    <w:rsid w:val="00B262EE"/>
    <w:rsid w:val="00B26BA3"/>
    <w:rsid w:val="00B327F5"/>
    <w:rsid w:val="00B374D0"/>
    <w:rsid w:val="00B57209"/>
    <w:rsid w:val="00B619B9"/>
    <w:rsid w:val="00B64A70"/>
    <w:rsid w:val="00B66953"/>
    <w:rsid w:val="00B72EDB"/>
    <w:rsid w:val="00B91078"/>
    <w:rsid w:val="00BA09E6"/>
    <w:rsid w:val="00BA7A36"/>
    <w:rsid w:val="00BB2B36"/>
    <w:rsid w:val="00BC6EBF"/>
    <w:rsid w:val="00BD0603"/>
    <w:rsid w:val="00BD2124"/>
    <w:rsid w:val="00BE374A"/>
    <w:rsid w:val="00C03370"/>
    <w:rsid w:val="00C03E6B"/>
    <w:rsid w:val="00C12247"/>
    <w:rsid w:val="00C1327B"/>
    <w:rsid w:val="00C175CB"/>
    <w:rsid w:val="00C17749"/>
    <w:rsid w:val="00C20B4A"/>
    <w:rsid w:val="00C23259"/>
    <w:rsid w:val="00C27EF2"/>
    <w:rsid w:val="00C3065C"/>
    <w:rsid w:val="00C319AF"/>
    <w:rsid w:val="00C32FC5"/>
    <w:rsid w:val="00C36027"/>
    <w:rsid w:val="00C36926"/>
    <w:rsid w:val="00C40CFE"/>
    <w:rsid w:val="00C50182"/>
    <w:rsid w:val="00C50BE7"/>
    <w:rsid w:val="00C55364"/>
    <w:rsid w:val="00C57F98"/>
    <w:rsid w:val="00C606CD"/>
    <w:rsid w:val="00C627CD"/>
    <w:rsid w:val="00C64B71"/>
    <w:rsid w:val="00C67EE4"/>
    <w:rsid w:val="00C70F4F"/>
    <w:rsid w:val="00C7590B"/>
    <w:rsid w:val="00C75F9F"/>
    <w:rsid w:val="00C812F5"/>
    <w:rsid w:val="00C904E7"/>
    <w:rsid w:val="00CA19C9"/>
    <w:rsid w:val="00CA1B38"/>
    <w:rsid w:val="00CA1EC7"/>
    <w:rsid w:val="00CA2212"/>
    <w:rsid w:val="00CA2E91"/>
    <w:rsid w:val="00CA6DFD"/>
    <w:rsid w:val="00CB1641"/>
    <w:rsid w:val="00CC4401"/>
    <w:rsid w:val="00CC61DE"/>
    <w:rsid w:val="00CC6670"/>
    <w:rsid w:val="00CC6D3A"/>
    <w:rsid w:val="00CD2A06"/>
    <w:rsid w:val="00CD665E"/>
    <w:rsid w:val="00CE48EA"/>
    <w:rsid w:val="00CF141E"/>
    <w:rsid w:val="00CF2A3B"/>
    <w:rsid w:val="00D054DE"/>
    <w:rsid w:val="00D12A41"/>
    <w:rsid w:val="00D12DA5"/>
    <w:rsid w:val="00D14DFE"/>
    <w:rsid w:val="00D226D2"/>
    <w:rsid w:val="00D328ED"/>
    <w:rsid w:val="00D45414"/>
    <w:rsid w:val="00D45A46"/>
    <w:rsid w:val="00D55550"/>
    <w:rsid w:val="00D61291"/>
    <w:rsid w:val="00D61910"/>
    <w:rsid w:val="00D70C74"/>
    <w:rsid w:val="00D73B28"/>
    <w:rsid w:val="00D73FF4"/>
    <w:rsid w:val="00D74366"/>
    <w:rsid w:val="00D80C5A"/>
    <w:rsid w:val="00D86659"/>
    <w:rsid w:val="00D9167B"/>
    <w:rsid w:val="00D917CA"/>
    <w:rsid w:val="00D95944"/>
    <w:rsid w:val="00DA5D08"/>
    <w:rsid w:val="00DB0E66"/>
    <w:rsid w:val="00DB270A"/>
    <w:rsid w:val="00DB4374"/>
    <w:rsid w:val="00DB5617"/>
    <w:rsid w:val="00DB72A3"/>
    <w:rsid w:val="00DC65A6"/>
    <w:rsid w:val="00DC7558"/>
    <w:rsid w:val="00DD0191"/>
    <w:rsid w:val="00DD6111"/>
    <w:rsid w:val="00DD7BDD"/>
    <w:rsid w:val="00DE3664"/>
    <w:rsid w:val="00DE6520"/>
    <w:rsid w:val="00DE6E19"/>
    <w:rsid w:val="00DE7F64"/>
    <w:rsid w:val="00DF28EE"/>
    <w:rsid w:val="00DF29F8"/>
    <w:rsid w:val="00DF537E"/>
    <w:rsid w:val="00E01F05"/>
    <w:rsid w:val="00E04947"/>
    <w:rsid w:val="00E05652"/>
    <w:rsid w:val="00E0620B"/>
    <w:rsid w:val="00E07886"/>
    <w:rsid w:val="00E119B7"/>
    <w:rsid w:val="00E127FE"/>
    <w:rsid w:val="00E15A51"/>
    <w:rsid w:val="00E229AF"/>
    <w:rsid w:val="00E2428D"/>
    <w:rsid w:val="00E27729"/>
    <w:rsid w:val="00E34C9E"/>
    <w:rsid w:val="00E45DFB"/>
    <w:rsid w:val="00E46139"/>
    <w:rsid w:val="00E52BE8"/>
    <w:rsid w:val="00E56372"/>
    <w:rsid w:val="00E60A3D"/>
    <w:rsid w:val="00E62840"/>
    <w:rsid w:val="00E636B5"/>
    <w:rsid w:val="00E64E2F"/>
    <w:rsid w:val="00E674BC"/>
    <w:rsid w:val="00E678B2"/>
    <w:rsid w:val="00E67D30"/>
    <w:rsid w:val="00E74DCC"/>
    <w:rsid w:val="00E80A16"/>
    <w:rsid w:val="00E82421"/>
    <w:rsid w:val="00E8728B"/>
    <w:rsid w:val="00EA3814"/>
    <w:rsid w:val="00EA5DCC"/>
    <w:rsid w:val="00EB622D"/>
    <w:rsid w:val="00EC244D"/>
    <w:rsid w:val="00EC4CF4"/>
    <w:rsid w:val="00EC562B"/>
    <w:rsid w:val="00EC60F2"/>
    <w:rsid w:val="00ED76B1"/>
    <w:rsid w:val="00ED7D1F"/>
    <w:rsid w:val="00EE4701"/>
    <w:rsid w:val="00EE53B9"/>
    <w:rsid w:val="00EE5EC4"/>
    <w:rsid w:val="00EE6A5D"/>
    <w:rsid w:val="00EE71D8"/>
    <w:rsid w:val="00EF2053"/>
    <w:rsid w:val="00F01C1F"/>
    <w:rsid w:val="00F02830"/>
    <w:rsid w:val="00F0501D"/>
    <w:rsid w:val="00F12E4A"/>
    <w:rsid w:val="00F24CFB"/>
    <w:rsid w:val="00F32300"/>
    <w:rsid w:val="00F37E1E"/>
    <w:rsid w:val="00F4185E"/>
    <w:rsid w:val="00F41C42"/>
    <w:rsid w:val="00F44771"/>
    <w:rsid w:val="00F449A3"/>
    <w:rsid w:val="00F475CE"/>
    <w:rsid w:val="00F53F39"/>
    <w:rsid w:val="00F54116"/>
    <w:rsid w:val="00F6334A"/>
    <w:rsid w:val="00F73EF9"/>
    <w:rsid w:val="00F74EAE"/>
    <w:rsid w:val="00F75EAE"/>
    <w:rsid w:val="00F7763F"/>
    <w:rsid w:val="00F779FC"/>
    <w:rsid w:val="00F80CDB"/>
    <w:rsid w:val="00F8267A"/>
    <w:rsid w:val="00F82ED6"/>
    <w:rsid w:val="00F86BD9"/>
    <w:rsid w:val="00F967B0"/>
    <w:rsid w:val="00F96C77"/>
    <w:rsid w:val="00F96E3F"/>
    <w:rsid w:val="00FA30AB"/>
    <w:rsid w:val="00FA6FA2"/>
    <w:rsid w:val="00FB35BF"/>
    <w:rsid w:val="00FB46EB"/>
    <w:rsid w:val="00FC495E"/>
    <w:rsid w:val="00FC5E23"/>
    <w:rsid w:val="00FD11F3"/>
    <w:rsid w:val="00FE0BF3"/>
    <w:rsid w:val="00FE1007"/>
    <w:rsid w:val="00FE11C8"/>
    <w:rsid w:val="00FE173E"/>
    <w:rsid w:val="00FF021F"/>
    <w:rsid w:val="00FF3333"/>
    <w:rsid w:val="00FF6830"/>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B496F"/>
  <w15:chartTrackingRefBased/>
  <w15:docId w15:val="{9EEC4B47-E3D3-4E3E-B8CC-1815FB9C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603"/>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BD0603"/>
    <w:pPr>
      <w:keepNext/>
      <w:numPr>
        <w:ilvl w:val="2"/>
        <w:numId w:val="5"/>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D0603"/>
    <w:rPr>
      <w:rFonts w:ascii="Arial" w:eastAsia="SimSun" w:hAnsi="Arial" w:cs="Arial"/>
      <w:b/>
      <w:bCs/>
      <w:sz w:val="26"/>
      <w:szCs w:val="26"/>
      <w:lang w:val="en-AU" w:eastAsia="zh-CN"/>
    </w:rPr>
  </w:style>
  <w:style w:type="paragraph" w:customStyle="1" w:styleId="IEEEAuthorAffiliation">
    <w:name w:val="IEEE Author Affiliation"/>
    <w:basedOn w:val="Normal"/>
    <w:next w:val="Normal"/>
    <w:rsid w:val="00BD0603"/>
    <w:pPr>
      <w:spacing w:after="60"/>
      <w:jc w:val="center"/>
    </w:pPr>
    <w:rPr>
      <w:rFonts w:eastAsia="Times New Roman"/>
      <w:i/>
      <w:sz w:val="20"/>
      <w:lang w:val="en-GB" w:eastAsia="en-GB"/>
    </w:rPr>
  </w:style>
  <w:style w:type="paragraph" w:customStyle="1" w:styleId="IEEEHeading2">
    <w:name w:val="IEEE Heading 2"/>
    <w:basedOn w:val="Normal"/>
    <w:next w:val="IEEEParagraph"/>
    <w:rsid w:val="00BD0603"/>
    <w:pPr>
      <w:numPr>
        <w:numId w:val="6"/>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BD0603"/>
    <w:rPr>
      <w:i/>
    </w:rPr>
  </w:style>
  <w:style w:type="character" w:customStyle="1" w:styleId="IEEEAbstractHeadingChar">
    <w:name w:val="IEEE Abstract Heading Char"/>
    <w:link w:val="IEEEAbstractHeading"/>
    <w:rsid w:val="00BD0603"/>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BD0603"/>
    <w:pPr>
      <w:adjustRightInd w:val="0"/>
      <w:snapToGrid w:val="0"/>
      <w:jc w:val="both"/>
    </w:pPr>
    <w:rPr>
      <w:b/>
      <w:sz w:val="18"/>
      <w:lang w:val="en-GB" w:eastAsia="en-GB"/>
    </w:rPr>
  </w:style>
  <w:style w:type="character" w:customStyle="1" w:styleId="IEEEAbtractChar">
    <w:name w:val="IEEE Abtract Char"/>
    <w:link w:val="IEEEAbtract"/>
    <w:rsid w:val="00BD0603"/>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E8728B"/>
    <w:pPr>
      <w:adjustRightInd w:val="0"/>
      <w:snapToGrid w:val="0"/>
      <w:ind w:firstLine="216"/>
      <w:jc w:val="both"/>
    </w:pPr>
    <w:rPr>
      <w:sz w:val="20"/>
    </w:rPr>
  </w:style>
  <w:style w:type="paragraph" w:customStyle="1" w:styleId="IEEEHeading1">
    <w:name w:val="IEEE Heading 1"/>
    <w:basedOn w:val="Normal"/>
    <w:next w:val="IEEEParagraph"/>
    <w:link w:val="IEEEHeading1Char"/>
    <w:rsid w:val="00BD0603"/>
    <w:pPr>
      <w:numPr>
        <w:numId w:val="4"/>
      </w:numPr>
      <w:adjustRightInd w:val="0"/>
      <w:snapToGrid w:val="0"/>
      <w:spacing w:before="180" w:after="60"/>
      <w:jc w:val="center"/>
    </w:pPr>
    <w:rPr>
      <w:smallCaps/>
      <w:sz w:val="20"/>
    </w:rPr>
  </w:style>
  <w:style w:type="paragraph" w:customStyle="1" w:styleId="IEEETableCell">
    <w:name w:val="IEEE Table Cell"/>
    <w:basedOn w:val="IEEEParagraph"/>
    <w:rsid w:val="00BD0603"/>
    <w:pPr>
      <w:ind w:firstLine="0"/>
      <w:jc w:val="left"/>
    </w:pPr>
    <w:rPr>
      <w:sz w:val="18"/>
    </w:rPr>
  </w:style>
  <w:style w:type="paragraph" w:customStyle="1" w:styleId="IEEEHeading3">
    <w:name w:val="IEEE Heading 3"/>
    <w:basedOn w:val="Normal"/>
    <w:next w:val="IEEEParagraph"/>
    <w:link w:val="IEEEHeading3Char"/>
    <w:rsid w:val="00BD0603"/>
    <w:pPr>
      <w:numPr>
        <w:numId w:val="1"/>
      </w:numPr>
      <w:adjustRightInd w:val="0"/>
      <w:snapToGrid w:val="0"/>
      <w:spacing w:before="120" w:after="60"/>
      <w:jc w:val="both"/>
    </w:pPr>
    <w:rPr>
      <w:i/>
      <w:sz w:val="20"/>
    </w:rPr>
  </w:style>
  <w:style w:type="character" w:customStyle="1" w:styleId="IEEEParagraphChar">
    <w:name w:val="IEEE Paragraph Char"/>
    <w:link w:val="IEEEParagraph"/>
    <w:rsid w:val="00E8728B"/>
    <w:rPr>
      <w:rFonts w:ascii="Times New Roman" w:eastAsia="SimSun" w:hAnsi="Times New Roman" w:cs="Times New Roman"/>
      <w:sz w:val="20"/>
      <w:szCs w:val="24"/>
      <w:lang w:val="en-AU" w:eastAsia="zh-CN"/>
    </w:rPr>
  </w:style>
  <w:style w:type="numbering" w:customStyle="1" w:styleId="IEEEBullet1">
    <w:name w:val="IEEE Bullet 1"/>
    <w:basedOn w:val="NoList"/>
    <w:rsid w:val="00BD0603"/>
    <w:pPr>
      <w:numPr>
        <w:numId w:val="2"/>
      </w:numPr>
    </w:pPr>
  </w:style>
  <w:style w:type="character" w:customStyle="1" w:styleId="IEEEHeading3Char">
    <w:name w:val="IEEE Heading 3 Char"/>
    <w:link w:val="IEEEHeading3"/>
    <w:rsid w:val="00BD0603"/>
    <w:rPr>
      <w:rFonts w:ascii="Times New Roman" w:eastAsia="SimSun" w:hAnsi="Times New Roman" w:cs="Times New Roman"/>
      <w:i/>
      <w:sz w:val="20"/>
      <w:szCs w:val="24"/>
      <w:lang w:val="en-AU" w:eastAsia="zh-CN"/>
    </w:rPr>
  </w:style>
  <w:style w:type="paragraph" w:customStyle="1" w:styleId="IEEEFigure">
    <w:name w:val="IEEE Figure"/>
    <w:basedOn w:val="Normal"/>
    <w:next w:val="Normal"/>
    <w:rsid w:val="00BD0603"/>
    <w:pPr>
      <w:jc w:val="center"/>
    </w:pPr>
  </w:style>
  <w:style w:type="paragraph" w:customStyle="1" w:styleId="IEEEReferenceItem">
    <w:name w:val="IEEE Reference Item"/>
    <w:basedOn w:val="Normal"/>
    <w:link w:val="IEEEReferenceItemChar"/>
    <w:rsid w:val="00BD0603"/>
    <w:pPr>
      <w:numPr>
        <w:numId w:val="5"/>
      </w:numPr>
      <w:adjustRightInd w:val="0"/>
      <w:snapToGrid w:val="0"/>
      <w:jc w:val="both"/>
    </w:pPr>
    <w:rPr>
      <w:sz w:val="16"/>
      <w:lang w:val="en-US"/>
    </w:rPr>
  </w:style>
  <w:style w:type="paragraph" w:customStyle="1" w:styleId="IEEETableHeaderCentered">
    <w:name w:val="IEEE Table Header Centered"/>
    <w:basedOn w:val="IEEETableCell"/>
    <w:rsid w:val="00BD0603"/>
    <w:pPr>
      <w:jc w:val="center"/>
    </w:pPr>
    <w:rPr>
      <w:b/>
      <w:bCs/>
    </w:rPr>
  </w:style>
  <w:style w:type="paragraph" w:customStyle="1" w:styleId="IEEETableHeaderLeft-Justified">
    <w:name w:val="IEEE Table Header Left-Justified"/>
    <w:basedOn w:val="IEEETableCell"/>
    <w:rsid w:val="00BD0603"/>
    <w:rPr>
      <w:b/>
      <w:bCs/>
    </w:rPr>
  </w:style>
  <w:style w:type="paragraph" w:styleId="Footer">
    <w:name w:val="footer"/>
    <w:basedOn w:val="Normal"/>
    <w:link w:val="FooterChar"/>
    <w:uiPriority w:val="99"/>
    <w:rsid w:val="00BD0603"/>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BD0603"/>
    <w:rPr>
      <w:rFonts w:ascii="Times New Roman" w:eastAsia="Times New Roman" w:hAnsi="Times New Roman" w:cs="Times New Roman"/>
      <w:sz w:val="20"/>
      <w:szCs w:val="20"/>
      <w:lang w:val="en-AU" w:eastAsia="zh-CN"/>
    </w:rPr>
  </w:style>
  <w:style w:type="character" w:customStyle="1" w:styleId="IEEEHeading1Char">
    <w:name w:val="IEEE Heading 1 Char"/>
    <w:basedOn w:val="DefaultParagraphFont"/>
    <w:link w:val="IEEEHeading1"/>
    <w:rsid w:val="00BD0603"/>
    <w:rPr>
      <w:rFonts w:ascii="Times New Roman" w:eastAsia="SimSun" w:hAnsi="Times New Roman" w:cs="Times New Roman"/>
      <w:smallCaps/>
      <w:sz w:val="20"/>
      <w:szCs w:val="24"/>
      <w:lang w:val="en-AU" w:eastAsia="zh-CN"/>
    </w:rPr>
  </w:style>
  <w:style w:type="character" w:customStyle="1" w:styleId="IEEEReferenceItemChar">
    <w:name w:val="IEEE Reference Item Char"/>
    <w:basedOn w:val="DefaultParagraphFont"/>
    <w:link w:val="IEEEReferenceItem"/>
    <w:rsid w:val="00BD0603"/>
    <w:rPr>
      <w:rFonts w:ascii="Times New Roman" w:eastAsia="SimSun" w:hAnsi="Times New Roman" w:cs="Times New Roman"/>
      <w:sz w:val="16"/>
      <w:szCs w:val="24"/>
      <w:lang w:val="en-US" w:eastAsia="zh-CN"/>
    </w:rPr>
  </w:style>
  <w:style w:type="paragraph" w:styleId="Header">
    <w:name w:val="header"/>
    <w:basedOn w:val="Normal"/>
    <w:link w:val="HeaderChar"/>
    <w:uiPriority w:val="99"/>
    <w:unhideWhenUsed/>
    <w:rsid w:val="00BD0603"/>
    <w:pPr>
      <w:tabs>
        <w:tab w:val="center" w:pos="4513"/>
        <w:tab w:val="right" w:pos="9026"/>
      </w:tabs>
    </w:pPr>
  </w:style>
  <w:style w:type="character" w:customStyle="1" w:styleId="HeaderChar">
    <w:name w:val="Header Char"/>
    <w:basedOn w:val="DefaultParagraphFont"/>
    <w:link w:val="Header"/>
    <w:uiPriority w:val="99"/>
    <w:rsid w:val="00BD0603"/>
    <w:rPr>
      <w:rFonts w:ascii="Times New Roman" w:eastAsia="SimSun" w:hAnsi="Times New Roman" w:cs="Times New Roman"/>
      <w:sz w:val="24"/>
      <w:szCs w:val="24"/>
      <w:lang w:val="en-AU" w:eastAsia="zh-CN"/>
    </w:rPr>
  </w:style>
  <w:style w:type="character" w:styleId="CommentReference">
    <w:name w:val="annotation reference"/>
    <w:basedOn w:val="DefaultParagraphFont"/>
    <w:uiPriority w:val="99"/>
    <w:semiHidden/>
    <w:unhideWhenUsed/>
    <w:rsid w:val="00493093"/>
    <w:rPr>
      <w:sz w:val="16"/>
      <w:szCs w:val="16"/>
    </w:rPr>
  </w:style>
  <w:style w:type="paragraph" w:styleId="CommentText">
    <w:name w:val="annotation text"/>
    <w:basedOn w:val="Normal"/>
    <w:link w:val="CommentTextChar"/>
    <w:uiPriority w:val="99"/>
    <w:semiHidden/>
    <w:unhideWhenUsed/>
    <w:rsid w:val="00493093"/>
    <w:rPr>
      <w:sz w:val="20"/>
      <w:szCs w:val="20"/>
    </w:rPr>
  </w:style>
  <w:style w:type="character" w:customStyle="1" w:styleId="CommentTextChar">
    <w:name w:val="Comment Text Char"/>
    <w:basedOn w:val="DefaultParagraphFont"/>
    <w:link w:val="CommentText"/>
    <w:uiPriority w:val="99"/>
    <w:semiHidden/>
    <w:rsid w:val="00493093"/>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493093"/>
    <w:rPr>
      <w:b/>
      <w:bCs/>
    </w:rPr>
  </w:style>
  <w:style w:type="character" w:customStyle="1" w:styleId="CommentSubjectChar">
    <w:name w:val="Comment Subject Char"/>
    <w:basedOn w:val="CommentTextChar"/>
    <w:link w:val="CommentSubject"/>
    <w:uiPriority w:val="99"/>
    <w:semiHidden/>
    <w:rsid w:val="00493093"/>
    <w:rPr>
      <w:rFonts w:ascii="Times New Roman" w:eastAsia="SimSun" w:hAnsi="Times New Roman" w:cs="Times New Roman"/>
      <w:b/>
      <w:bCs/>
      <w:sz w:val="20"/>
      <w:szCs w:val="20"/>
      <w:lang w:val="en-AU" w:eastAsia="zh-CN"/>
    </w:rPr>
  </w:style>
  <w:style w:type="paragraph" w:styleId="Revision">
    <w:name w:val="Revision"/>
    <w:hidden/>
    <w:uiPriority w:val="99"/>
    <w:semiHidden/>
    <w:rsid w:val="00493093"/>
    <w:pPr>
      <w:spacing w:after="0" w:line="240" w:lineRule="auto"/>
    </w:pPr>
    <w:rPr>
      <w:rFonts w:ascii="Times New Roman" w:eastAsia="SimSun" w:hAnsi="Times New Roman" w:cs="Times New Roman"/>
      <w:sz w:val="24"/>
      <w:szCs w:val="24"/>
      <w:lang w:val="en-AU" w:eastAsia="zh-CN"/>
    </w:rPr>
  </w:style>
  <w:style w:type="character" w:styleId="Hyperlink">
    <w:name w:val="Hyperlink"/>
    <w:basedOn w:val="DefaultParagraphFont"/>
    <w:uiPriority w:val="99"/>
    <w:unhideWhenUsed/>
    <w:rsid w:val="00461E26"/>
    <w:rPr>
      <w:color w:val="0563C1" w:themeColor="hyperlink"/>
      <w:u w:val="single"/>
    </w:rPr>
  </w:style>
  <w:style w:type="character" w:styleId="UnresolvedMention">
    <w:name w:val="Unresolved Mention"/>
    <w:basedOn w:val="DefaultParagraphFont"/>
    <w:uiPriority w:val="99"/>
    <w:semiHidden/>
    <w:unhideWhenUsed/>
    <w:rsid w:val="00461E26"/>
    <w:rPr>
      <w:color w:val="605E5C"/>
      <w:shd w:val="clear" w:color="auto" w:fill="E1DFDD"/>
    </w:rPr>
  </w:style>
  <w:style w:type="paragraph" w:customStyle="1" w:styleId="show">
    <w:name w:val="show"/>
    <w:basedOn w:val="Normal"/>
    <w:rsid w:val="00497235"/>
    <w:pPr>
      <w:spacing w:before="100" w:beforeAutospacing="1" w:after="100" w:afterAutospacing="1"/>
    </w:pPr>
    <w:rPr>
      <w:rFonts w:eastAsia="Times New Roman"/>
      <w:lang w:val="en-ID" w:eastAsia="en-US"/>
    </w:rPr>
  </w:style>
  <w:style w:type="table" w:styleId="TableGrid">
    <w:name w:val="Table Grid"/>
    <w:basedOn w:val="TableNormal"/>
    <w:uiPriority w:val="39"/>
    <w:rsid w:val="00A22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
    <w:name w:val="PARA"/>
    <w:basedOn w:val="Normal"/>
    <w:rsid w:val="004346CA"/>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PARAIndent">
    <w:name w:val="PARA_Indent"/>
    <w:basedOn w:val="PARA"/>
    <w:rsid w:val="00CA2E91"/>
    <w:pPr>
      <w:ind w:firstLine="200"/>
    </w:pPr>
  </w:style>
  <w:style w:type="character" w:customStyle="1" w:styleId="ITAL">
    <w:name w:val="ITAL"/>
    <w:rsid w:val="00CA2E91"/>
    <w:rPr>
      <w:i/>
    </w:rPr>
  </w:style>
  <w:style w:type="character" w:styleId="FollowedHyperlink">
    <w:name w:val="FollowedHyperlink"/>
    <w:basedOn w:val="DefaultParagraphFont"/>
    <w:uiPriority w:val="99"/>
    <w:semiHidden/>
    <w:unhideWhenUsed/>
    <w:rsid w:val="00FB35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524852">
      <w:bodyDiv w:val="1"/>
      <w:marLeft w:val="0"/>
      <w:marRight w:val="0"/>
      <w:marTop w:val="0"/>
      <w:marBottom w:val="0"/>
      <w:divBdr>
        <w:top w:val="none" w:sz="0" w:space="0" w:color="auto"/>
        <w:left w:val="none" w:sz="0" w:space="0" w:color="auto"/>
        <w:bottom w:val="none" w:sz="0" w:space="0" w:color="auto"/>
        <w:right w:val="none" w:sz="0" w:space="0" w:color="auto"/>
      </w:divBdr>
    </w:div>
    <w:div w:id="489638163">
      <w:bodyDiv w:val="1"/>
      <w:marLeft w:val="0"/>
      <w:marRight w:val="0"/>
      <w:marTop w:val="0"/>
      <w:marBottom w:val="0"/>
      <w:divBdr>
        <w:top w:val="none" w:sz="0" w:space="0" w:color="auto"/>
        <w:left w:val="none" w:sz="0" w:space="0" w:color="auto"/>
        <w:bottom w:val="none" w:sz="0" w:space="0" w:color="auto"/>
        <w:right w:val="none" w:sz="0" w:space="0" w:color="auto"/>
      </w:divBdr>
    </w:div>
    <w:div w:id="639073538">
      <w:bodyDiv w:val="1"/>
      <w:marLeft w:val="0"/>
      <w:marRight w:val="0"/>
      <w:marTop w:val="0"/>
      <w:marBottom w:val="0"/>
      <w:divBdr>
        <w:top w:val="none" w:sz="0" w:space="0" w:color="auto"/>
        <w:left w:val="none" w:sz="0" w:space="0" w:color="auto"/>
        <w:bottom w:val="none" w:sz="0" w:space="0" w:color="auto"/>
        <w:right w:val="none" w:sz="0" w:space="0" w:color="auto"/>
      </w:divBdr>
    </w:div>
    <w:div w:id="108514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image" Target="media/image2.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footer" Target="footer2.xml"/><Relationship Id="rId19" Type="http://schemas.openxmlformats.org/officeDocument/2006/relationships/image" Target="media/image20.e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1355</TotalTime>
  <Pages>4</Pages>
  <Words>2375</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Nanang Dani Widyanto</dc:creator>
  <cp:keywords/>
  <dc:description/>
  <cp:lastModifiedBy>Ananda Asri</cp:lastModifiedBy>
  <cp:revision>1764</cp:revision>
  <dcterms:created xsi:type="dcterms:W3CDTF">2022-06-06T00:48:00Z</dcterms:created>
  <dcterms:modified xsi:type="dcterms:W3CDTF">2025-01-13T02:44:00Z</dcterms:modified>
</cp:coreProperties>
</file>