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CambriaMath-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240" w:lineRule="auto"/>
        <w:jc w:val="left"/>
        <w:rPr>
          <w:rFonts w:ascii="Times New Roman" w:cs="Times New Roman" w:eastAsia="Times New Roman" w:hAnsi="Times New Roman"/>
          <w:b w:val="1"/>
          <w:sz w:val="28"/>
          <w:szCs w:val="28"/>
        </w:rPr>
      </w:pPr>
    </w:p>
    <w:p>
      <w:pPr>
        <w:spacing w:line="240" w:lineRule="auto"/>
        <w:ind w:left="2880" w:firstLine="720"/>
        <w:jc w:val="left"/>
        <w:rPr>
          <w:rFonts w:ascii="Times New Roman" w:cs="Times New Roman" w:eastAsia="Times New Roman" w:hAnsi="Times New Roman"/>
          <w:sz w:val="28"/>
          <w:szCs w:val="28"/>
        </w:rPr>
      </w:pPr>
      <w:r>
        <w:rPr>
          <w:rFonts w:ascii="Times New Roman" w:cs="Times New Roman" w:eastAsia="Times New Roman" w:hAnsi="Times New Roman"/>
          <w:b w:val="1"/>
          <w:sz w:val="28"/>
          <w:szCs w:val="28"/>
          <w:rtl w:val="0"/>
        </w:rPr>
        <w:t>GestPLC: Real-Time Hand Gesture Recognition for PLC Control using MediaPipe and Modbus TCP for Industry 4.0 Applications</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Rofiq Cahyo Prayogo</w:t>
      </w:r>
      <w:r>
        <w:rPr>
          <w:rFonts w:ascii="Times New Roman" w:cs="Times New Roman" w:eastAsia="Times New Roman" w:hAnsi="Times New Roman"/>
          <w:sz w:val="24"/>
          <w:szCs w:val="24"/>
          <w:vertAlign w:val="superscript"/>
          <w:rtl w:val="0"/>
        </w:rPr>
        <w:t>1*)</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
          <w:szCs w:val="24"/>
          <w:rtl w:val="0"/>
        </w:rPr>
        <w:t>Ahmad Ridlo Hanifudin Tahier</w:t>
      </w:r>
      <w:r>
        <w:rPr>
          <w:rFonts w:ascii="Times New Roman" w:cs="Times New Roman" w:eastAsia="Times New Roman" w:hAnsi="Times New Roman"/>
          <w:sz w:val="24"/>
          <w:szCs w:val="24"/>
          <w:vertAlign w:val="superscript"/>
          <w:rtl w:val="0"/>
        </w:rPr>
        <w:t>1</w:t>
      </w:r>
      <w:r>
        <w:rPr>
          <w:rFonts w:ascii="Times New Roman" w:cs="Times New Roman" w:eastAsia="Times New Roman" w:hAnsi="Times New Roman"/>
          <w:sz w:val="24"/>
          <w:szCs w:val="24"/>
          <w:rtl w:val="0"/>
        </w:rPr>
        <w:t xml:space="preserve"> dan </w:t>
      </w:r>
      <w:r>
        <w:rPr>
          <w:rFonts w:ascii="Times New Roman" w:cs="Times New Roman" w:eastAsia="Times New Roman" w:hAnsi="Times New Roman"/>
          <w:sz w:val="24"/>
          <w:szCs w:val="24"/>
          <w:rtl w:val="0"/>
        </w:rPr>
        <w:t>Munadi</w:t>
      </w:r>
      <w:r>
        <w:rPr>
          <w:rFonts w:ascii="Times New Roman" w:cs="Times New Roman" w:eastAsia="Times New Roman" w:hAnsi="Times New Roman"/>
          <w:sz w:val="24"/>
          <w:szCs w:val="24"/>
          <w:vertAlign w:val="superscript"/>
          <w:rtl w:val="0"/>
        </w:rPr>
        <w:t>2</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vertAlign w:val="superscript"/>
          <w:rtl w:val="0"/>
        </w:rPr>
        <w:t>1</w:t>
      </w:r>
      <w:r>
        <w:rPr>
          <w:rFonts w:ascii="Times New Roman" w:cs="Times New Roman" w:eastAsia="Times New Roman" w:hAnsi="Times New Roman"/>
          <w:sz w:val="20"/>
          <w:szCs w:val="20"/>
          <w:rtl w:val="0"/>
        </w:rPr>
        <w:t>Automation Engineering, Diponegoro University, Semarang, Indonesia</w:t>
      </w:r>
    </w:p>
    <w:p>
      <w:pPr>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vertAlign w:val="superscript"/>
          <w:rtl w:val="0"/>
        </w:rPr>
        <w:t>2</w:t>
      </w:r>
      <w:r>
        <w:rPr>
          <w:rFonts w:ascii="Times New Roman" w:cs="Times New Roman" w:eastAsia="Times New Roman" w:hAnsi="Times New Roman"/>
          <w:sz w:val="20"/>
          <w:szCs w:val="20"/>
          <w:rtl w:val="0"/>
        </w:rPr>
        <w:t>Mechanical Engineering, Diponegoro University, Semarang, Indonesia</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i w:val="1"/>
          <w:sz w:val="20"/>
          <w:szCs w:val="20"/>
          <w:vertAlign w:val="superscript"/>
          <w:rtl w:val="0"/>
        </w:rPr>
        <w:t>*</w:t>
      </w:r>
      <w:r>
        <w:rPr>
          <w:rFonts w:ascii="Times New Roman" w:cs="Times New Roman" w:eastAsia="Times New Roman" w:hAnsi="Times New Roman"/>
          <w:i w:val="1"/>
          <w:sz w:val="20"/>
          <w:szCs w:val="20"/>
          <w:rtl w:val="0"/>
        </w:rPr>
        <w:t>Penulis korespondensi, E-mail: rofiqotomasi@lecturer.undip.ac.id</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i/>
          <w:sz w:val="24"/>
          <w:szCs w:val="24"/>
          <w:vertAlign w:val="superscript"/>
          <w:rtl w:val="0"/>
        </w:rPr>
        <w:t>Abstrak</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i w:val="1"/>
          <w:sz w:val="20"/>
          <w:szCs w:val="20"/>
          <w:rtl w:val="0"/>
        </w:rPr>
        <w:t>Kata kunci: Hand Gesture Recognition, PLC Control, MediaPipe, Modbus TCP, Industry 4.0, Threading</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Abstract</w:t>
      </w:r>
    </w:p>
    <w:p>
      <w:pPr>
        <w:spacing w:line="240" w:lineRule="auto"/>
        <w:jc w:val="center"/>
        <w:rPr>
          <w:rFonts w:ascii="Times New Roman" w:cs="Times New Roman" w:eastAsia="Times New Roman" w:hAnsi="Times New Roman"/>
          <w:sz w:val="28"/>
          <w:szCs w:val="28"/>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This paper presents GestPLC: Real-Time Hand Gesture Recognition for PLC Control using MediaPipe and Modbus TCP for Industry 4.0 Applications. A dedicated English abstract was not provided in the source JSON, so this placeholder summary preserves the JTRANSIENT abstract format for verification.</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i w:val="1"/>
          <w:sz w:val="20"/>
          <w:szCs w:val="20"/>
          <w:rtl w:val="0"/>
        </w:rPr>
        <w:t>Keywords: Hand Gesture Recognition, PLC Control, MediaPipe, Modbus TCP, Industry 4.0, Threading</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sectPr>
          <w:headerReference r:id="rId8" w:type="default"/>
          <w:headerReference r:id="rId9" w:type="first"/>
          <w:headerReference r:id="rId10" w:type="even"/>
          <w:footerReference r:id="rId11" w:type="default"/>
          <w:footerReference r:id="rId12" w:type="first"/>
          <w:footerReference r:id="rId13" w:type="even"/>
          <w:pgSz w:h="16839" w:w="11907" w:orient="portrait"/>
          <w:pgMar w:bottom="1418" w:top="1985" w:left="1134" w:right="1134" w:header="720" w:footer="720"/>
          <w:pgNumType w:start="1"/>
          <w:titlePg w:val="1"/>
        </w:sectPr>
      </w:pPr>
    </w:p>
    <w:p>
      <w:pPr>
        <w:spacing w:line="240" w:lineRule="auto"/>
        <w:jc w:val="both"/>
        <w:rPr>
          <w:rFonts w:ascii="Times New Roman" w:cs="Times New Roman" w:eastAsia="Times New Roman" w:hAnsi="Times New Roman"/>
          <w:sz w:val="24"/>
          <w:szCs w:val="24"/>
        </w:rPr>
        <w:sectPr>
          <w:type w:val="continuous"/>
          <w:pgSz w:h="16839" w:w="11907" w:orient="portrait"/>
          <w:pgMar w:bottom="1418" w:top="1985" w:left="1134" w:right="1134" w:header="720" w:footer="720"/>
          <w:pgNumType w:start="1"/>
          <w:cols w:equalWidth="0" w:num="2">
            <w:col w:space="284" w:w="4677.5"/>
            <w:col w:space="0" w:w="4677.5"/>
          </w:cols>
          <w:titlePg w:val="1"/>
        </w:sectPr>
      </w:pP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1. Pendahuluan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2. Tinjauan Pustaka</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2.1.</w:t>
        <w:tab/>
        <w:t>Metode Pengenalan Gestur Tangan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/home/sirobo/papergenerator/backend/tools/Journal/gambar/Timeline perkembangan teknologi pengenalan gestur tangan.png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1. Timeline Evolusi Teknologi Pengenalan Gestur Tangan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w:rPr>
                <w:rFonts w:ascii="Cambria Math" w:hAnsi="Cambria Math" w:eastAsia="Cambria Math" w:cs="Cambria Math"/>
                <w:sz w:val="20"/>
                <w:szCs w:val="20"/>
              </w:rPr>
              <m:t>P</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z</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oMath>
      <w:r>
        <w:rPr>
          <w:rFonts w:ascii="Times New Roman" w:cs="Times New Roman" w:eastAsia="Times New Roman" w:hAnsi="Times New Roman"/>
          <w:sz w:val="20"/>
          <w:szCs w:val="20"/>
          <w:rtl w:val="0"/>
        </w:rPr>
        <w:t xml:space="preserve"> diumpankan ke mesin aturan geometris yang berjalan di bawah satu milidetik tanpa data pelatihan. Perubahan set gestur hanya memerlukan penyesuaian threshold sudut.</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2.2.</w:t>
        <w:tab/>
        <w:t>Protokol Komunikasi PLC dan Modbus TCP</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2.3.</w:t>
        <w:tab/>
        <w:t>Antarmuka Manusia-Mesin Tanpa Sentuhan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3. METODOLOGI</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3.1.</w:t>
        <w:tab/>
        <w:t>Arsitektur Tiga Thread</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/home/sirobo/papergenerator/backend/tools/Journal/gambar/Python and PLC ModbusTCP.png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2. Arsitektur Sistem GestPLC</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total</m:t>
            </m:r>
          </m:sub>
        </m:sSub>
        <m:r>
          <w:rPr>
            <w:rFonts w:ascii="Cambria Math" w:hAnsi="Cambria Math" w:eastAsia="Cambria Math" w:cs="Cambria Math"/>
            <w:sz w:val="20"/>
            <w:szCs w:val="20"/>
          </w:rPr>
          <m:t>≈max(</m:t>
        </m:r>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cap</m:t>
            </m:r>
          </m:sub>
        </m:sSub>
        <m:r>
          <w:rPr>
            <w:rFonts w:ascii="Cambria Math" w:hAnsi="Cambria Math" w:eastAsia="Cambria Math" w:cs="Cambria Math"/>
            <w:sz w:val="20"/>
            <w:szCs w:val="20"/>
          </w:rPr>
          <m:t>,</m:t>
        </m:r>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inf</m:t>
            </m:r>
          </m:sub>
        </m:sSub>
        <m:r>
          <w:rPr>
            <w:rFonts w:ascii="Cambria Math" w:hAnsi="Cambria Math" w:eastAsia="Cambria Math" w:cs="Cambria Math"/>
            <w:sz w:val="20"/>
            <w:szCs w:val="20"/>
          </w:rPr>
          <m:t>,</m:t>
        </m:r>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modbus</m:t>
            </m:r>
          </m:sub>
        </m:sSub>
        <m:r>
          <w:rPr>
            <w:rFonts w:ascii="Cambria Math" w:hAnsi="Cambria Math" w:eastAsia="Cambria Math" w:cs="Cambria Math"/>
            <w:sz w:val="20"/>
            <w:szCs w:val="20"/>
          </w:rPr>
          <m:t>)+</m:t>
        </m:r>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queue</m:t>
            </m:r>
          </m:sub>
        </m:sSub>
      </m:oMath>
      <w:r>
        <w:rPr>
          <w:rFonts w:ascii="Times New Roman" w:cs="Times New Roman" w:eastAsia="Times New Roman" w:hAnsi="Times New Roman"/>
          <w:sz w:val="20"/>
          <w:szCs w:val="20"/>
          <w:rtl w:val="0"/>
        </w:rPr>
        <w:tab/>
        <w:tab/>
        <w:tab/>
        <w:tab/>
        <w:t>(1)</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 sini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cap</m:t>
            </m:r>
          </m:sub>
        </m:sSub>
      </m:oMath>
      <w:r>
        <w:rPr>
          <w:rFonts w:ascii="Times New Roman" w:cs="Times New Roman" w:eastAsia="Times New Roman" w:hAnsi="Times New Roman"/>
          <w:sz w:val="20"/>
          <w:szCs w:val="20"/>
          <w:rtl w:val="0"/>
        </w:rPr>
        <w:t xml:space="preserve"> adalah waktu penangkapan kamera,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inf</m:t>
            </m:r>
          </m:sub>
        </m:sSub>
      </m:oMath>
      <w:r>
        <w:rPr>
          <w:rFonts w:ascii="Times New Roman" w:cs="Times New Roman" w:eastAsia="Times New Roman" w:hAnsi="Times New Roman"/>
          <w:sz w:val="20"/>
          <w:szCs w:val="20"/>
          <w:rtl w:val="0"/>
        </w:rPr>
        <w:t xml:space="preserve"> waktu inferensi MediaPipe,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modbus</m:t>
            </m:r>
          </m:sub>
        </m:sSub>
      </m:oMath>
      <w:r>
        <w:rPr>
          <w:rFonts w:ascii="Times New Roman" w:cs="Times New Roman" w:eastAsia="Times New Roman" w:hAnsi="Times New Roman"/>
          <w:sz w:val="20"/>
          <w:szCs w:val="20"/>
          <w:rtl w:val="0"/>
        </w:rPr>
        <w:t xml:space="preserve"> satu round-trip Modbus, dan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queue</m:t>
            </m:r>
          </m:sub>
        </m:sSub>
      </m:oMath>
      <w:r>
        <w:rPr>
          <w:rFonts w:ascii="Times New Roman" w:cs="Times New Roman" w:eastAsia="Times New Roman" w:hAnsi="Times New Roman"/>
          <w:sz w:val="20"/>
          <w:szCs w:val="20"/>
          <w:rtl w:val="0"/>
        </w:rPr>
        <w:t xml:space="preserve"> overhead antar-thread. Dalam pengukuran kami,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queue</m:t>
            </m:r>
          </m:sub>
        </m:sSub>
      </m:oMath>
      <w:r>
        <w:rPr>
          <w:rFonts w:ascii="Times New Roman" w:cs="Times New Roman" w:eastAsia="Times New Roman" w:hAnsi="Times New Roman"/>
          <w:sz w:val="20"/>
          <w:szCs w:val="20"/>
          <w:rtl w:val="0"/>
        </w:rPr>
        <w:t xml:space="preserve"> konsisten di bawah 0,5 ms. Karena ketiga thread tumpang tindih, total delay sama dengan thread paling lambat ditambah overhead queue. Ini hanya berlaku karena backend C++ melepas GIL.</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3.2.</w:t>
        <w:tab/>
        <w:t>Konfigurasi Hardware dan Setup PC-PLC</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/home/sirobo/papergenerator/backend/tools/Journal/gambar/Setting Alamat IP di PC dan PLC.png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3. Konfigurasi Jaringan PC dan PLC</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/home/sirobo/papergenerator/backend/tools/Journal/gambar/Baca M200 -M203 sambungkan ke Q0 -Q03.png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4. Diagram Ladder Pemetaan M200-M203 ke Q0-Q3</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Logika ladder (Gbr. 4): M200 M203 sebagai kontak normally-open menggerakkan coil output Q0 Q3.</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/home/sirobo/papergenerator/backend/tools/Journal/gambar/Function Block Read M200-203.png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5. Function Block Pembacaan M200-M203</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Function block (Gbr. 5) membaca array coil M200 M203 setiap siklus scan dan meneruskan nilainya ke output Q0 Q3. Pada scan rate default (~1 ms), perintah gestur baru ditangkap dalam satu siklus dan output fisik langsung mengikuti.</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3.3.</w:t>
        <w:tab/>
        <w:t>Pengenalan Gestur Geometris MediaPipe</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Setiap frame RGB dari OpenCV dilewatkan ke model hand-landmark MediaPipe [1], yang mengembalikan 21 titik per tangan: pergelangan tangan, sendi MCP, PIP, DIP untuk setiap jari, plus empat ujung jari.</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/home/sirobo/papergenerator/backend/tools/Journal/gambar/landmark 21 titik.png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6. 21 Landmark Tangan MediaPipe</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Ke-21 landmark (bernomor 0 20) ditunjukkan pada Gbr. 6. Prototipe awal memverifikasi bahwa output MediaPipe stabil dalam kisaran ~30 derajat dari sumbu kamera.</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/home/sirobo/papergenerator/backend/tools/Journal/gambar/Percobaan Program Python untuk Uji Coba Media Pipe.png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7. Prototipe Python untuk Validasi MediaPipe</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Jendela diagnostik PyQt5 (Gbr. 7) menampilkan landmark dan garis penghubung pada feed webcam langsung, mengonfirmasi konsistensi output MediaPipe selama kemiringan dalam ~30 derajat. Setiap landmark berupa koordinat 3-D ternormalisasi:</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𝐩</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z</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r>
          <w:rPr>
            <w:rFonts w:ascii="Cambria Math" w:hAnsi="Cambria Math" w:eastAsia="Cambria Math" w:cs="Cambria Math"/>
            <w:sz w:val="20"/>
            <w:szCs w:val="20"/>
          </w:rPr>
          <m:t>i=0,1,2,…,20</m:t>
        </m:r>
      </m:oMath>
      <w:r>
        <w:rPr>
          <w:rFonts w:ascii="Times New Roman" w:cs="Times New Roman" w:eastAsia="Times New Roman" w:hAnsi="Times New Roman"/>
          <w:sz w:val="20"/>
          <w:szCs w:val="20"/>
          <w:rtl w:val="0"/>
        </w:rPr>
        <w:tab/>
        <w:tab/>
        <w:tab/>
        <w:tab/>
        <w:t>(2)</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Pada persamaan (2),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dan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berada dalam </w:t>
      </w:r>
      <m:oMath xmlns:mml="http://www.w3.org/1998/Math/MathML">
        <m:r>
          <w:rPr>
            <w:rFonts w:ascii="Cambria Math" w:hAnsi="Cambria Math" w:eastAsia="Cambria Math" w:cs="Cambria Math"/>
            <w:sz w:val="20"/>
            <w:szCs w:val="20"/>
          </w:rPr>
          <m:t>[0,1]</m:t>
        </m:r>
      </m:oMath>
      <w:r>
        <w:rPr>
          <w:rFonts w:ascii="Times New Roman" w:cs="Times New Roman" w:eastAsia="Times New Roman" w:hAnsi="Times New Roman"/>
          <w:sz w:val="20"/>
          <w:szCs w:val="20"/>
          <w:rtl w:val="0"/>
        </w:rPr>
        <w:t xml:space="preserve"> relatif terhadap dimensi gambar, </w:t>
      </w:r>
      <m:oMath xmlns:mml="http://www.w3.org/1998/Math/MathML">
        <m:sSub>
          <m:e>
            <m:r>
              <w:rPr>
                <w:rFonts w:ascii="Cambria Math" w:hAnsi="Cambria Math" w:eastAsia="Cambria Math" w:cs="Cambria Math"/>
                <w:sz w:val="20"/>
                <w:szCs w:val="20"/>
              </w:rPr>
              <m:t>z</m:t>
            </m:r>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mengkodekan kedalaman relatif terhadap pergelangan tangan. Jarak Euclidean antara dua landmark:</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d</m:t>
            </m:r>
          </m:e>
          <m:sub>
            <m:r>
              <w:rPr>
                <w:rFonts w:ascii="Cambria Math" w:hAnsi="Cambria Math" w:eastAsia="Cambria Math" w:cs="Cambria Math"/>
                <w:sz w:val="20"/>
                <w:szCs w:val="20"/>
              </w:rPr>
              <m:t>ij</m:t>
            </m:r>
          </m:sub>
        </m:sSub>
        <m:r>
          <w:rPr>
            <w:rFonts w:ascii="Cambria Math" w:hAnsi="Cambria Math" w:eastAsia="Cambria Math" w:cs="Cambria Math"/>
            <w:sz w:val="20"/>
            <w:szCs w:val="20"/>
          </w:rPr>
          <m:t>=</m:t>
        </m:r>
        <m:rad>
          <m:radPr>
            <m:degHide m:val="on"/>
          </m:radPr>
          <m:deg/>
          <m:e>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j</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i</m:t>
                </m:r>
              </m:sub>
            </m:sSub>
            <m:sSup>
              <m:e>
                <m:r>
                  <w:rPr>
                    <w:rFonts w:ascii="Cambria Math" w:hAnsi="Cambria Math" w:eastAsia="Cambria Math" w:cs="Cambria Math"/>
                    <w:sz w:val="20"/>
                    <w:szCs w:val="20"/>
                  </w:rPr>
                  <m:t>)</m:t>
                </m:r>
              </m:e>
              <m:sup>
                <m:r>
                  <w:rPr>
                    <w:rFonts w:ascii="Cambria Math" w:hAnsi="Cambria Math" w:eastAsia="Cambria Math" w:cs="Cambria Math"/>
                    <w:sz w:val="20"/>
                    <w:szCs w:val="20"/>
                  </w:rPr>
                  <m:t>2</m:t>
                </m:r>
              </m:sup>
            </m:sSup>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j</m:t>
                </m:r>
              </m:sub>
            </m:sSub>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sSup>
              <m:e>
                <m:r>
                  <w:rPr>
                    <w:rFonts w:ascii="Cambria Math" w:hAnsi="Cambria Math" w:eastAsia="Cambria Math" w:cs="Cambria Math"/>
                    <w:sz w:val="20"/>
                    <w:szCs w:val="20"/>
                  </w:rPr>
                  <m:t>)</m:t>
                </m:r>
              </m:e>
              <m:sup>
                <m:r>
                  <w:rPr>
                    <w:rFonts w:ascii="Cambria Math" w:hAnsi="Cambria Math" w:eastAsia="Cambria Math" w:cs="Cambria Math"/>
                    <w:sz w:val="20"/>
                    <w:szCs w:val="20"/>
                  </w:rPr>
                  <m:t>2</m:t>
                </m:r>
              </m:sup>
            </m:sSup>
          </m:e>
        </m:rad>
      </m:oMath>
      <w:r>
        <w:rPr>
          <w:rFonts w:ascii="Times New Roman" w:cs="Times New Roman" w:eastAsia="Times New Roman" w:hAnsi="Times New Roman"/>
          <w:sz w:val="20"/>
          <w:szCs w:val="20"/>
          <w:rtl w:val="0"/>
        </w:rPr>
        <w:tab/>
        <w:tab/>
        <w:tab/>
        <w:tab/>
        <w:t>(3)</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Jarak piksel mentah berubah tergantung jarak tangan dari kamera. Untuk menghilangkan ketergantungan skala, dibagi dengan </w:t>
      </w:r>
      <m:oMath xmlns:mml="http://www.w3.org/1998/Math/MathML">
        <m:sSub>
          <m:e>
            <m:r>
              <w:rPr>
                <w:rFonts w:ascii="Cambria Math" w:hAnsi="Cambria Math" w:eastAsia="Cambria Math" w:cs="Cambria Math"/>
                <w:sz w:val="20"/>
                <w:szCs w:val="20"/>
              </w:rPr>
              <m:t>d</m:t>
            </m:r>
          </m:e>
          <m:sub>
            <m:r>
              <w:rPr>
                <w:rFonts w:ascii="Cambria Math" w:hAnsi="Cambria Math" w:eastAsia="Cambria Math" w:cs="Cambria Math"/>
                <w:sz w:val="20"/>
                <w:szCs w:val="20"/>
              </w:rPr>
              <m:t>0,9</m:t>
            </m:r>
          </m:sub>
        </m:sSub>
      </m:oMath>
      <w:r>
        <w:rPr>
          <w:rFonts w:ascii="Times New Roman" w:cs="Times New Roman" w:eastAsia="Times New Roman" w:hAnsi="Times New Roman"/>
          <w:sz w:val="20"/>
          <w:szCs w:val="20"/>
          <w:rtl w:val="0"/>
        </w:rPr>
        <w:t xml:space="preserve"> (jarak pergelangan tangan ke middle-MCP):</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d</m:t>
            </m:r>
          </m:e>
          <m:sub>
            <m:r>
              <w:rPr>
                <w:rFonts w:ascii="Cambria Math" w:hAnsi="Cambria Math" w:eastAsia="Cambria Math" w:cs="Cambria Math"/>
                <w:sz w:val="20"/>
                <w:szCs w:val="20"/>
              </w:rPr>
              <m:rPr>
                <m:sty m:val="p"/>
              </m:rPr>
              <m:t>norm</m:t>
            </m:r>
            <m:r>
              <w:rPr>
                <w:rFonts w:ascii="Cambria Math" w:hAnsi="Cambria Math" w:eastAsia="Cambria Math" w:cs="Cambria Math"/>
                <w:sz w:val="20"/>
                <w:szCs w:val="20"/>
              </w:rPr>
              <m:t>,ij</m:t>
            </m:r>
          </m:sub>
        </m:sSub>
        <m:r>
          <w:rPr>
            <w:rFonts w:ascii="Cambria Math" w:hAnsi="Cambria Math" w:eastAsia="Cambria Math" w:cs="Cambria Math"/>
            <w:sz w:val="20"/>
            <w:szCs w:val="20"/>
          </w:rPr>
          <m:t>=</m:t>
        </m:r>
        <m:f>
          <m:fPr>
            <m:type m:val="bar"/>
          </m:fPr>
          <m:num>
            <m:sSub>
              <m:e>
                <m:r>
                  <w:rPr>
                    <w:rFonts w:ascii="Cambria Math" w:hAnsi="Cambria Math" w:eastAsia="Cambria Math" w:cs="Cambria Math"/>
                    <w:sz w:val="20"/>
                    <w:szCs w:val="20"/>
                  </w:rPr>
                  <m:t>d</m:t>
                </m:r>
              </m:e>
              <m:sub>
                <m:r>
                  <w:rPr>
                    <w:rFonts w:ascii="Cambria Math" w:hAnsi="Cambria Math" w:eastAsia="Cambria Math" w:cs="Cambria Math"/>
                    <w:sz w:val="20"/>
                    <w:szCs w:val="20"/>
                  </w:rPr>
                  <m:t>ij</m:t>
                </m:r>
              </m:sub>
            </m:sSub>
          </m:num>
          <m:den>
            <m:sSub>
              <m:e>
                <m:r>
                  <w:rPr>
                    <w:rFonts w:ascii="Cambria Math" w:hAnsi="Cambria Math" w:eastAsia="Cambria Math" w:cs="Cambria Math"/>
                    <w:sz w:val="20"/>
                    <w:szCs w:val="20"/>
                  </w:rPr>
                  <m:t>d</m:t>
                </m:r>
              </m:e>
              <m:sub>
                <m:r>
                  <w:rPr>
                    <w:rFonts w:ascii="Cambria Math" w:hAnsi="Cambria Math" w:eastAsia="Cambria Math" w:cs="Cambria Math"/>
                    <w:sz w:val="20"/>
                    <w:szCs w:val="20"/>
                  </w:rPr>
                  <m:t>0,9</m:t>
                </m:r>
              </m:sub>
            </m:sSub>
          </m:den>
        </m:f>
      </m:oMath>
      <w:r>
        <w:rPr>
          <w:rFonts w:ascii="Times New Roman" w:cs="Times New Roman" w:eastAsia="Times New Roman" w:hAnsi="Times New Roman"/>
          <w:sz w:val="20"/>
          <w:szCs w:val="20"/>
          <w:rtl w:val="0"/>
        </w:rPr>
        <w:tab/>
        <w:tab/>
        <w:tab/>
        <w:tab/>
        <w:t>(4)</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Setelah normalisasi, </w:t>
      </w:r>
      <m:oMath xmlns:mml="http://www.w3.org/1998/Math/MathML">
        <m:sSub>
          <m:e>
            <m:r>
              <w:rPr>
                <w:rFonts w:ascii="Cambria Math" w:hAnsi="Cambria Math" w:eastAsia="Cambria Math" w:cs="Cambria Math"/>
                <w:sz w:val="20"/>
                <w:szCs w:val="20"/>
              </w:rPr>
              <m:t>d</m:t>
            </m:r>
          </m:e>
          <m:sub>
            <m:r>
              <w:rPr>
                <w:rFonts w:ascii="Cambria Math" w:hAnsi="Cambria Math" w:eastAsia="Cambria Math" w:cs="Cambria Math"/>
                <w:sz w:val="20"/>
                <w:szCs w:val="20"/>
              </w:rPr>
              <m:rPr>
                <m:sty m:val="p"/>
              </m:rPr>
              <m:t>norm</m:t>
            </m:r>
            <m:r>
              <w:rPr>
                <w:rFonts w:ascii="Cambria Math" w:hAnsi="Cambria Math" w:eastAsia="Cambria Math" w:cs="Cambria Math"/>
                <w:sz w:val="20"/>
                <w:szCs w:val="20"/>
              </w:rPr>
              <m:t>,ij</m:t>
            </m:r>
          </m:sub>
        </m:sSub>
      </m:oMath>
      <w:r>
        <w:rPr>
          <w:rFonts w:ascii="Times New Roman" w:cs="Times New Roman" w:eastAsia="Times New Roman" w:hAnsi="Times New Roman"/>
          <w:sz w:val="20"/>
          <w:szCs w:val="20"/>
          <w:rtl w:val="0"/>
        </w:rPr>
        <w:t xml:space="preserve"> mencerminkan bentuk tangan independen dari jarak kamera. Untuk ekstensi jari, dibutuhkan sudut sendi. Vektor arah:</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limUpp>
              <m:e>
                <m:r>
                  <w:rPr>
                    <w:rFonts w:ascii="Cambria Math" w:hAnsi="Cambria Math" w:eastAsia="Cambria Math" w:cs="Cambria Math"/>
                    <w:sz w:val="20"/>
                    <w:szCs w:val="20"/>
                  </w:rPr>
                  <m:t>v</m:t>
                </m:r>
              </m:e>
              <m:lim>
                <m:r>
                  <w:rPr>
                    <w:rFonts w:ascii="Cambria Math" w:hAnsi="Cambria Math" w:eastAsia="Cambria Math" w:cs="Cambria Math"/>
                    <w:sz w:val="20"/>
                    <w:szCs w:val="20"/>
                  </w:rPr>
                  <m:t>→</m:t>
                </m:r>
              </m:lim>
            </m:limUpp>
          </m:e>
          <m:sub>
            <m:r>
              <w:rPr>
                <w:rFonts w:ascii="Cambria Math" w:hAnsi="Cambria Math" w:eastAsia="Cambria Math" w:cs="Cambria Math"/>
                <w:sz w:val="20"/>
                <w:szCs w:val="20"/>
              </w:rPr>
              <m:t>ij</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j</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j</m:t>
            </m:r>
          </m:sub>
        </m:sSub>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oMath>
      <w:r>
        <w:rPr>
          <w:rFonts w:ascii="Times New Roman" w:cs="Times New Roman" w:eastAsia="Times New Roman" w:hAnsi="Times New Roman"/>
          <w:sz w:val="20"/>
          <w:szCs w:val="20"/>
          <w:rtl w:val="0"/>
        </w:rPr>
        <w:tab/>
        <w:tab/>
        <w:tab/>
        <w:tab/>
        <w:t>(5)</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Besarnya:</w:t>
      </w:r>
    </w:p>
    <w:p>
      <w:pPr>
        <w:spacing w:line="240" w:lineRule="auto" w:before="60" w:after="60"/>
        <w:ind w:firstLine="720"/>
        <w:jc w:val="both"/>
        <w:rPr>
          <w:rFonts w:ascii="Times New Roman" w:cs="Times New Roman" w:eastAsia="Times New Roman" w:hAnsi="Times New Roman"/>
          <w:sz w:val="20"/>
          <w:szCs w:val="20"/>
        </w:rPr>
      </w:pPr>
      <m:oMath xmlns:mml="http://www.w3.org/1998/Math/MathML">
        <m:r>
          <w:rPr>
            <w:rFonts w:ascii="Cambria Math" w:hAnsi="Cambria Math" w:eastAsia="Cambria Math" w:cs="Cambria Math"/>
            <w:sz w:val="20"/>
            <w:szCs w:val="20"/>
          </w:rPr>
          <m:t>|</m:t>
        </m:r>
        <m:limUpp>
          <m:e>
            <m:r>
              <w:rPr>
                <w:rFonts w:ascii="Cambria Math" w:hAnsi="Cambria Math" w:eastAsia="Cambria Math" w:cs="Cambria Math"/>
                <w:sz w:val="20"/>
                <w:szCs w:val="20"/>
              </w:rPr>
              <m:t>v</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rad>
          <m:radPr>
            <m:degHide m:val="on"/>
          </m:radPr>
          <m:deg/>
          <m:e>
            <m:sSubSup>
              <m:e>
                <m:r>
                  <w:rPr>
                    <w:rFonts w:ascii="Cambria Math" w:hAnsi="Cambria Math" w:eastAsia="Cambria Math" w:cs="Cambria Math"/>
                    <w:sz w:val="20"/>
                    <w:szCs w:val="20"/>
                  </w:rPr>
                  <m:t>v</m:t>
                </m:r>
              </m:e>
              <m:sub>
                <m:r>
                  <w:rPr>
                    <w:rFonts w:ascii="Cambria Math" w:hAnsi="Cambria Math" w:eastAsia="Cambria Math" w:cs="Cambria Math"/>
                    <w:sz w:val="20"/>
                    <w:szCs w:val="20"/>
                  </w:rPr>
                  <m:t>x</m:t>
                </m:r>
              </m:sub>
              <m:sup>
                <m:r>
                  <w:rPr>
                    <w:rFonts w:ascii="Cambria Math" w:hAnsi="Cambria Math" w:eastAsia="Cambria Math" w:cs="Cambria Math"/>
                    <w:sz w:val="20"/>
                    <w:szCs w:val="20"/>
                  </w:rPr>
                  <m:t>2</m:t>
                </m:r>
              </m:sup>
            </m:sSubSup>
            <m:r>
              <w:rPr>
                <w:rFonts w:ascii="Cambria Math" w:hAnsi="Cambria Math" w:eastAsia="Cambria Math" w:cs="Cambria Math"/>
                <w:sz w:val="20"/>
                <w:szCs w:val="20"/>
              </w:rPr>
              <m:t>+</m:t>
            </m:r>
            <m:sSubSup>
              <m:e>
                <m:r>
                  <w:rPr>
                    <w:rFonts w:ascii="Cambria Math" w:hAnsi="Cambria Math" w:eastAsia="Cambria Math" w:cs="Cambria Math"/>
                    <w:sz w:val="20"/>
                    <w:szCs w:val="20"/>
                  </w:rPr>
                  <m:t>v</m:t>
                </m:r>
              </m:e>
              <m:sub>
                <m:r>
                  <w:rPr>
                    <w:rFonts w:ascii="Cambria Math" w:hAnsi="Cambria Math" w:eastAsia="Cambria Math" w:cs="Cambria Math"/>
                    <w:sz w:val="20"/>
                    <w:szCs w:val="20"/>
                  </w:rPr>
                  <m:t>y</m:t>
                </m:r>
              </m:sub>
              <m:sup>
                <m:r>
                  <w:rPr>
                    <w:rFonts w:ascii="Cambria Math" w:hAnsi="Cambria Math" w:eastAsia="Cambria Math" w:cs="Cambria Math"/>
                    <w:sz w:val="20"/>
                    <w:szCs w:val="20"/>
                  </w:rPr>
                  <m:t>2</m:t>
                </m:r>
              </m:sup>
            </m:sSubSup>
          </m:e>
        </m:rad>
      </m:oMath>
      <w:r>
        <w:rPr>
          <w:rFonts w:ascii="Times New Roman" w:cs="Times New Roman" w:eastAsia="Times New Roman" w:hAnsi="Times New Roman"/>
          <w:sz w:val="20"/>
          <w:szCs w:val="20"/>
          <w:rtl w:val="0"/>
        </w:rPr>
        <w:tab/>
        <w:tab/>
        <w:tab/>
        <w:tab/>
        <w:t>(6)</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Dot product dari dua vektor segmen tulang yang bersebelahan:</w:t>
      </w:r>
    </w:p>
    <w:p>
      <w:pPr>
        <w:spacing w:line="240" w:lineRule="auto" w:before="60" w:after="60"/>
        <w:ind w:firstLine="720"/>
        <w:jc w:val="both"/>
        <w:rPr>
          <w:rFonts w:ascii="Times New Roman" w:cs="Times New Roman" w:eastAsia="Times New Roman" w:hAnsi="Times New Roman"/>
          <w:sz w:val="20"/>
          <w:szCs w:val="20"/>
        </w:rPr>
      </w:pPr>
      <m:oMath xmlns:mml="http://www.w3.org/1998/Math/MathML">
        <m:limUpp>
          <m:e>
            <m:r>
              <w:rPr>
                <w:rFonts w:ascii="Cambria Math" w:hAnsi="Cambria Math" w:eastAsia="Cambria Math" w:cs="Cambria Math"/>
                <w:sz w:val="20"/>
                <w:szCs w:val="20"/>
              </w:rPr>
              <m:t>A</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limUpp>
          <m:e>
            <m:r>
              <w:rPr>
                <w:rFonts w:ascii="Cambria Math" w:hAnsi="Cambria Math" w:eastAsia="Cambria Math" w:cs="Cambria Math"/>
                <w:sz w:val="20"/>
                <w:szCs w:val="20"/>
              </w:rPr>
              <m:t>B</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x</m:t>
            </m:r>
          </m:sub>
        </m:sSub>
        <m:sSub>
          <m:e>
            <m:r>
              <w:rPr>
                <w:rFonts w:ascii="Cambria Math" w:hAnsi="Cambria Math" w:eastAsia="Cambria Math" w:cs="Cambria Math"/>
                <w:sz w:val="20"/>
                <w:szCs w:val="20"/>
              </w:rPr>
              <m:t>B</m:t>
            </m:r>
          </m:e>
          <m:sub>
            <m:r>
              <w:rPr>
                <w:rFonts w:ascii="Cambria Math" w:hAnsi="Cambria Math" w:eastAsia="Cambria Math" w:cs="Cambria Math"/>
                <w:sz w:val="20"/>
                <w:szCs w:val="20"/>
              </w:rPr>
              <m:t>x</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y</m:t>
            </m:r>
          </m:sub>
        </m:sSub>
        <m:sSub>
          <m:e>
            <m:r>
              <w:rPr>
                <w:rFonts w:ascii="Cambria Math" w:hAnsi="Cambria Math" w:eastAsia="Cambria Math" w:cs="Cambria Math"/>
                <w:sz w:val="20"/>
                <w:szCs w:val="20"/>
              </w:rPr>
              <m:t>B</m:t>
            </m:r>
          </m:e>
          <m:sub>
            <m:r>
              <w:rPr>
                <w:rFonts w:ascii="Cambria Math" w:hAnsi="Cambria Math" w:eastAsia="Cambria Math" w:cs="Cambria Math"/>
                <w:sz w:val="20"/>
                <w:szCs w:val="20"/>
              </w:rPr>
              <m:t>y</m:t>
            </m:r>
          </m:sub>
        </m:sSub>
      </m:oMath>
      <w:r>
        <w:rPr>
          <w:rFonts w:ascii="Times New Roman" w:cs="Times New Roman" w:eastAsia="Times New Roman" w:hAnsi="Times New Roman"/>
          <w:sz w:val="20"/>
          <w:szCs w:val="20"/>
          <w:rtl w:val="0"/>
        </w:rPr>
        <w:tab/>
        <w:tab/>
        <w:tab/>
        <w:tab/>
        <w:t>(7)</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Sudut antar-sendi, untuk tiga landmark berurutan (</w:t>
      </w:r>
      <m:oMath xmlns:mml="http://www.w3.org/1998/Math/MathML">
        <m:r>
          <w:rPr>
            <w:rFonts w:ascii="Cambria Math" w:hAnsi="Cambria Math" w:eastAsia="Cambria Math" w:cs="Cambria Math"/>
            <w:sz w:val="20"/>
            <w:szCs w:val="20"/>
          </w:rPr>
          <m:t>A</m:t>
        </m:r>
      </m:oMath>
      <w:r>
        <w:rPr>
          <w:rFonts w:ascii="Times New Roman" w:cs="Times New Roman" w:eastAsia="Times New Roman" w:hAnsi="Times New Roman"/>
          <w:sz w:val="20"/>
          <w:szCs w:val="20"/>
          <w:rtl w:val="0"/>
        </w:rPr>
        <w:t xml:space="preserve"> = ujung jari, </w:t>
      </w:r>
      <m:oMath xmlns:mml="http://www.w3.org/1998/Math/MathML">
        <m:r>
          <w:rPr>
            <w:rFonts w:ascii="Cambria Math" w:hAnsi="Cambria Math" w:eastAsia="Cambria Math" w:cs="Cambria Math"/>
            <w:sz w:val="20"/>
            <w:szCs w:val="20"/>
          </w:rPr>
          <m:t>B</m:t>
        </m:r>
      </m:oMath>
      <w:r>
        <w:rPr>
          <w:rFonts w:ascii="Times New Roman" w:cs="Times New Roman" w:eastAsia="Times New Roman" w:hAnsi="Times New Roman"/>
          <w:sz w:val="20"/>
          <w:szCs w:val="20"/>
          <w:rtl w:val="0"/>
        </w:rPr>
        <w:t xml:space="preserve"> = sendi tengah, </w:t>
      </w:r>
      <m:oMath xmlns:mml="http://www.w3.org/1998/Math/MathML">
        <m:r>
          <w:rPr>
            <w:rFonts w:ascii="Cambria Math" w:hAnsi="Cambria Math" w:eastAsia="Cambria Math" w:cs="Cambria Math"/>
            <w:sz w:val="20"/>
            <w:szCs w:val="20"/>
          </w:rPr>
          <m:t>C</m:t>
        </m:r>
      </m:oMath>
      <w:r>
        <w:rPr>
          <w:rFonts w:ascii="Times New Roman" w:cs="Times New Roman" w:eastAsia="Times New Roman" w:hAnsi="Times New Roman"/>
          <w:sz w:val="20"/>
          <w:szCs w:val="20"/>
          <w:rtl w:val="0"/>
        </w:rPr>
        <w:t xml:space="preserve"> = pangkal):</w:t>
      </w:r>
    </w:p>
    <w:p>
      <w:pPr>
        <w:spacing w:line="240" w:lineRule="auto" w:before="60" w:after="60"/>
        <w:ind w:firstLine="720"/>
        <w:jc w:val="both"/>
        <w:rPr>
          <w:rFonts w:ascii="Times New Roman" w:cs="Times New Roman" w:eastAsia="Times New Roman" w:hAnsi="Times New Roman"/>
          <w:sz w:val="20"/>
          <w:szCs w:val="20"/>
        </w:rPr>
      </w:pPr>
      <m:oMath xmlns:mml="http://www.w3.org/1998/Math/MathML">
        <m:r>
          <w:rPr>
            <w:rFonts w:ascii="Cambria Math" w:hAnsi="Cambria Math" w:eastAsia="Cambria Math" w:cs="Cambria Math"/>
            <w:sz w:val="20"/>
            <w:szCs w:val="20"/>
          </w:rPr>
          <m:t>θ=</m:t>
        </m:r>
        <m:sSup>
          <m:e>
            <m:r>
              <w:rPr>
                <w:rFonts w:ascii="Cambria Math" w:hAnsi="Cambria Math" w:eastAsia="Cambria Math" w:cs="Cambria Math"/>
                <w:sz w:val="20"/>
                <w:szCs w:val="20"/>
              </w:rPr>
              <m:rPr>
                <m:sty m:val="p"/>
              </m:rPr>
              <m:t>cos</m:t>
            </m:r>
          </m:e>
          <m:sup>
            <m:r>
              <w:rPr>
                <w:rFonts w:ascii="Cambria Math" w:hAnsi="Cambria Math" w:eastAsia="Cambria Math" w:cs="Cambria Math"/>
                <w:sz w:val="20"/>
                <w:szCs w:val="20"/>
              </w:rPr>
              <m:t>−1</m:t>
            </m:r>
          </m:sup>
        </m:sSup>
        <m:r>
          <w:rPr>
            <w:rFonts w:ascii="Cambria Math" w:hAnsi="Cambria Math" w:eastAsia="Cambria Math" w:cs="Cambria Math"/>
            <w:sz w:val="20"/>
            <w:szCs w:val="20"/>
          </w:rPr>
          <m:t>(</m:t>
        </m:r>
        <m:f>
          <m:fPr>
            <m:type m:val="bar"/>
          </m:fPr>
          <m:num>
            <m:limUpp>
              <m:e>
                <m:r>
                  <w:rPr>
                    <w:rFonts w:ascii="Cambria Math" w:hAnsi="Cambria Math" w:eastAsia="Cambria Math" w:cs="Cambria Math"/>
                    <w:sz w:val="20"/>
                    <w:szCs w:val="20"/>
                  </w:rPr>
                  <m:t>BA</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limUpp>
              <m:e>
                <m:r>
                  <w:rPr>
                    <w:rFonts w:ascii="Cambria Math" w:hAnsi="Cambria Math" w:eastAsia="Cambria Math" w:cs="Cambria Math"/>
                    <w:sz w:val="20"/>
                    <w:szCs w:val="20"/>
                  </w:rPr>
                  <m:t>BC</m:t>
                </m:r>
              </m:e>
              <m:lim>
                <m:r>
                  <w:rPr>
                    <w:rFonts w:ascii="Cambria Math" w:hAnsi="Cambria Math" w:eastAsia="Cambria Math" w:cs="Cambria Math"/>
                    <w:sz w:val="20"/>
                    <w:szCs w:val="20"/>
                  </w:rPr>
                  <m:t>→</m:t>
                </m:r>
              </m:lim>
            </m:limUpp>
          </m:num>
          <m:den>
            <m:r>
              <w:rPr>
                <w:rFonts w:ascii="Cambria Math" w:hAnsi="Cambria Math" w:eastAsia="Cambria Math" w:cs="Cambria Math"/>
                <w:sz w:val="20"/>
                <w:szCs w:val="20"/>
              </w:rPr>
              <m:t>|</m:t>
            </m:r>
            <m:limUpp>
              <m:e>
                <m:r>
                  <w:rPr>
                    <w:rFonts w:ascii="Cambria Math" w:hAnsi="Cambria Math" w:eastAsia="Cambria Math" w:cs="Cambria Math"/>
                    <w:sz w:val="20"/>
                    <w:szCs w:val="20"/>
                  </w:rPr>
                  <m:t>BA</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limUpp>
              <m:e>
                <m:r>
                  <w:rPr>
                    <w:rFonts w:ascii="Cambria Math" w:hAnsi="Cambria Math" w:eastAsia="Cambria Math" w:cs="Cambria Math"/>
                    <w:sz w:val="20"/>
                    <w:szCs w:val="20"/>
                  </w:rPr>
                  <m:t>BC</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den>
        </m:f>
        <m:r>
          <w:rPr>
            <w:rFonts w:ascii="Cambria Math" w:hAnsi="Cambria Math" w:eastAsia="Cambria Math" w:cs="Cambria Math"/>
            <w:sz w:val="20"/>
            <w:szCs w:val="20"/>
          </w:rPr>
          <m:t>)</m:t>
        </m:r>
      </m:oMath>
      <w:r>
        <w:rPr>
          <w:rFonts w:ascii="Times New Roman" w:cs="Times New Roman" w:eastAsia="Times New Roman" w:hAnsi="Times New Roman"/>
          <w:sz w:val="20"/>
          <w:szCs w:val="20"/>
          <w:rtl w:val="0"/>
        </w:rPr>
        <w:tab/>
        <w:tab/>
        <w:tab/>
        <w:tab/>
        <w:t>(8)</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Sudut </w:t>
      </w:r>
      <m:oMath xmlns:mml="http://www.w3.org/1998/Math/MathML">
        <m:r>
          <w:rPr>
            <w:rFonts w:ascii="Cambria Math" w:hAnsi="Cambria Math" w:eastAsia="Cambria Math" w:cs="Cambria Math"/>
            <w:sz w:val="20"/>
            <w:szCs w:val="20"/>
          </w:rPr>
          <m:t>θ</m:t>
        </m:r>
      </m:oMath>
      <w:r>
        <w:rPr>
          <w:rFonts w:ascii="Times New Roman" w:cs="Times New Roman" w:eastAsia="Times New Roman" w:hAnsi="Times New Roman"/>
          <w:sz w:val="20"/>
          <w:szCs w:val="20"/>
          <w:rtl w:val="0"/>
        </w:rPr>
        <w:t xml:space="preserve"> menentukan apakah jari terektensi atau tertutup. Setelah kalibrasi, </w:t>
      </w:r>
      <m:oMath xmlns:mml="http://www.w3.org/1998/Math/MathML">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open</m:t>
            </m:r>
          </m:sub>
        </m:sSub>
        <m:r>
          <w:rPr>
            <w:rFonts w:ascii="Cambria Math" w:hAnsi="Cambria Math" w:eastAsia="Cambria Math" w:cs="Cambria Math"/>
            <w:sz w:val="20"/>
            <w:szCs w:val="20"/>
          </w:rPr>
          <m:t>≈</m:t>
        </m:r>
        <m:sSup>
          <m:e>
            <m:r>
              <w:rPr>
                <w:rFonts w:ascii="Cambria Math" w:hAnsi="Cambria Math" w:eastAsia="Cambria Math" w:cs="Cambria Math"/>
                <w:sz w:val="20"/>
                <w:szCs w:val="20"/>
              </w:rPr>
              <m:t>160</m:t>
            </m:r>
          </m:e>
          <m:sup>
            <m:r>
              <w:rPr>
                <w:rFonts w:ascii="Cambria Math" w:hAnsi="Cambria Math" w:eastAsia="Cambria Math" w:cs="Cambria Math"/>
                <w:sz w:val="20"/>
                <w:szCs w:val="20"/>
              </w:rPr>
              <m:t>∘</m:t>
            </m:r>
          </m:sup>
        </m:sSup>
      </m:oMath>
      <w:r>
        <w:rPr>
          <w:rFonts w:ascii="Times New Roman" w:cs="Times New Roman" w:eastAsia="Times New Roman" w:hAnsi="Times New Roman"/>
          <w:sz w:val="20"/>
          <w:szCs w:val="20"/>
          <w:rtl w:val="0"/>
        </w:rPr>
        <w:t xml:space="preserve"> dan </w:t>
      </w:r>
      <m:oMath xmlns:mml="http://www.w3.org/1998/Math/MathML">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close</m:t>
            </m:r>
          </m:sub>
        </m:sSub>
        <m:r>
          <w:rPr>
            <w:rFonts w:ascii="Cambria Math" w:hAnsi="Cambria Math" w:eastAsia="Cambria Math" w:cs="Cambria Math"/>
            <w:sz w:val="20"/>
            <w:szCs w:val="20"/>
          </w:rPr>
          <m:t>≈</m:t>
        </m:r>
        <m:sSup>
          <m:e>
            <m:r>
              <w:rPr>
                <w:rFonts w:ascii="Cambria Math" w:hAnsi="Cambria Math" w:eastAsia="Cambria Math" w:cs="Cambria Math"/>
                <w:sz w:val="20"/>
                <w:szCs w:val="20"/>
              </w:rPr>
              <m:t>140</m:t>
            </m:r>
          </m:e>
          <m:sup>
            <m:r>
              <w:rPr>
                <w:rFonts w:ascii="Cambria Math" w:hAnsi="Cambria Math" w:eastAsia="Cambria Math" w:cs="Cambria Math"/>
                <w:sz w:val="20"/>
                <w:szCs w:val="20"/>
              </w:rPr>
              <m:t>∘</m:t>
            </m:r>
          </m:sup>
        </m:sSup>
      </m:oMath>
      <w:r>
        <w:rPr>
          <w:rFonts w:ascii="Times New Roman" w:cs="Times New Roman" w:eastAsia="Times New Roman" w:hAnsi="Times New Roman"/>
          <w:sz w:val="20"/>
          <w:szCs w:val="20"/>
          <w:rtl w:val="0"/>
        </w:rPr>
        <w:t xml:space="preserve">. Jika </w:t>
      </w:r>
      <m:oMath xmlns:mml="http://www.w3.org/1998/Math/MathML">
        <m:r>
          <w:rPr>
            <w:rFonts w:ascii="Cambria Math" w:hAnsi="Cambria Math" w:eastAsia="Cambria Math" w:cs="Cambria Math"/>
            <w:sz w:val="20"/>
            <w:szCs w:val="20"/>
          </w:rPr>
          <m:t>θ&gt;</m:t>
        </m:r>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open</m:t>
            </m:r>
          </m:sub>
        </m:sSub>
      </m:oMath>
      <w:r>
        <w:rPr>
          <w:rFonts w:ascii="Times New Roman" w:cs="Times New Roman" w:eastAsia="Times New Roman" w:hAnsi="Times New Roman"/>
          <w:sz w:val="20"/>
          <w:szCs w:val="20"/>
          <w:rtl w:val="0"/>
        </w:rPr>
        <w:t xml:space="preserve"> maka jari terektensi (</w:t>
      </w:r>
      <m:oMath xmlns:mml="http://www.w3.org/1998/Math/MathML">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=1</m:t>
        </m:r>
      </m:oMath>
      <w:r>
        <w:rPr>
          <w:rFonts w:ascii="Times New Roman" w:cs="Times New Roman" w:eastAsia="Times New Roman" w:hAnsi="Times New Roman"/>
          <w:sz w:val="20"/>
          <w:szCs w:val="20"/>
          <w:rtl w:val="0"/>
        </w:rPr>
        <w:t xml:space="preserve">); di bawah </w:t>
      </w:r>
      <m:oMath xmlns:mml="http://www.w3.org/1998/Math/MathML">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close</m:t>
            </m:r>
          </m:sub>
        </m:sSub>
      </m:oMath>
      <w:r>
        <w:rPr>
          <w:rFonts w:ascii="Times New Roman" w:cs="Times New Roman" w:eastAsia="Times New Roman" w:hAnsi="Times New Roman"/>
          <w:sz w:val="20"/>
          <w:szCs w:val="20"/>
          <w:rtl w:val="0"/>
        </w:rPr>
        <w:t xml:space="preserve"> maka tertutup (</w:t>
      </w:r>
      <m:oMath xmlns:mml="http://www.w3.org/1998/Math/MathML">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=0</m:t>
        </m:r>
      </m:oMath>
      <w:r>
        <w:rPr>
          <w:rFonts w:ascii="Times New Roman" w:cs="Times New Roman" w:eastAsia="Times New Roman" w:hAnsi="Times New Roman"/>
          <w:sz w:val="20"/>
          <w:szCs w:val="20"/>
          <w:rtl w:val="0"/>
        </w:rPr>
        <w:t>):</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r>
          <w:rPr>
            <w:rFonts w:ascii="Cambria Math" w:hAnsi="Cambria Math" w:eastAsia="Cambria Math" w:cs="Cambria Math"/>
            <w:sz w:val="20"/>
            <w:szCs w:val="20"/>
          </w:rPr>
          <m:t>{</m:t>
        </m:r>
        <m:m>
          <m:mPr>
            <m:baseJc m:val="center"/>
            <m:plcHide m:val="on"/>
            <m:mcs>
              <m:mc>
                <m:mcPr>
                  <m:count m:val="2"/>
                  <m:mcJc m:val="center"/>
                </m:mcPr>
              </m:mc>
            </m:mcs>
          </m:mPr>
          <m:mr>
            <m:e>
              <m:r>
                <w:rPr>
                  <w:rFonts w:ascii="Cambria Math" w:hAnsi="Cambria Math" w:eastAsia="Cambria Math" w:cs="Cambria Math"/>
                  <w:sz w:val="20"/>
                  <w:szCs w:val="20"/>
                </w:rPr>
                <m:t>1,</m:t>
              </m:r>
            </m:e>
            <m:e>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t>&gt;</m:t>
              </m:r>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open</m:t>
                  </m:r>
                </m:sub>
              </m:sSub>
            </m:e>
          </m:mr>
          <m:mr>
            <m:e>
              <m:r>
                <w:rPr>
                  <w:rFonts w:ascii="Cambria Math" w:hAnsi="Cambria Math" w:eastAsia="Cambria Math" w:cs="Cambria Math"/>
                  <w:sz w:val="20"/>
                  <w:szCs w:val="20"/>
                </w:rPr>
                <m:t>0,</m:t>
              </m:r>
            </m:e>
            <m:e>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t>&lt;</m:t>
              </m:r>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close</m:t>
                  </m:r>
                </m:sub>
              </m:sSub>
            </m:e>
          </m:mr>
        </m:m>
      </m:oMath>
      <w:r>
        <w:rPr>
          <w:rFonts w:ascii="Times New Roman" w:cs="Times New Roman" w:eastAsia="Times New Roman" w:hAnsi="Times New Roman"/>
          <w:sz w:val="20"/>
          <w:szCs w:val="20"/>
          <w:rtl w:val="0"/>
        </w:rPr>
        <w:tab/>
        <w:tab/>
        <w:tab/>
        <w:tab/>
        <w:t>(9)</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Threshold tunggal menyebabkan toggling cepat di dekat batas saat tangan diputar. Diperbaiki dengan histeresis dua batas terpisah, </w:t>
      </w:r>
      <m:oMath xmlns:mml="http://www.w3.org/1998/Math/MathML">
        <m:r>
          <w:rPr>
            <w:rFonts w:ascii="Cambria Math" w:hAnsi="Cambria Math" w:eastAsia="Cambria Math" w:cs="Cambria Math"/>
            <w:sz w:val="20"/>
            <w:szCs w:val="20"/>
          </w:rPr>
          <m:t>het</m:t>
        </m:r>
        <m:sSub>
          <m:e>
            <m:r>
              <w:rPr>
                <w:rFonts w:ascii="Cambria Math" w:hAnsi="Cambria Math" w:eastAsia="Cambria Math" w:cs="Cambria Math"/>
                <w:sz w:val="20"/>
                <w:szCs w:val="20"/>
              </w:rPr>
              <m:t>a</m:t>
            </m:r>
          </m:e>
          <m:sub>
            <m:r>
              <w:rPr>
                <w:rFonts w:ascii="Cambria Math" w:hAnsi="Cambria Math" w:eastAsia="Cambria Math" w:cs="Cambria Math"/>
                <w:sz w:val="20"/>
                <w:szCs w:val="20"/>
              </w:rPr>
              <m:rPr>
                <m:sty m:val="p"/>
              </m:rPr>
              <m:t>high</m:t>
            </m:r>
          </m:sub>
        </m:sSub>
      </m:oMath>
      <w:r>
        <w:rPr>
          <w:rFonts w:ascii="Times New Roman" w:cs="Times New Roman" w:eastAsia="Times New Roman" w:hAnsi="Times New Roman"/>
          <w:sz w:val="20"/>
          <w:szCs w:val="20"/>
          <w:rtl w:val="0"/>
        </w:rPr>
        <w:t xml:space="preserve"> dan </w:t>
      </w:r>
      <m:oMath xmlns:mml="http://www.w3.org/1998/Math/MathML">
        <m:r>
          <w:rPr>
            <w:rFonts w:ascii="Cambria Math" w:hAnsi="Cambria Math" w:eastAsia="Cambria Math" w:cs="Cambria Math"/>
            <w:sz w:val="20"/>
            <w:szCs w:val="20"/>
          </w:rPr>
          <m:t>het</m:t>
        </m:r>
        <m:sSub>
          <m:e>
            <m:r>
              <w:rPr>
                <w:rFonts w:ascii="Cambria Math" w:hAnsi="Cambria Math" w:eastAsia="Cambria Math" w:cs="Cambria Math"/>
                <w:sz w:val="20"/>
                <w:szCs w:val="20"/>
              </w:rPr>
              <m:t>a</m:t>
            </m:r>
          </m:e>
          <m:sub>
            <m:r>
              <w:rPr>
                <w:rFonts w:ascii="Cambria Math" w:hAnsi="Cambria Math" w:eastAsia="Cambria Math" w:cs="Cambria Math"/>
                <w:sz w:val="20"/>
                <w:szCs w:val="20"/>
              </w:rPr>
              <m:rPr>
                <m:sty m:val="p"/>
              </m:rPr>
              <m:t>low</m:t>
            </m:r>
          </m:sub>
        </m:sSub>
      </m:oMath>
      <w:r>
        <w:rPr>
          <w:rFonts w:ascii="Times New Roman" w:cs="Times New Roman" w:eastAsia="Times New Roman" w:hAnsi="Times New Roman"/>
          <w:sz w:val="20"/>
          <w:szCs w:val="20"/>
          <w:rtl w:val="0"/>
        </w:rPr>
        <w:t>:</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(t)=</m:t>
        </m:r>
        <m:r>
          <w:rPr>
            <w:rFonts w:ascii="Cambria Math" w:hAnsi="Cambria Math" w:eastAsia="Cambria Math" w:cs="Cambria Math"/>
            <w:sz w:val="20"/>
            <w:szCs w:val="20"/>
          </w:rPr>
          <m:t>{</m:t>
        </m:r>
        <m:m>
          <m:mPr>
            <m:baseJc m:val="center"/>
            <m:plcHide m:val="on"/>
            <m:mcs>
              <m:mc>
                <m:mcPr>
                  <m:count m:val="2"/>
                  <m:mcJc m:val="center"/>
                </m:mcPr>
              </m:mc>
            </m:mcs>
          </m:mPr>
          <m:mr>
            <m:e>
              <m:r>
                <w:rPr>
                  <w:rFonts w:ascii="Cambria Math" w:hAnsi="Cambria Math" w:eastAsia="Cambria Math" w:cs="Cambria Math"/>
                  <w:sz w:val="20"/>
                  <w:szCs w:val="20"/>
                </w:rPr>
                <m:t>1,</m:t>
              </m:r>
            </m:e>
            <m:e>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t>&gt;</m:t>
              </m:r>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high</m:t>
                  </m:r>
                </m:sub>
              </m:sSub>
            </m:e>
          </m:mr>
          <m:mr>
            <m:e>
              <m:r>
                <w:rPr>
                  <w:rFonts w:ascii="Cambria Math" w:hAnsi="Cambria Math" w:eastAsia="Cambria Math" w:cs="Cambria Math"/>
                  <w:sz w:val="20"/>
                  <w:szCs w:val="20"/>
                </w:rPr>
                <m:t>0,</m:t>
              </m:r>
            </m:e>
            <m:e>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t>&lt;</m:t>
              </m:r>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low</m:t>
                  </m:r>
                </m:sub>
              </m:sSub>
            </m:e>
          </m:mr>
          <m:mr>
            <m:e>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(t−1),</m:t>
              </m:r>
            </m:e>
            <m:e>
              <m:r>
                <w:rPr>
                  <w:rFonts w:ascii="Cambria Math" w:hAnsi="Cambria Math" w:eastAsia="Cambria Math" w:cs="Cambria Math"/>
                  <w:sz w:val="20"/>
                  <w:szCs w:val="20"/>
                </w:rPr>
                <m:rPr>
                  <m:sty m:val="p"/>
                </m:rPr>
                <m:t>otherwise</m:t>
              </m:r>
            </m:e>
          </m:mr>
        </m:m>
      </m:oMath>
      <w:r>
        <w:rPr>
          <w:rFonts w:ascii="Times New Roman" w:cs="Times New Roman" w:eastAsia="Times New Roman" w:hAnsi="Times New Roman"/>
          <w:sz w:val="20"/>
          <w:szCs w:val="20"/>
          <w:rtl w:val="0"/>
        </w:rPr>
        <w:tab/>
        <w:tab/>
        <w:tab/>
        <w:tab/>
        <w:t>(10)</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 atas histeresis, voting mayoritas sliding-window menghaluskan output di sepanjang </w:t>
      </w:r>
      <m:oMath xmlns:mml="http://www.w3.org/1998/Math/MathML">
        <m:r>
          <w:rPr>
            <w:rFonts w:ascii="Cambria Math" w:hAnsi="Cambria Math" w:eastAsia="Cambria Math" w:cs="Cambria Math"/>
            <w:sz w:val="20"/>
            <w:szCs w:val="20"/>
          </w:rPr>
          <m:t>N</m:t>
        </m:r>
      </m:oMath>
      <w:r>
        <w:rPr>
          <w:rFonts w:ascii="Times New Roman" w:cs="Times New Roman" w:eastAsia="Times New Roman" w:hAnsi="Times New Roman"/>
          <w:sz w:val="20"/>
          <w:szCs w:val="20"/>
          <w:rtl w:val="0"/>
        </w:rPr>
        <w:t xml:space="preserve"> frame terakhir:</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f>
          <m:fPr>
            <m:type m:val="bar"/>
          </m:fPr>
          <m:num>
            <m:r>
              <w:rPr>
                <w:rFonts w:ascii="Cambria Math" w:hAnsi="Cambria Math" w:eastAsia="Cambria Math" w:cs="Cambria Math"/>
                <w:sz w:val="20"/>
                <w:szCs w:val="20"/>
              </w:rPr>
              <m:t>1</m:t>
            </m:r>
          </m:num>
          <m:den>
            <m:r>
              <w:rPr>
                <w:rFonts w:ascii="Cambria Math" w:hAnsi="Cambria Math" w:eastAsia="Cambria Math" w:cs="Cambria Math"/>
                <w:sz w:val="20"/>
                <w:szCs w:val="20"/>
              </w:rPr>
              <m:t>N</m:t>
            </m:r>
          </m:den>
        </m:f>
        <m:nary>
          <m:naryPr>
            <m:chr m:val="∑"/>
            <m:limLoc m:val="subSup"/>
            <m:grow m:val="1"/>
            <m:subHide m:val="off"/>
            <m:supHide m:val="off"/>
          </m:naryPr>
          <m:sub>
            <m:r>
              <w:rPr>
                <w:rFonts w:ascii="Cambria Math" w:hAnsi="Cambria Math" w:eastAsia="Cambria Math" w:cs="Cambria Math"/>
                <w:sz w:val="20"/>
                <w:szCs w:val="20"/>
              </w:rPr>
              <m:t>k=0</m:t>
            </m:r>
          </m:sub>
          <m:sup>
            <m:r>
              <w:rPr>
                <w:rFonts w:ascii="Cambria Math" w:hAnsi="Cambria Math" w:eastAsia="Cambria Math" w:cs="Cambria Math"/>
                <w:sz w:val="20"/>
                <w:szCs w:val="20"/>
              </w:rPr>
              <m:t>N−1</m:t>
            </m:r>
          </m:sup>
          <m:e>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(t−k)</m:t>
            </m:r>
          </m:e>
        </m:nary>
      </m:oMath>
      <w:r>
        <w:rPr>
          <w:rFonts w:ascii="Times New Roman" w:cs="Times New Roman" w:eastAsia="Times New Roman" w:hAnsi="Times New Roman"/>
          <w:sz w:val="20"/>
          <w:szCs w:val="20"/>
          <w:rtl w:val="0"/>
        </w:rPr>
        <w:tab/>
        <w:tab/>
        <w:tab/>
        <w:tab/>
        <w:t>(11)</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Output biner final </w:t>
      </w:r>
      <m:oMath xmlns:mml="http://www.w3.org/1998/Math/MathML">
        <m:sSub>
          <m:e>
            <m:acc>
              <m:accPr>
                <m:chr m:val="̂"/>
              </m:accPr>
              <m:e>
                <m:r>
                  <w:rPr>
                    <w:rFonts w:ascii="Cambria Math" w:hAnsi="Cambria Math" w:eastAsia="Cambria Math" w:cs="Cambria Math"/>
                    <w:sz w:val="20"/>
                    <w:szCs w:val="20"/>
                  </w:rPr>
                  <m:t>f</m:t>
                </m:r>
              </m:e>
            </m:acc>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bernilai 1 hanya jika lebih dari fraksi </w:t>
      </w:r>
      <m:oMath xmlns:mml="http://www.w3.org/1998/Math/MathML">
        <m:r>
          <w:rPr>
            <w:rFonts w:ascii="Cambria Math" w:hAnsi="Cambria Math" w:eastAsia="Cambria Math" w:cs="Cambria Math"/>
            <w:sz w:val="20"/>
            <w:szCs w:val="20"/>
          </w:rPr>
          <m:t>T</m:t>
        </m:r>
      </m:oMath>
      <w:r>
        <w:rPr>
          <w:rFonts w:ascii="Times New Roman" w:cs="Times New Roman" w:eastAsia="Times New Roman" w:hAnsi="Times New Roman"/>
          <w:sz w:val="20"/>
          <w:szCs w:val="20"/>
          <w:rtl w:val="0"/>
        </w:rPr>
        <w:t xml:space="preserve"> dari frame terbaru menyetujui bahwa jari terektensi:</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acc>
              <m:accPr>
                <m:chr m:val="̂"/>
              </m:accPr>
              <m:e>
                <m:r>
                  <w:rPr>
                    <w:rFonts w:ascii="Cambria Math" w:hAnsi="Cambria Math" w:eastAsia="Cambria Math" w:cs="Cambria Math"/>
                    <w:sz w:val="20"/>
                    <w:szCs w:val="20"/>
                  </w:rPr>
                  <m:t>f</m:t>
                </m:r>
              </m:e>
            </m:acc>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r>
          <w:rPr>
            <w:rFonts w:ascii="Cambria Math" w:hAnsi="Cambria Math" w:eastAsia="Cambria Math" w:cs="Cambria Math"/>
            <w:sz w:val="20"/>
            <w:szCs w:val="20"/>
          </w:rPr>
          <m:t>{</m:t>
        </m:r>
        <m:m>
          <m:mPr>
            <m:baseJc m:val="center"/>
            <m:plcHide m:val="on"/>
            <m:mcs>
              <m:mc>
                <m:mcPr>
                  <m:count m:val="2"/>
                  <m:mcJc m:val="center"/>
                </m:mcPr>
              </m:mc>
            </m:mcs>
          </m:mPr>
          <m:mr>
            <m:e>
              <m:r>
                <w:rPr>
                  <w:rFonts w:ascii="Cambria Math" w:hAnsi="Cambria Math" w:eastAsia="Cambria Math" w:cs="Cambria Math"/>
                  <w:sz w:val="20"/>
                  <w:szCs w:val="20"/>
                </w:rPr>
                <m:t>1,</m:t>
              </m:r>
            </m:e>
            <m:e>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&gt;T</m:t>
              </m:r>
            </m:e>
          </m:mr>
          <m:mr>
            <m:e>
              <m:r>
                <w:rPr>
                  <w:rFonts w:ascii="Cambria Math" w:hAnsi="Cambria Math" w:eastAsia="Cambria Math" w:cs="Cambria Math"/>
                  <w:sz w:val="20"/>
                  <w:szCs w:val="20"/>
                </w:rPr>
                <m:t>0,</m:t>
              </m:r>
            </m:e>
            <m:e>
              <m:r>
                <w:rPr>
                  <w:rFonts w:ascii="Cambria Math" w:hAnsi="Cambria Math" w:eastAsia="Cambria Math" w:cs="Cambria Math"/>
                  <w:sz w:val="20"/>
                  <w:szCs w:val="20"/>
                </w:rPr>
                <m:rPr>
                  <m:sty m:val="p"/>
                </m:rPr>
                <m:t>otherwise</m:t>
              </m:r>
            </m:e>
          </m:mr>
        </m:m>
      </m:oMath>
      <w:r>
        <w:rPr>
          <w:rFonts w:ascii="Times New Roman" w:cs="Times New Roman" w:eastAsia="Times New Roman" w:hAnsi="Times New Roman"/>
          <w:sz w:val="20"/>
          <w:szCs w:val="20"/>
          <w:rtl w:val="0"/>
        </w:rPr>
        <w:tab/>
        <w:tab/>
        <w:tab/>
        <w:tab/>
        <w:t>(12)</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Histeresis ditambah voting berjendela memangkas false-trigger mendekati nol pada kondisi normal. Trade-off-nya: latensi. Pada </w:t>
      </w:r>
      <m:oMath xmlns:mml="http://www.w3.org/1998/Math/MathML">
        <m:r>
          <w:rPr>
            <w:rFonts w:ascii="Cambria Math" w:hAnsi="Cambria Math" w:eastAsia="Cambria Math" w:cs="Cambria Math"/>
            <w:sz w:val="20"/>
            <w:szCs w:val="20"/>
          </w:rPr>
          <m:t>N=5</m:t>
        </m:r>
      </m:oMath>
      <w:r>
        <w:rPr>
          <w:rFonts w:ascii="Times New Roman" w:cs="Times New Roman" w:eastAsia="Times New Roman" w:hAnsi="Times New Roman"/>
          <w:sz w:val="20"/>
          <w:szCs w:val="20"/>
          <w:rtl w:val="0"/>
        </w:rPr>
        <w:t xml:space="preserve"> dan 30 fps, debounce menambahkan ~83 ms, karena gestur biasanya stabil dalam 2-3 frame. Array biner </w:t>
      </w:r>
      <m:oMath xmlns:mml="http://www.w3.org/1998/Math/MathML">
        <m:sSub>
          <m:e>
            <m:acc>
              <m:accPr>
                <m:chr m:val="̂"/>
              </m:accPr>
              <m:e>
                <m:r>
                  <w:rPr>
                    <w:rFonts w:ascii="Cambria Math" w:hAnsi="Cambria Math" w:eastAsia="Cambria Math" w:cs="Cambria Math"/>
                    <w:sz w:val="20"/>
                    <w:szCs w:val="20"/>
                  </w:rPr>
                  <m:t>f</m:t>
                </m:r>
              </m:e>
            </m:acc>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kemudian diantrikan untuk penulisan Modbus FC15.</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3.4.</w:t>
        <w:tab/>
        <w:t>Integrasi MediaPipe dan Pymodbus</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1.</w:t>
        <w:tab/>
        <w:t>Pemetaan Gestur ke Coil Modbus</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1074"/>
        <w:gridCol w:w="695"/>
        <w:gridCol w:w="1896"/>
        <w:gridCol w:w="1013"/>
      </w:tblGrid>
      <w:tr>
        <w:tc>
          <w:tcPr>
            <w:tcW w:type="dxa" w:w="1074"/>
            <w:vAlign w:val="center"/>
          </w:tcPr>
          <w:p>
            <w:pPr>
              <w:jc w:val="center"/>
            </w:pPr>
            <w:r>
              <w:rPr>
                <w:rFonts w:ascii="Arial Narrow" w:hAnsi="Arial Narrow" w:eastAsia="Arial Narrow" w:cs="Arial Narrow"/>
                <w:b/>
                <w:i w:val="0"/>
                <w:sz w:val="16"/>
                <w:u w:val="none"/>
              </w:rPr>
              <w:t>Gestur</w:t>
            </w:r>
          </w:p>
        </w:tc>
        <w:tc>
          <w:tcPr>
            <w:tcW w:type="dxa" w:w="695"/>
            <w:vAlign w:val="center"/>
          </w:tcPr>
          <w:p>
            <w:pPr>
              <w:jc w:val="center"/>
            </w:pPr>
            <w:r>
              <w:rPr>
                <w:rFonts w:ascii="Arial Narrow" w:hAnsi="Arial Narrow" w:eastAsia="Arial Narrow" w:cs="Arial Narrow"/>
                <w:b/>
                <w:i w:val="0"/>
                <w:sz w:val="16"/>
                <w:u w:val="none"/>
              </w:rPr>
              <w:t>Jumlah Jari</w:t>
            </w:r>
          </w:p>
        </w:tc>
        <w:tc>
          <w:tcPr>
            <w:tcW w:type="dxa" w:w="1896"/>
            <w:vAlign w:val="center"/>
          </w:tcPr>
          <w:p>
            <w:pPr>
              <w:jc w:val="center"/>
            </w:pPr>
            <w:r>
              <w:rPr>
                <w:rFonts w:ascii="Arial Narrow" w:hAnsi="Arial Narrow" w:eastAsia="Arial Narrow" w:cs="Arial Narrow"/>
                <w:b/>
                <w:i w:val="0"/>
                <w:sz w:val="16"/>
                <w:u w:val="none"/>
              </w:rPr>
              <w:t>State Coil Modbus</w:t>
            </w:r>
          </w:p>
        </w:tc>
        <w:tc>
          <w:tcPr>
            <w:tcW w:type="dxa" w:w="1013"/>
            <w:vAlign w:val="center"/>
          </w:tcPr>
          <w:p>
            <w:pPr>
              <w:jc w:val="center"/>
            </w:pPr>
            <w:r>
              <w:rPr>
                <w:rFonts w:ascii="Arial Narrow" w:hAnsi="Arial Narrow" w:eastAsia="Arial Narrow" w:cs="Arial Narrow"/>
                <w:b/>
                <w:i w:val="0"/>
                <w:sz w:val="16"/>
                <w:u w:val="none"/>
              </w:rPr>
              <w:t>Output PLC</w:t>
            </w:r>
          </w:p>
        </w:tc>
      </w:tr>
      <w:tr>
        <w:tc>
          <w:tcPr>
            <w:tcW w:type="dxa" w:w="1074"/>
            <w:vAlign w:val="center"/>
          </w:tcPr>
          <w:p>
            <w:pPr>
              <w:jc w:val="center"/>
            </w:pPr>
            <w:r>
              <w:rPr>
                <w:rFonts w:ascii="Arial Narrow" w:hAnsi="Arial Narrow" w:eastAsia="Arial Narrow" w:cs="Arial Narrow"/>
                <w:b w:val="0"/>
                <w:i w:val="0"/>
                <w:sz w:val="16"/>
                <w:u w:val="none"/>
              </w:rPr>
              <w:t>Kepalan Tangan</w:t>
            </w:r>
          </w:p>
        </w:tc>
        <w:tc>
          <w:tcPr>
            <w:tcW w:type="dxa" w:w="695"/>
            <w:vAlign w:val="center"/>
          </w:tcPr>
          <w:p>
            <w:pPr>
              <w:jc w:val="center"/>
            </w:pPr>
            <w:r>
              <w:rPr>
                <w:rFonts w:ascii="Arial Narrow" w:hAnsi="Arial Narrow" w:eastAsia="Arial Narrow" w:cs="Arial Narrow"/>
                <w:b w:val="0"/>
                <w:i w:val="0"/>
                <w:sz w:val="16"/>
                <w:u w:val="none"/>
              </w:rPr>
              <w:t>0</w:t>
            </w:r>
          </w:p>
        </w:tc>
        <w:tc>
          <w:tcPr>
            <w:tcW w:type="dxa" w:w="1896"/>
            <w:vAlign w:val="center"/>
          </w:tcPr>
          <w:p>
            <w:pPr>
              <w:jc w:val="center"/>
            </w:pPr>
            <w:r>
              <w:rPr>
                <w:rFonts w:ascii="Arial Narrow" w:hAnsi="Arial Narrow" w:eastAsia="Arial Narrow" w:cs="Arial Narrow"/>
                <w:b w:val="0"/>
                <w:i w:val="0"/>
                <w:sz w:val="16"/>
                <w:u w:val="none"/>
              </w:rPr>
              <w:t>M200=0, M201=0, M202=0, M203=0</w:t>
            </w:r>
          </w:p>
        </w:tc>
        <w:tc>
          <w:tcPr>
            <w:tcW w:type="dxa" w:w="1013"/>
            <w:vAlign w:val="center"/>
          </w:tcPr>
          <w:p>
            <w:pPr>
              <w:jc w:val="center"/>
            </w:pPr>
            <w:r>
              <w:rPr>
                <w:rFonts w:ascii="Arial Narrow" w:hAnsi="Arial Narrow" w:eastAsia="Arial Narrow" w:cs="Arial Narrow"/>
                <w:b w:val="0"/>
                <w:i w:val="0"/>
                <w:sz w:val="16"/>
                <w:u w:val="none"/>
              </w:rPr>
              <w:t>Q0-Q3=OFF</w:t>
            </w:r>
          </w:p>
        </w:tc>
      </w:tr>
      <w:tr>
        <w:tc>
          <w:tcPr>
            <w:tcW w:type="dxa" w:w="1074"/>
            <w:vAlign w:val="center"/>
          </w:tcPr>
          <w:p>
            <w:pPr>
              <w:jc w:val="center"/>
            </w:pPr>
            <w:r>
              <w:rPr>
                <w:rFonts w:ascii="Arial Narrow" w:hAnsi="Arial Narrow" w:eastAsia="Arial Narrow" w:cs="Arial Narrow"/>
                <w:b w:val="0"/>
                <w:i w:val="0"/>
                <w:sz w:val="16"/>
                <w:u w:val="none"/>
              </w:rPr>
              <w:t>1 Jari (Telunjuk)</w:t>
            </w:r>
          </w:p>
        </w:tc>
        <w:tc>
          <w:tcPr>
            <w:tcW w:type="dxa" w:w="695"/>
            <w:vAlign w:val="center"/>
          </w:tcPr>
          <w:p>
            <w:pPr>
              <w:jc w:val="center"/>
            </w:pPr>
            <w:r>
              <w:rPr>
                <w:rFonts w:ascii="Arial Narrow" w:hAnsi="Arial Narrow" w:eastAsia="Arial Narrow" w:cs="Arial Narrow"/>
                <w:b w:val="0"/>
                <w:i w:val="0"/>
                <w:sz w:val="16"/>
                <w:u w:val="none"/>
              </w:rPr>
              <w:t>1</w:t>
            </w:r>
          </w:p>
        </w:tc>
        <w:tc>
          <w:tcPr>
            <w:tcW w:type="dxa" w:w="1896"/>
            <w:vAlign w:val="center"/>
          </w:tcPr>
          <w:p>
            <w:pPr>
              <w:jc w:val="center"/>
            </w:pPr>
            <w:r>
              <w:rPr>
                <w:rFonts w:ascii="Arial Narrow" w:hAnsi="Arial Narrow" w:eastAsia="Arial Narrow" w:cs="Arial Narrow"/>
                <w:b w:val="0"/>
                <w:i w:val="0"/>
                <w:sz w:val="16"/>
                <w:u w:val="none"/>
              </w:rPr>
              <w:t>M200=1, M201=0, M202=0, M203=0</w:t>
            </w:r>
          </w:p>
        </w:tc>
        <w:tc>
          <w:tcPr>
            <w:tcW w:type="dxa" w:w="1013"/>
            <w:vAlign w:val="center"/>
          </w:tcPr>
          <w:p>
            <w:pPr>
              <w:jc w:val="center"/>
            </w:pPr>
            <w:r>
              <w:rPr>
                <w:rFonts w:ascii="Arial Narrow" w:hAnsi="Arial Narrow" w:eastAsia="Arial Narrow" w:cs="Arial Narrow"/>
                <w:b w:val="0"/>
                <w:i w:val="0"/>
                <w:sz w:val="16"/>
                <w:u w:val="none"/>
              </w:rPr>
              <w:t>Q0=ON</w:t>
            </w:r>
          </w:p>
        </w:tc>
      </w:tr>
      <w:tr>
        <w:tc>
          <w:tcPr>
            <w:tcW w:type="dxa" w:w="1074"/>
            <w:vAlign w:val="center"/>
          </w:tcPr>
          <w:p>
            <w:pPr>
              <w:jc w:val="center"/>
            </w:pPr>
            <w:r>
              <w:rPr>
                <w:rFonts w:ascii="Arial Narrow" w:hAnsi="Arial Narrow" w:eastAsia="Arial Narrow" w:cs="Arial Narrow"/>
                <w:b w:val="0"/>
                <w:i w:val="0"/>
                <w:sz w:val="16"/>
                <w:u w:val="none"/>
              </w:rPr>
              <w:t>2 Jari (Peace)</w:t>
            </w:r>
          </w:p>
        </w:tc>
        <w:tc>
          <w:tcPr>
            <w:tcW w:type="dxa" w:w="695"/>
            <w:vAlign w:val="center"/>
          </w:tcPr>
          <w:p>
            <w:pPr>
              <w:jc w:val="center"/>
            </w:pPr>
            <w:r>
              <w:rPr>
                <w:rFonts w:ascii="Arial Narrow" w:hAnsi="Arial Narrow" w:eastAsia="Arial Narrow" w:cs="Arial Narrow"/>
                <w:b w:val="0"/>
                <w:i w:val="0"/>
                <w:sz w:val="16"/>
                <w:u w:val="none"/>
              </w:rPr>
              <w:t>2</w:t>
            </w:r>
          </w:p>
        </w:tc>
        <w:tc>
          <w:tcPr>
            <w:tcW w:type="dxa" w:w="1896"/>
            <w:vAlign w:val="center"/>
          </w:tcPr>
          <w:p>
            <w:pPr>
              <w:jc w:val="center"/>
            </w:pPr>
            <w:r>
              <w:rPr>
                <w:rFonts w:ascii="Arial Narrow" w:hAnsi="Arial Narrow" w:eastAsia="Arial Narrow" w:cs="Arial Narrow"/>
                <w:b w:val="0"/>
                <w:i w:val="0"/>
                <w:sz w:val="16"/>
                <w:u w:val="none"/>
              </w:rPr>
              <w:t>M200=1, M201=1, M202=0, M203=0</w:t>
            </w:r>
          </w:p>
        </w:tc>
        <w:tc>
          <w:tcPr>
            <w:tcW w:type="dxa" w:w="1013"/>
            <w:vAlign w:val="center"/>
          </w:tcPr>
          <w:p>
            <w:pPr>
              <w:jc w:val="center"/>
            </w:pPr>
            <w:r>
              <w:rPr>
                <w:rFonts w:ascii="Arial Narrow" w:hAnsi="Arial Narrow" w:eastAsia="Arial Narrow" w:cs="Arial Narrow"/>
                <w:b w:val="0"/>
                <w:i w:val="0"/>
                <w:sz w:val="16"/>
                <w:u w:val="none"/>
              </w:rPr>
              <w:t>Q0-Q1=ON</w:t>
            </w:r>
          </w:p>
        </w:tc>
      </w:tr>
      <w:tr>
        <w:tc>
          <w:tcPr>
            <w:tcW w:type="dxa" w:w="1074"/>
            <w:vAlign w:val="center"/>
          </w:tcPr>
          <w:p>
            <w:pPr>
              <w:jc w:val="center"/>
            </w:pPr>
            <w:r>
              <w:rPr>
                <w:rFonts w:ascii="Arial Narrow" w:hAnsi="Arial Narrow" w:eastAsia="Arial Narrow" w:cs="Arial Narrow"/>
                <w:b w:val="0"/>
                <w:i w:val="0"/>
                <w:sz w:val="16"/>
                <w:u w:val="none"/>
              </w:rPr>
              <w:t>3 Jari</w:t>
            </w:r>
          </w:p>
        </w:tc>
        <w:tc>
          <w:tcPr>
            <w:tcW w:type="dxa" w:w="695"/>
            <w:vAlign w:val="center"/>
          </w:tcPr>
          <w:p>
            <w:pPr>
              <w:jc w:val="center"/>
            </w:pPr>
            <w:r>
              <w:rPr>
                <w:rFonts w:ascii="Arial Narrow" w:hAnsi="Arial Narrow" w:eastAsia="Arial Narrow" w:cs="Arial Narrow"/>
                <w:b w:val="0"/>
                <w:i w:val="0"/>
                <w:sz w:val="16"/>
                <w:u w:val="none"/>
              </w:rPr>
              <w:t>3</w:t>
            </w:r>
          </w:p>
        </w:tc>
        <w:tc>
          <w:tcPr>
            <w:tcW w:type="dxa" w:w="1896"/>
            <w:vAlign w:val="center"/>
          </w:tcPr>
          <w:p>
            <w:pPr>
              <w:jc w:val="center"/>
            </w:pPr>
            <w:r>
              <w:rPr>
                <w:rFonts w:ascii="Arial Narrow" w:hAnsi="Arial Narrow" w:eastAsia="Arial Narrow" w:cs="Arial Narrow"/>
                <w:b w:val="0"/>
                <w:i w:val="0"/>
                <w:sz w:val="16"/>
                <w:u w:val="none"/>
              </w:rPr>
              <w:t>M200=1, M201=1, M202=1, M203=0</w:t>
            </w:r>
          </w:p>
        </w:tc>
        <w:tc>
          <w:tcPr>
            <w:tcW w:type="dxa" w:w="1013"/>
            <w:vAlign w:val="center"/>
          </w:tcPr>
          <w:p>
            <w:pPr>
              <w:jc w:val="center"/>
            </w:pPr>
            <w:r>
              <w:rPr>
                <w:rFonts w:ascii="Arial Narrow" w:hAnsi="Arial Narrow" w:eastAsia="Arial Narrow" w:cs="Arial Narrow"/>
                <w:b w:val="0"/>
                <w:i w:val="0"/>
                <w:sz w:val="16"/>
                <w:u w:val="none"/>
              </w:rPr>
              <w:t>Q0-Q2=ON</w:t>
            </w:r>
          </w:p>
        </w:tc>
      </w:tr>
      <w:tr>
        <w:tc>
          <w:tcPr>
            <w:tcW w:type="dxa" w:w="1074"/>
            <w:vAlign w:val="center"/>
          </w:tcPr>
          <w:p>
            <w:pPr>
              <w:jc w:val="center"/>
            </w:pPr>
            <w:r>
              <w:rPr>
                <w:rFonts w:ascii="Arial Narrow" w:hAnsi="Arial Narrow" w:eastAsia="Arial Narrow" w:cs="Arial Narrow"/>
                <w:b w:val="0"/>
                <w:i w:val="0"/>
                <w:sz w:val="16"/>
                <w:u w:val="none"/>
              </w:rPr>
              <w:t>4 Jari</w:t>
            </w:r>
          </w:p>
        </w:tc>
        <w:tc>
          <w:tcPr>
            <w:tcW w:type="dxa" w:w="695"/>
            <w:vAlign w:val="center"/>
          </w:tcPr>
          <w:p>
            <w:pPr>
              <w:jc w:val="center"/>
            </w:pPr>
            <w:r>
              <w:rPr>
                <w:rFonts w:ascii="Arial Narrow" w:hAnsi="Arial Narrow" w:eastAsia="Arial Narrow" w:cs="Arial Narrow"/>
                <w:b w:val="0"/>
                <w:i w:val="0"/>
                <w:sz w:val="16"/>
                <w:u w:val="none"/>
              </w:rPr>
              <w:t>4</w:t>
            </w:r>
          </w:p>
        </w:tc>
        <w:tc>
          <w:tcPr>
            <w:tcW w:type="dxa" w:w="1896"/>
            <w:vAlign w:val="center"/>
          </w:tcPr>
          <w:p>
            <w:pPr>
              <w:jc w:val="center"/>
            </w:pPr>
            <w:r>
              <w:rPr>
                <w:rFonts w:ascii="Arial Narrow" w:hAnsi="Arial Narrow" w:eastAsia="Arial Narrow" w:cs="Arial Narrow"/>
                <w:b w:val="0"/>
                <w:i w:val="0"/>
                <w:sz w:val="16"/>
                <w:u w:val="none"/>
              </w:rPr>
              <w:t>M200=1, M201=1, M202=1, M203=1</w:t>
            </w:r>
          </w:p>
        </w:tc>
        <w:tc>
          <w:tcPr>
            <w:tcW w:type="dxa" w:w="1013"/>
            <w:vAlign w:val="center"/>
          </w:tcPr>
          <w:p>
            <w:pPr>
              <w:jc w:val="center"/>
            </w:pPr>
            <w:r>
              <w:rPr>
                <w:rFonts w:ascii="Arial Narrow" w:hAnsi="Arial Narrow" w:eastAsia="Arial Narrow" w:cs="Arial Narrow"/>
                <w:b w:val="0"/>
                <w:i w:val="0"/>
                <w:sz w:val="16"/>
                <w:u w:val="none"/>
              </w:rPr>
              <w:t>Q0-Q3=ON</w:t>
            </w:r>
          </w:p>
        </w:tc>
      </w:tr>
      <w:tr>
        <w:tc>
          <w:tcPr>
            <w:tcW w:type="dxa" w:w="1074"/>
            <w:vAlign w:val="center"/>
          </w:tcPr>
          <w:p>
            <w:pPr>
              <w:jc w:val="center"/>
            </w:pPr>
            <w:r>
              <w:rPr>
                <w:rFonts w:ascii="Arial Narrow" w:hAnsi="Arial Narrow" w:eastAsia="Arial Narrow" w:cs="Arial Narrow"/>
                <w:b w:val="0"/>
                <w:i w:val="0"/>
                <w:sz w:val="16"/>
                <w:u w:val="none"/>
              </w:rPr>
              <w:t>5 Jari (Telapak)</w:t>
            </w:r>
          </w:p>
        </w:tc>
        <w:tc>
          <w:tcPr>
            <w:tcW w:type="dxa" w:w="695"/>
            <w:vAlign w:val="center"/>
          </w:tcPr>
          <w:p>
            <w:pPr>
              <w:jc w:val="center"/>
            </w:pPr>
            <w:r>
              <w:rPr>
                <w:rFonts w:ascii="Arial Narrow" w:hAnsi="Arial Narrow" w:eastAsia="Arial Narrow" w:cs="Arial Narrow"/>
                <w:b w:val="0"/>
                <w:i w:val="0"/>
                <w:sz w:val="16"/>
                <w:u w:val="none"/>
              </w:rPr>
              <w:t>5</w:t>
            </w:r>
          </w:p>
        </w:tc>
        <w:tc>
          <w:tcPr>
            <w:tcW w:type="dxa" w:w="1896"/>
            <w:vAlign w:val="center"/>
          </w:tcPr>
          <w:p>
            <w:pPr>
              <w:jc w:val="center"/>
            </w:pPr>
            <w:r>
              <w:rPr>
                <w:rFonts w:ascii="Arial Narrow" w:hAnsi="Arial Narrow" w:eastAsia="Arial Narrow" w:cs="Arial Narrow"/>
                <w:b w:val="0"/>
                <w:i w:val="0"/>
                <w:sz w:val="16"/>
                <w:u w:val="none"/>
              </w:rPr>
              <w:t>M200=1, M201=1, M202=1, M203=1</w:t>
            </w:r>
          </w:p>
        </w:tc>
        <w:tc>
          <w:tcPr>
            <w:tcW w:type="dxa" w:w="1013"/>
            <w:vAlign w:val="center"/>
          </w:tcPr>
          <w:p>
            <w:pPr>
              <w:jc w:val="center"/>
            </w:pPr>
            <w:r>
              <w:rPr>
                <w:rFonts w:ascii="Arial Narrow" w:hAnsi="Arial Narrow" w:eastAsia="Arial Narrow" w:cs="Arial Narrow"/>
                <w:b w:val="0"/>
                <w:i w:val="0"/>
                <w:sz w:val="16"/>
                <w:u w:val="none"/>
              </w:rPr>
              <w:t>Q0-Q3=ON (Semua)</w:t>
            </w:r>
          </w:p>
        </w:tc>
      </w:tr>
    </w:tbl>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PLCGui menjalankan ketiga thread. Saat gestur dikonfirmasi oleh filter debounce, pola coil ditulis ke PLC via PyModbus dan setiap hasil dicatat dalam log. LED panel depan PLC sesuai dengan indikator GUI setiap penulisan berhasil.</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/home/sirobo/papergenerator/backend/tools/Journal/gambar/Percobaan Program Python Mediapipe ke PLC.png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8. Setup Hardware Laboratorium Lengkap</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Rig pengujian terlihat pada Gbr. 8. Webcam pada tripod menghadap tangan operator, kabel Cat-5e langsung ke panel PLC.</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4. HASIL EKSPERIMEN</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4.1.</w:t>
        <w:tab/>
        <w:t>Akurasi Deteksi Gestur</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2.</w:t>
        <w:tab/>
        <w:t>Performa Klasifikasi Gestur pada 300 Lux</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1884"/>
        <w:gridCol w:w="420"/>
        <w:gridCol w:w="420"/>
        <w:gridCol w:w="714"/>
        <w:gridCol w:w="649"/>
        <w:gridCol w:w="591"/>
      </w:tblGrid>
      <w:tr>
        <w:tc>
          <w:tcPr>
            <w:tcW w:type="dxa" w:w="1884"/>
            <w:vAlign w:val="center"/>
          </w:tcPr>
          <w:p>
            <w:pPr>
              <w:jc w:val="center"/>
            </w:pPr>
            <w:r>
              <w:rPr>
                <w:rFonts w:ascii="Arial Narrow" w:hAnsi="Arial Narrow" w:eastAsia="Arial Narrow" w:cs="Arial Narrow"/>
                <w:b/>
                <w:i w:val="0"/>
                <w:sz w:val="16"/>
                <w:u w:val="none"/>
              </w:rPr>
              <w:t>Gestur</w:t>
            </w:r>
          </w:p>
        </w:tc>
        <w:tc>
          <w:tcPr>
            <w:tcW w:type="dxa" w:w="420"/>
            <w:vAlign w:val="center"/>
          </w:tcPr>
          <w:p>
            <w:pPr>
              <w:jc w:val="center"/>
            </w:pPr>
            <w:r>
              <w:rPr>
                <w:rFonts w:ascii="Arial Narrow" w:hAnsi="Arial Narrow" w:eastAsia="Arial Narrow" w:cs="Arial Narrow"/>
                <w:b/>
                <w:i w:val="0"/>
                <w:sz w:val="16"/>
                <w:u w:val="none"/>
              </w:rPr>
              <w:t>Sampel</w:t>
            </w:r>
          </w:p>
        </w:tc>
        <w:tc>
          <w:tcPr>
            <w:tcW w:type="dxa" w:w="420"/>
            <w:vAlign w:val="center"/>
          </w:tcPr>
          <w:p>
            <w:pPr>
              <w:jc w:val="center"/>
            </w:pPr>
            <w:r>
              <w:rPr>
                <w:rFonts w:ascii="Arial Narrow" w:hAnsi="Arial Narrow" w:eastAsia="Arial Narrow" w:cs="Arial Narrow"/>
                <w:b/>
                <w:i w:val="0"/>
                <w:sz w:val="16"/>
                <w:u w:val="none"/>
              </w:rPr>
              <w:t>Benar</w:t>
            </w:r>
          </w:p>
        </w:tc>
        <w:tc>
          <w:tcPr>
            <w:tcW w:type="dxa" w:w="714"/>
            <w:vAlign w:val="center"/>
          </w:tcPr>
          <w:p>
            <w:pPr>
              <w:jc w:val="center"/>
            </w:pPr>
            <w:r>
              <w:rPr>
                <w:rFonts w:ascii="Arial Narrow" w:hAnsi="Arial Narrow" w:eastAsia="Arial Narrow" w:cs="Arial Narrow"/>
                <w:b/>
                <w:i w:val="0"/>
                <w:sz w:val="16"/>
                <w:u w:val="none"/>
              </w:rPr>
              <w:t>Presisi (%)</w:t>
            </w:r>
          </w:p>
        </w:tc>
        <w:tc>
          <w:tcPr>
            <w:tcW w:type="dxa" w:w="649"/>
            <w:vAlign w:val="center"/>
          </w:tcPr>
          <w:p>
            <w:pPr>
              <w:jc w:val="center"/>
            </w:pPr>
            <w:r>
              <w:rPr>
                <w:rFonts w:ascii="Arial Narrow" w:hAnsi="Arial Narrow" w:eastAsia="Arial Narrow" w:cs="Arial Narrow"/>
                <w:b/>
                <w:i w:val="0"/>
                <w:sz w:val="16"/>
                <w:u w:val="none"/>
              </w:rPr>
              <w:t>Recall (%)</w:t>
            </w:r>
          </w:p>
        </w:tc>
        <w:tc>
          <w:tcPr>
            <w:tcW w:type="dxa" w:w="591"/>
            <w:vAlign w:val="center"/>
          </w:tcPr>
          <w:p>
            <w:pPr>
              <w:jc w:val="center"/>
            </w:pPr>
            <w:r>
              <w:rPr>
                <w:rFonts w:ascii="Arial Narrow" w:hAnsi="Arial Narrow" w:eastAsia="Arial Narrow" w:cs="Arial Narrow"/>
                <w:b/>
                <w:i w:val="0"/>
                <w:sz w:val="16"/>
                <w:u w:val="none"/>
              </w:rPr>
              <w:t>Skor F1 (%)</w:t>
            </w:r>
          </w:p>
        </w:tc>
      </w:tr>
      <w:tr>
        <w:tc>
          <w:tcPr>
            <w:tcW w:type="dxa" w:w="1884"/>
            <w:vAlign w:val="center"/>
          </w:tcPr>
          <w:p>
            <w:pPr>
              <w:jc w:val="center"/>
            </w:pPr>
            <w:r>
              <w:rPr>
                <w:rFonts w:ascii="Arial Narrow" w:hAnsi="Arial Narrow" w:eastAsia="Arial Narrow" w:cs="Arial Narrow"/>
                <w:b w:val="0"/>
                <w:i w:val="0"/>
                <w:sz w:val="16"/>
                <w:u w:val="none"/>
              </w:rPr>
              <w:t>0 jari (Kepalan)</w:t>
            </w:r>
          </w:p>
        </w:tc>
        <w:tc>
          <w:tcPr>
            <w:tcW w:type="dxa" w:w="420"/>
            <w:vAlign w:val="center"/>
          </w:tcPr>
          <w:p>
            <w:pPr>
              <w:jc w:val="center"/>
            </w:pPr>
            <w:r>
              <w:rPr>
                <w:rFonts w:ascii="Arial Narrow" w:hAnsi="Arial Narrow" w:eastAsia="Arial Narrow" w:cs="Arial Narrow"/>
                <w:b w:val="0"/>
                <w:i w:val="0"/>
                <w:sz w:val="16"/>
                <w:u w:val="none"/>
              </w:rPr>
              <w:t>100</w:t>
            </w:r>
          </w:p>
        </w:tc>
        <w:tc>
          <w:tcPr>
            <w:tcW w:type="dxa" w:w="420"/>
            <w:vAlign w:val="center"/>
          </w:tcPr>
          <w:p>
            <w:pPr>
              <w:jc w:val="center"/>
            </w:pPr>
            <w:r>
              <w:rPr>
                <w:rFonts w:ascii="Arial Narrow" w:hAnsi="Arial Narrow" w:eastAsia="Arial Narrow" w:cs="Arial Narrow"/>
                <w:b w:val="0"/>
                <w:i w:val="0"/>
                <w:sz w:val="16"/>
                <w:u w:val="none"/>
              </w:rPr>
              <w:t>97</w:t>
            </w:r>
          </w:p>
        </w:tc>
        <w:tc>
          <w:tcPr>
            <w:tcW w:type="dxa" w:w="714"/>
            <w:vAlign w:val="center"/>
          </w:tcPr>
          <w:p>
            <w:pPr>
              <w:jc w:val="center"/>
            </w:pPr>
            <w:r>
              <w:rPr>
                <w:rFonts w:ascii="Arial Narrow" w:hAnsi="Arial Narrow" w:eastAsia="Arial Narrow" w:cs="Arial Narrow"/>
                <w:b w:val="0"/>
                <w:i w:val="0"/>
                <w:sz w:val="16"/>
                <w:u w:val="none"/>
              </w:rPr>
              <w:t>98,0</w:t>
            </w:r>
          </w:p>
        </w:tc>
        <w:tc>
          <w:tcPr>
            <w:tcW w:type="dxa" w:w="649"/>
            <w:vAlign w:val="center"/>
          </w:tcPr>
          <w:p>
            <w:pPr>
              <w:jc w:val="center"/>
            </w:pPr>
            <w:r>
              <w:rPr>
                <w:rFonts w:ascii="Arial Narrow" w:hAnsi="Arial Narrow" w:eastAsia="Arial Narrow" w:cs="Arial Narrow"/>
                <w:b w:val="0"/>
                <w:i w:val="0"/>
                <w:sz w:val="16"/>
                <w:u w:val="none"/>
              </w:rPr>
              <w:t>97,0</w:t>
            </w:r>
          </w:p>
        </w:tc>
        <w:tc>
          <w:tcPr>
            <w:tcW w:type="dxa" w:w="591"/>
            <w:vAlign w:val="center"/>
          </w:tcPr>
          <w:p>
            <w:pPr>
              <w:jc w:val="center"/>
            </w:pPr>
            <w:r>
              <w:rPr>
                <w:rFonts w:ascii="Arial Narrow" w:hAnsi="Arial Narrow" w:eastAsia="Arial Narrow" w:cs="Arial Narrow"/>
                <w:b w:val="0"/>
                <w:i w:val="0"/>
                <w:sz w:val="16"/>
                <w:u w:val="none"/>
              </w:rPr>
              <w:t>97,5</w:t>
            </w:r>
          </w:p>
        </w:tc>
      </w:tr>
      <w:tr>
        <w:tc>
          <w:tcPr>
            <w:tcW w:type="dxa" w:w="1884"/>
            <w:vAlign w:val="center"/>
          </w:tcPr>
          <w:p>
            <w:pPr>
              <w:jc w:val="center"/>
            </w:pPr>
            <w:r>
              <w:rPr>
                <w:rFonts w:ascii="Arial Narrow" w:hAnsi="Arial Narrow" w:eastAsia="Arial Narrow" w:cs="Arial Narrow"/>
                <w:b w:val="0"/>
                <w:i w:val="0"/>
                <w:sz w:val="16"/>
                <w:u w:val="none"/>
              </w:rPr>
              <w:t>1 jari (Telunjuk)</w:t>
            </w:r>
          </w:p>
        </w:tc>
        <w:tc>
          <w:tcPr>
            <w:tcW w:type="dxa" w:w="420"/>
            <w:vAlign w:val="center"/>
          </w:tcPr>
          <w:p>
            <w:pPr>
              <w:jc w:val="center"/>
            </w:pPr>
            <w:r>
              <w:rPr>
                <w:rFonts w:ascii="Arial Narrow" w:hAnsi="Arial Narrow" w:eastAsia="Arial Narrow" w:cs="Arial Narrow"/>
                <w:b w:val="0"/>
                <w:i w:val="0"/>
                <w:sz w:val="16"/>
                <w:u w:val="none"/>
              </w:rPr>
              <w:t>100</w:t>
            </w:r>
          </w:p>
        </w:tc>
        <w:tc>
          <w:tcPr>
            <w:tcW w:type="dxa" w:w="420"/>
            <w:vAlign w:val="center"/>
          </w:tcPr>
          <w:p>
            <w:pPr>
              <w:jc w:val="center"/>
            </w:pPr>
            <w:r>
              <w:rPr>
                <w:rFonts w:ascii="Arial Narrow" w:hAnsi="Arial Narrow" w:eastAsia="Arial Narrow" w:cs="Arial Narrow"/>
                <w:b w:val="0"/>
                <w:i w:val="0"/>
                <w:sz w:val="16"/>
                <w:u w:val="none"/>
              </w:rPr>
              <w:t>95</w:t>
            </w:r>
          </w:p>
        </w:tc>
        <w:tc>
          <w:tcPr>
            <w:tcW w:type="dxa" w:w="714"/>
            <w:vAlign w:val="center"/>
          </w:tcPr>
          <w:p>
            <w:pPr>
              <w:jc w:val="center"/>
            </w:pPr>
            <w:r>
              <w:rPr>
                <w:rFonts w:ascii="Arial Narrow" w:hAnsi="Arial Narrow" w:eastAsia="Arial Narrow" w:cs="Arial Narrow"/>
                <w:b w:val="0"/>
                <w:i w:val="0"/>
                <w:sz w:val="16"/>
                <w:u w:val="none"/>
              </w:rPr>
              <w:t>96,9</w:t>
            </w:r>
          </w:p>
        </w:tc>
        <w:tc>
          <w:tcPr>
            <w:tcW w:type="dxa" w:w="649"/>
            <w:vAlign w:val="center"/>
          </w:tcPr>
          <w:p>
            <w:pPr>
              <w:jc w:val="center"/>
            </w:pPr>
            <w:r>
              <w:rPr>
                <w:rFonts w:ascii="Arial Narrow" w:hAnsi="Arial Narrow" w:eastAsia="Arial Narrow" w:cs="Arial Narrow"/>
                <w:b w:val="0"/>
                <w:i w:val="0"/>
                <w:sz w:val="16"/>
                <w:u w:val="none"/>
              </w:rPr>
              <w:t>95,0</w:t>
            </w:r>
          </w:p>
        </w:tc>
        <w:tc>
          <w:tcPr>
            <w:tcW w:type="dxa" w:w="591"/>
            <w:vAlign w:val="center"/>
          </w:tcPr>
          <w:p>
            <w:pPr>
              <w:jc w:val="center"/>
            </w:pPr>
            <w:r>
              <w:rPr>
                <w:rFonts w:ascii="Arial Narrow" w:hAnsi="Arial Narrow" w:eastAsia="Arial Narrow" w:cs="Arial Narrow"/>
                <w:b w:val="0"/>
                <w:i w:val="0"/>
                <w:sz w:val="16"/>
                <w:u w:val="none"/>
              </w:rPr>
              <w:t>95,9</w:t>
            </w:r>
          </w:p>
        </w:tc>
      </w:tr>
      <w:tr>
        <w:tc>
          <w:tcPr>
            <w:tcW w:type="dxa" w:w="1884"/>
            <w:vAlign w:val="center"/>
          </w:tcPr>
          <w:p>
            <w:pPr>
              <w:jc w:val="center"/>
            </w:pPr>
            <w:r>
              <w:rPr>
                <w:rFonts w:ascii="Arial Narrow" w:hAnsi="Arial Narrow" w:eastAsia="Arial Narrow" w:cs="Arial Narrow"/>
                <w:b w:val="0"/>
                <w:i w:val="0"/>
                <w:sz w:val="16"/>
                <w:u w:val="none"/>
              </w:rPr>
              <w:t>2 jari (Peace)</w:t>
            </w:r>
          </w:p>
        </w:tc>
        <w:tc>
          <w:tcPr>
            <w:tcW w:type="dxa" w:w="420"/>
            <w:vAlign w:val="center"/>
          </w:tcPr>
          <w:p>
            <w:pPr>
              <w:jc w:val="center"/>
            </w:pPr>
            <w:r>
              <w:rPr>
                <w:rFonts w:ascii="Arial Narrow" w:hAnsi="Arial Narrow" w:eastAsia="Arial Narrow" w:cs="Arial Narrow"/>
                <w:b w:val="0"/>
                <w:i w:val="0"/>
                <w:sz w:val="16"/>
                <w:u w:val="none"/>
              </w:rPr>
              <w:t>100</w:t>
            </w:r>
          </w:p>
        </w:tc>
        <w:tc>
          <w:tcPr>
            <w:tcW w:type="dxa" w:w="420"/>
            <w:vAlign w:val="center"/>
          </w:tcPr>
          <w:p>
            <w:pPr>
              <w:jc w:val="center"/>
            </w:pPr>
            <w:r>
              <w:rPr>
                <w:rFonts w:ascii="Arial Narrow" w:hAnsi="Arial Narrow" w:eastAsia="Arial Narrow" w:cs="Arial Narrow"/>
                <w:b w:val="0"/>
                <w:i w:val="0"/>
                <w:sz w:val="16"/>
                <w:u w:val="none"/>
              </w:rPr>
              <w:t>94</w:t>
            </w:r>
          </w:p>
        </w:tc>
        <w:tc>
          <w:tcPr>
            <w:tcW w:type="dxa" w:w="714"/>
            <w:vAlign w:val="center"/>
          </w:tcPr>
          <w:p>
            <w:pPr>
              <w:jc w:val="center"/>
            </w:pPr>
            <w:r>
              <w:rPr>
                <w:rFonts w:ascii="Arial Narrow" w:hAnsi="Arial Narrow" w:eastAsia="Arial Narrow" w:cs="Arial Narrow"/>
                <w:b w:val="0"/>
                <w:i w:val="0"/>
                <w:sz w:val="16"/>
                <w:u w:val="none"/>
              </w:rPr>
              <w:t>95,9</w:t>
            </w:r>
          </w:p>
        </w:tc>
        <w:tc>
          <w:tcPr>
            <w:tcW w:type="dxa" w:w="649"/>
            <w:vAlign w:val="center"/>
          </w:tcPr>
          <w:p>
            <w:pPr>
              <w:jc w:val="center"/>
            </w:pPr>
            <w:r>
              <w:rPr>
                <w:rFonts w:ascii="Arial Narrow" w:hAnsi="Arial Narrow" w:eastAsia="Arial Narrow" w:cs="Arial Narrow"/>
                <w:b w:val="0"/>
                <w:i w:val="0"/>
                <w:sz w:val="16"/>
                <w:u w:val="none"/>
              </w:rPr>
              <w:t>94,0</w:t>
            </w:r>
          </w:p>
        </w:tc>
        <w:tc>
          <w:tcPr>
            <w:tcW w:type="dxa" w:w="591"/>
            <w:vAlign w:val="center"/>
          </w:tcPr>
          <w:p>
            <w:pPr>
              <w:jc w:val="center"/>
            </w:pPr>
            <w:r>
              <w:rPr>
                <w:rFonts w:ascii="Arial Narrow" w:hAnsi="Arial Narrow" w:eastAsia="Arial Narrow" w:cs="Arial Narrow"/>
                <w:b w:val="0"/>
                <w:i w:val="0"/>
                <w:sz w:val="16"/>
                <w:u w:val="none"/>
              </w:rPr>
              <w:t>94,9</w:t>
            </w:r>
          </w:p>
        </w:tc>
      </w:tr>
      <w:tr>
        <w:tc>
          <w:tcPr>
            <w:tcW w:type="dxa" w:w="1884"/>
            <w:vAlign w:val="center"/>
          </w:tcPr>
          <w:p>
            <w:pPr>
              <w:jc w:val="center"/>
            </w:pPr>
            <w:r>
              <w:rPr>
                <w:rFonts w:ascii="Arial Narrow" w:hAnsi="Arial Narrow" w:eastAsia="Arial Narrow" w:cs="Arial Narrow"/>
                <w:b w:val="0"/>
                <w:i w:val="0"/>
                <w:sz w:val="16"/>
                <w:u w:val="none"/>
              </w:rPr>
              <w:t>3 jari</w:t>
            </w:r>
          </w:p>
        </w:tc>
        <w:tc>
          <w:tcPr>
            <w:tcW w:type="dxa" w:w="420"/>
            <w:vAlign w:val="center"/>
          </w:tcPr>
          <w:p>
            <w:pPr>
              <w:jc w:val="center"/>
            </w:pPr>
            <w:r>
              <w:rPr>
                <w:rFonts w:ascii="Arial Narrow" w:hAnsi="Arial Narrow" w:eastAsia="Arial Narrow" w:cs="Arial Narrow"/>
                <w:b w:val="0"/>
                <w:i w:val="0"/>
                <w:sz w:val="16"/>
                <w:u w:val="none"/>
              </w:rPr>
              <w:t>100</w:t>
            </w:r>
          </w:p>
        </w:tc>
        <w:tc>
          <w:tcPr>
            <w:tcW w:type="dxa" w:w="420"/>
            <w:vAlign w:val="center"/>
          </w:tcPr>
          <w:p>
            <w:pPr>
              <w:jc w:val="center"/>
            </w:pPr>
            <w:r>
              <w:rPr>
                <w:rFonts w:ascii="Arial Narrow" w:hAnsi="Arial Narrow" w:eastAsia="Arial Narrow" w:cs="Arial Narrow"/>
                <w:b w:val="0"/>
                <w:i w:val="0"/>
                <w:sz w:val="16"/>
                <w:u w:val="none"/>
              </w:rPr>
              <w:t>93</w:t>
            </w:r>
          </w:p>
        </w:tc>
        <w:tc>
          <w:tcPr>
            <w:tcW w:type="dxa" w:w="714"/>
            <w:vAlign w:val="center"/>
          </w:tcPr>
          <w:p>
            <w:pPr>
              <w:jc w:val="center"/>
            </w:pPr>
            <w:r>
              <w:rPr>
                <w:rFonts w:ascii="Arial Narrow" w:hAnsi="Arial Narrow" w:eastAsia="Arial Narrow" w:cs="Arial Narrow"/>
                <w:b w:val="0"/>
                <w:i w:val="0"/>
                <w:sz w:val="16"/>
                <w:u w:val="none"/>
              </w:rPr>
              <w:t>94,9</w:t>
            </w:r>
          </w:p>
        </w:tc>
        <w:tc>
          <w:tcPr>
            <w:tcW w:type="dxa" w:w="649"/>
            <w:vAlign w:val="center"/>
          </w:tcPr>
          <w:p>
            <w:pPr>
              <w:jc w:val="center"/>
            </w:pPr>
            <w:r>
              <w:rPr>
                <w:rFonts w:ascii="Arial Narrow" w:hAnsi="Arial Narrow" w:eastAsia="Arial Narrow" w:cs="Arial Narrow"/>
                <w:b w:val="0"/>
                <w:i w:val="0"/>
                <w:sz w:val="16"/>
                <w:u w:val="none"/>
              </w:rPr>
              <w:t>93,0</w:t>
            </w:r>
          </w:p>
        </w:tc>
        <w:tc>
          <w:tcPr>
            <w:tcW w:type="dxa" w:w="591"/>
            <w:vAlign w:val="center"/>
          </w:tcPr>
          <w:p>
            <w:pPr>
              <w:jc w:val="center"/>
            </w:pPr>
            <w:r>
              <w:rPr>
                <w:rFonts w:ascii="Arial Narrow" w:hAnsi="Arial Narrow" w:eastAsia="Arial Narrow" w:cs="Arial Narrow"/>
                <w:b w:val="0"/>
                <w:i w:val="0"/>
                <w:sz w:val="16"/>
                <w:u w:val="none"/>
              </w:rPr>
              <w:t>93,9</w:t>
            </w:r>
          </w:p>
        </w:tc>
      </w:tr>
      <w:tr>
        <w:tc>
          <w:tcPr>
            <w:tcW w:type="dxa" w:w="1884"/>
            <w:vAlign w:val="center"/>
          </w:tcPr>
          <w:p>
            <w:pPr>
              <w:jc w:val="center"/>
            </w:pPr>
            <w:r>
              <w:rPr>
                <w:rFonts w:ascii="Arial Narrow" w:hAnsi="Arial Narrow" w:eastAsia="Arial Narrow" w:cs="Arial Narrow"/>
                <w:b w:val="0"/>
                <w:i w:val="0"/>
                <w:sz w:val="16"/>
                <w:u w:val="none"/>
              </w:rPr>
              <w:t>4 jari</w:t>
            </w:r>
          </w:p>
        </w:tc>
        <w:tc>
          <w:tcPr>
            <w:tcW w:type="dxa" w:w="420"/>
            <w:vAlign w:val="center"/>
          </w:tcPr>
          <w:p>
            <w:pPr>
              <w:jc w:val="center"/>
            </w:pPr>
            <w:r>
              <w:rPr>
                <w:rFonts w:ascii="Arial Narrow" w:hAnsi="Arial Narrow" w:eastAsia="Arial Narrow" w:cs="Arial Narrow"/>
                <w:b w:val="0"/>
                <w:i w:val="0"/>
                <w:sz w:val="16"/>
                <w:u w:val="none"/>
              </w:rPr>
              <w:t>100</w:t>
            </w:r>
          </w:p>
        </w:tc>
        <w:tc>
          <w:tcPr>
            <w:tcW w:type="dxa" w:w="420"/>
            <w:vAlign w:val="center"/>
          </w:tcPr>
          <w:p>
            <w:pPr>
              <w:jc w:val="center"/>
            </w:pPr>
            <w:r>
              <w:rPr>
                <w:rFonts w:ascii="Arial Narrow" w:hAnsi="Arial Narrow" w:eastAsia="Arial Narrow" w:cs="Arial Narrow"/>
                <w:b w:val="0"/>
                <w:i w:val="0"/>
                <w:sz w:val="16"/>
                <w:u w:val="none"/>
              </w:rPr>
              <w:t>92</w:t>
            </w:r>
          </w:p>
        </w:tc>
        <w:tc>
          <w:tcPr>
            <w:tcW w:type="dxa" w:w="714"/>
            <w:vAlign w:val="center"/>
          </w:tcPr>
          <w:p>
            <w:pPr>
              <w:jc w:val="center"/>
            </w:pPr>
            <w:r>
              <w:rPr>
                <w:rFonts w:ascii="Arial Narrow" w:hAnsi="Arial Narrow" w:eastAsia="Arial Narrow" w:cs="Arial Narrow"/>
                <w:b w:val="0"/>
                <w:i w:val="0"/>
                <w:sz w:val="16"/>
                <w:u w:val="none"/>
              </w:rPr>
              <w:t>93,9</w:t>
            </w:r>
          </w:p>
        </w:tc>
        <w:tc>
          <w:tcPr>
            <w:tcW w:type="dxa" w:w="649"/>
            <w:vAlign w:val="center"/>
          </w:tcPr>
          <w:p>
            <w:pPr>
              <w:jc w:val="center"/>
            </w:pPr>
            <w:r>
              <w:rPr>
                <w:rFonts w:ascii="Arial Narrow" w:hAnsi="Arial Narrow" w:eastAsia="Arial Narrow" w:cs="Arial Narrow"/>
                <w:b w:val="0"/>
                <w:i w:val="0"/>
                <w:sz w:val="16"/>
                <w:u w:val="none"/>
              </w:rPr>
              <w:t>92,0</w:t>
            </w:r>
          </w:p>
        </w:tc>
        <w:tc>
          <w:tcPr>
            <w:tcW w:type="dxa" w:w="591"/>
            <w:vAlign w:val="center"/>
          </w:tcPr>
          <w:p>
            <w:pPr>
              <w:jc w:val="center"/>
            </w:pPr>
            <w:r>
              <w:rPr>
                <w:rFonts w:ascii="Arial Narrow" w:hAnsi="Arial Narrow" w:eastAsia="Arial Narrow" w:cs="Arial Narrow"/>
                <w:b w:val="0"/>
                <w:i w:val="0"/>
                <w:sz w:val="16"/>
                <w:u w:val="none"/>
              </w:rPr>
              <w:t>92,9</w:t>
            </w:r>
          </w:p>
        </w:tc>
      </w:tr>
      <w:tr>
        <w:tc>
          <w:tcPr>
            <w:tcW w:type="dxa" w:w="1884"/>
            <w:vAlign w:val="center"/>
          </w:tcPr>
          <w:p>
            <w:pPr>
              <w:jc w:val="center"/>
            </w:pPr>
            <w:r>
              <w:rPr>
                <w:rFonts w:ascii="Arial Narrow" w:hAnsi="Arial Narrow" w:eastAsia="Arial Narrow" w:cs="Arial Narrow"/>
                <w:b w:val="0"/>
                <w:i w:val="0"/>
                <w:sz w:val="16"/>
                <w:u w:val="none"/>
              </w:rPr>
              <w:t>5 jari (Telapak Terbuka)</w:t>
            </w:r>
          </w:p>
        </w:tc>
        <w:tc>
          <w:tcPr>
            <w:tcW w:type="dxa" w:w="420"/>
            <w:vAlign w:val="center"/>
          </w:tcPr>
          <w:p>
            <w:pPr>
              <w:jc w:val="center"/>
            </w:pPr>
            <w:r>
              <w:rPr>
                <w:rFonts w:ascii="Arial Narrow" w:hAnsi="Arial Narrow" w:eastAsia="Arial Narrow" w:cs="Arial Narrow"/>
                <w:b w:val="0"/>
                <w:i w:val="0"/>
                <w:sz w:val="16"/>
                <w:u w:val="none"/>
              </w:rPr>
              <w:t>100</w:t>
            </w:r>
          </w:p>
        </w:tc>
        <w:tc>
          <w:tcPr>
            <w:tcW w:type="dxa" w:w="420"/>
            <w:vAlign w:val="center"/>
          </w:tcPr>
          <w:p>
            <w:pPr>
              <w:jc w:val="center"/>
            </w:pPr>
            <w:r>
              <w:rPr>
                <w:rFonts w:ascii="Arial Narrow" w:hAnsi="Arial Narrow" w:eastAsia="Arial Narrow" w:cs="Arial Narrow"/>
                <w:b w:val="0"/>
                <w:i w:val="0"/>
                <w:sz w:val="16"/>
                <w:u w:val="none"/>
              </w:rPr>
              <w:t>98</w:t>
            </w:r>
          </w:p>
        </w:tc>
        <w:tc>
          <w:tcPr>
            <w:tcW w:type="dxa" w:w="714"/>
            <w:vAlign w:val="center"/>
          </w:tcPr>
          <w:p>
            <w:pPr>
              <w:jc w:val="center"/>
            </w:pPr>
            <w:r>
              <w:rPr>
                <w:rFonts w:ascii="Arial Narrow" w:hAnsi="Arial Narrow" w:eastAsia="Arial Narrow" w:cs="Arial Narrow"/>
                <w:b w:val="0"/>
                <w:i w:val="0"/>
                <w:sz w:val="16"/>
                <w:u w:val="none"/>
              </w:rPr>
              <w:t>97,0</w:t>
            </w:r>
          </w:p>
        </w:tc>
        <w:tc>
          <w:tcPr>
            <w:tcW w:type="dxa" w:w="649"/>
            <w:vAlign w:val="center"/>
          </w:tcPr>
          <w:p>
            <w:pPr>
              <w:jc w:val="center"/>
            </w:pPr>
            <w:r>
              <w:rPr>
                <w:rFonts w:ascii="Arial Narrow" w:hAnsi="Arial Narrow" w:eastAsia="Arial Narrow" w:cs="Arial Narrow"/>
                <w:b w:val="0"/>
                <w:i w:val="0"/>
                <w:sz w:val="16"/>
                <w:u w:val="none"/>
              </w:rPr>
              <w:t>98,0</w:t>
            </w:r>
          </w:p>
        </w:tc>
        <w:tc>
          <w:tcPr>
            <w:tcW w:type="dxa" w:w="591"/>
            <w:vAlign w:val="center"/>
          </w:tcPr>
          <w:p>
            <w:pPr>
              <w:jc w:val="center"/>
            </w:pPr>
            <w:r>
              <w:rPr>
                <w:rFonts w:ascii="Arial Narrow" w:hAnsi="Arial Narrow" w:eastAsia="Arial Narrow" w:cs="Arial Narrow"/>
                <w:b w:val="0"/>
                <w:i w:val="0"/>
                <w:sz w:val="16"/>
                <w:u w:val="none"/>
              </w:rPr>
              <w:t>97,5</w:t>
            </w:r>
          </w:p>
        </w:tc>
      </w:tr>
      <w:tr>
        <w:tc>
          <w:tcPr>
            <w:tcW w:type="dxa" w:w="1884"/>
            <w:vAlign w:val="center"/>
          </w:tcPr>
          <w:p>
            <w:pPr>
              <w:jc w:val="center"/>
            </w:pPr>
            <w:r>
              <w:rPr>
                <w:rFonts w:ascii="Arial Narrow" w:hAnsi="Arial Narrow" w:eastAsia="Arial Narrow" w:cs="Arial Narrow"/>
                <w:b/>
                <w:i w:val="0"/>
                <w:sz w:val="16"/>
                <w:u w:val="none"/>
              </w:rPr>
              <w:t>Rata-rata Keseluruhan (Makro)</w:t>
            </w:r>
          </w:p>
        </w:tc>
        <w:tc>
          <w:tcPr>
            <w:tcW w:type="dxa" w:w="420"/>
            <w:vAlign w:val="center"/>
          </w:tcPr>
          <w:p>
            <w:pPr>
              <w:jc w:val="center"/>
            </w:pPr>
            <w:r>
              <w:rPr>
                <w:rFonts w:ascii="Arial Narrow" w:hAnsi="Arial Narrow" w:eastAsia="Arial Narrow" w:cs="Arial Narrow"/>
                <w:b w:val="0"/>
                <w:i w:val="0"/>
                <w:sz w:val="16"/>
                <w:u w:val="none"/>
              </w:rPr>
              <w:t>600</w:t>
            </w:r>
          </w:p>
        </w:tc>
        <w:tc>
          <w:tcPr>
            <w:tcW w:type="dxa" w:w="420"/>
            <w:vAlign w:val="center"/>
          </w:tcPr>
          <w:p>
            <w:pPr>
              <w:jc w:val="center"/>
            </w:pPr>
            <w:r>
              <w:rPr>
                <w:rFonts w:ascii="Arial Narrow" w:hAnsi="Arial Narrow" w:eastAsia="Arial Narrow" w:cs="Arial Narrow"/>
                <w:b w:val="0"/>
                <w:i w:val="0"/>
                <w:sz w:val="16"/>
                <w:u w:val="none"/>
              </w:rPr>
              <w:t>569</w:t>
            </w:r>
          </w:p>
        </w:tc>
        <w:tc>
          <w:tcPr>
            <w:tcW w:type="dxa" w:w="714"/>
            <w:vAlign w:val="center"/>
          </w:tcPr>
          <w:p>
            <w:pPr>
              <w:jc w:val="center"/>
            </w:pPr>
            <w:r>
              <w:rPr>
                <w:rFonts w:ascii="Arial Narrow" w:hAnsi="Arial Narrow" w:eastAsia="Arial Narrow" w:cs="Arial Narrow"/>
                <w:b/>
                <w:i w:val="0"/>
                <w:sz w:val="16"/>
                <w:u w:val="none"/>
              </w:rPr>
              <w:t>96,1</w:t>
            </w:r>
          </w:p>
        </w:tc>
        <w:tc>
          <w:tcPr>
            <w:tcW w:type="dxa" w:w="649"/>
            <w:vAlign w:val="center"/>
          </w:tcPr>
          <w:p>
            <w:pPr>
              <w:jc w:val="center"/>
            </w:pPr>
            <w:r>
              <w:rPr>
                <w:rFonts w:ascii="Arial Narrow" w:hAnsi="Arial Narrow" w:eastAsia="Arial Narrow" w:cs="Arial Narrow"/>
                <w:b/>
                <w:i w:val="0"/>
                <w:sz w:val="16"/>
                <w:u w:val="none"/>
              </w:rPr>
              <w:t>94,8</w:t>
            </w:r>
          </w:p>
        </w:tc>
        <w:tc>
          <w:tcPr>
            <w:tcW w:type="dxa" w:w="591"/>
            <w:vAlign w:val="center"/>
          </w:tcPr>
          <w:p>
            <w:pPr>
              <w:jc w:val="center"/>
            </w:pPr>
            <w:r>
              <w:rPr>
                <w:rFonts w:ascii="Arial Narrow" w:hAnsi="Arial Narrow" w:eastAsia="Arial Narrow" w:cs="Arial Narrow"/>
                <w:b/>
                <w:i w:val="0"/>
                <w:sz w:val="16"/>
                <w:u w:val="none"/>
              </w:rPr>
              <w:t>95,4</w:t>
            </w:r>
          </w:p>
        </w:tc>
      </w:tr>
    </w:tbl>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3.</w:t>
        <w:tab/>
        <w:t>Matriks Konfusi pada 300 Lux (n=100 per kelas)</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1169"/>
        <w:gridCol w:w="756"/>
        <w:gridCol w:w="825"/>
        <w:gridCol w:w="619"/>
        <w:gridCol w:w="420"/>
        <w:gridCol w:w="420"/>
        <w:gridCol w:w="469"/>
      </w:tblGrid>
      <w:tr>
        <w:tc>
          <w:tcPr>
            <w:tcW w:type="dxa" w:w="1169"/>
            <w:vAlign w:val="center"/>
          </w:tcPr>
          <w:p>
            <w:pPr>
              <w:jc w:val="center"/>
            </w:pPr>
            <w:r>
              <w:rPr>
                <w:rFonts w:ascii="Arial Narrow" w:hAnsi="Arial Narrow" w:eastAsia="Arial Narrow" w:cs="Arial Narrow"/>
                <w:b/>
                <w:i w:val="0"/>
                <w:sz w:val="16"/>
                <w:u w:val="none"/>
              </w:rPr>
              <w:t>Aktual \ Prediksi</w:t>
            </w:r>
          </w:p>
        </w:tc>
        <w:tc>
          <w:tcPr>
            <w:tcW w:type="dxa" w:w="756"/>
            <w:vAlign w:val="center"/>
          </w:tcPr>
          <w:p>
            <w:pPr>
              <w:jc w:val="center"/>
            </w:pPr>
            <w:r>
              <w:rPr>
                <w:rFonts w:ascii="Arial Narrow" w:hAnsi="Arial Narrow" w:eastAsia="Arial Narrow" w:cs="Arial Narrow"/>
                <w:b/>
                <w:i w:val="0"/>
                <w:sz w:val="16"/>
                <w:u w:val="none"/>
              </w:rPr>
              <w:t>0 (Kepalan)</w:t>
            </w:r>
          </w:p>
        </w:tc>
        <w:tc>
          <w:tcPr>
            <w:tcW w:type="dxa" w:w="825"/>
            <w:vAlign w:val="center"/>
          </w:tcPr>
          <w:p>
            <w:pPr>
              <w:jc w:val="center"/>
            </w:pPr>
            <w:r>
              <w:rPr>
                <w:rFonts w:ascii="Arial Narrow" w:hAnsi="Arial Narrow" w:eastAsia="Arial Narrow" w:cs="Arial Narrow"/>
                <w:b/>
                <w:i w:val="0"/>
                <w:sz w:val="16"/>
                <w:u w:val="none"/>
              </w:rPr>
              <w:t>1 (Telunjuk)</w:t>
            </w:r>
          </w:p>
        </w:tc>
        <w:tc>
          <w:tcPr>
            <w:tcW w:type="dxa" w:w="619"/>
            <w:vAlign w:val="center"/>
          </w:tcPr>
          <w:p>
            <w:pPr>
              <w:jc w:val="center"/>
            </w:pPr>
            <w:r>
              <w:rPr>
                <w:rFonts w:ascii="Arial Narrow" w:hAnsi="Arial Narrow" w:eastAsia="Arial Narrow" w:cs="Arial Narrow"/>
                <w:b/>
                <w:i w:val="0"/>
                <w:sz w:val="16"/>
                <w:u w:val="none"/>
              </w:rPr>
              <w:t>2 (Peace)</w:t>
            </w:r>
          </w:p>
        </w:tc>
        <w:tc>
          <w:tcPr>
            <w:tcW w:type="dxa" w:w="420"/>
            <w:vAlign w:val="center"/>
          </w:tcPr>
          <w:p>
            <w:pPr>
              <w:jc w:val="center"/>
            </w:pPr>
            <w:r>
              <w:rPr>
                <w:rFonts w:ascii="Arial Narrow" w:hAnsi="Arial Narrow" w:eastAsia="Arial Narrow" w:cs="Arial Narrow"/>
                <w:b/>
                <w:i w:val="0"/>
                <w:sz w:val="16"/>
                <w:u w:val="none"/>
              </w:rPr>
              <w:t>3</w:t>
            </w:r>
          </w:p>
        </w:tc>
        <w:tc>
          <w:tcPr>
            <w:tcW w:type="dxa" w:w="420"/>
            <w:vAlign w:val="center"/>
          </w:tcPr>
          <w:p>
            <w:pPr>
              <w:jc w:val="center"/>
            </w:pPr>
            <w:r>
              <w:rPr>
                <w:rFonts w:ascii="Arial Narrow" w:hAnsi="Arial Narrow" w:eastAsia="Arial Narrow" w:cs="Arial Narrow"/>
                <w:b/>
                <w:i w:val="0"/>
                <w:sz w:val="16"/>
                <w:u w:val="none"/>
              </w:rPr>
              <w:t>4</w:t>
            </w:r>
          </w:p>
        </w:tc>
        <w:tc>
          <w:tcPr>
            <w:tcW w:type="dxa" w:w="469"/>
            <w:vAlign w:val="center"/>
          </w:tcPr>
          <w:p>
            <w:pPr>
              <w:jc w:val="center"/>
            </w:pPr>
            <w:r>
              <w:rPr>
                <w:rFonts w:ascii="Arial Narrow" w:hAnsi="Arial Narrow" w:eastAsia="Arial Narrow" w:cs="Arial Narrow"/>
                <w:b/>
                <w:i w:val="0"/>
                <w:sz w:val="16"/>
                <w:u w:val="none"/>
              </w:rPr>
              <w:t>5 (Telapak)</w:t>
            </w:r>
          </w:p>
        </w:tc>
      </w:tr>
      <w:tr>
        <w:tc>
          <w:tcPr>
            <w:tcW w:type="dxa" w:w="1169"/>
            <w:vAlign w:val="center"/>
          </w:tcPr>
          <w:p>
            <w:pPr>
              <w:jc w:val="center"/>
            </w:pPr>
            <w:r>
              <w:rPr>
                <w:rFonts w:ascii="Arial Narrow" w:hAnsi="Arial Narrow" w:eastAsia="Arial Narrow" w:cs="Arial Narrow"/>
                <w:b w:val="0"/>
                <w:i w:val="0"/>
                <w:sz w:val="16"/>
                <w:u w:val="none"/>
              </w:rPr>
              <w:t>0 (Kepalan)</w:t>
            </w:r>
          </w:p>
        </w:tc>
        <w:tc>
          <w:tcPr>
            <w:tcW w:type="dxa" w:w="756"/>
            <w:vAlign w:val="center"/>
          </w:tcPr>
          <w:p>
            <w:pPr>
              <w:jc w:val="center"/>
            </w:pPr>
            <w:r>
              <w:rPr>
                <w:rFonts w:ascii="Arial Narrow" w:hAnsi="Arial Narrow" w:eastAsia="Arial Narrow" w:cs="Arial Narrow"/>
                <w:b w:val="0"/>
                <w:i w:val="0"/>
                <w:sz w:val="16"/>
                <w:u w:val="none"/>
              </w:rPr>
              <w:t>97</w:t>
            </w:r>
          </w:p>
        </w:tc>
        <w:tc>
          <w:tcPr>
            <w:tcW w:type="dxa" w:w="825"/>
            <w:vAlign w:val="center"/>
          </w:tcPr>
          <w:p>
            <w:pPr>
              <w:jc w:val="center"/>
            </w:pPr>
            <w:r>
              <w:rPr>
                <w:rFonts w:ascii="Arial Narrow" w:hAnsi="Arial Narrow" w:eastAsia="Arial Narrow" w:cs="Arial Narrow"/>
                <w:b w:val="0"/>
                <w:i w:val="0"/>
                <w:sz w:val="16"/>
                <w:u w:val="none"/>
              </w:rPr>
              <w:t>0</w:t>
            </w:r>
          </w:p>
        </w:tc>
        <w:tc>
          <w:tcPr>
            <w:tcW w:type="dxa" w:w="619"/>
            <w:vAlign w:val="center"/>
          </w:tcPr>
          <w:p>
            <w:pPr>
              <w:jc w:val="center"/>
            </w:pPr>
            <w:r>
              <w:rPr>
                <w:rFonts w:ascii="Arial Narrow" w:hAnsi="Arial Narrow" w:eastAsia="Arial Narrow" w:cs="Arial Narrow"/>
                <w:b w:val="0"/>
                <w:i w:val="0"/>
                <w:sz w:val="16"/>
                <w:u w:val="none"/>
              </w:rPr>
              <w:t>0</w:t>
            </w:r>
          </w:p>
        </w:tc>
        <w:tc>
          <w:tcPr>
            <w:tcW w:type="dxa" w:w="420"/>
            <w:vAlign w:val="center"/>
          </w:tcPr>
          <w:p>
            <w:pPr>
              <w:jc w:val="center"/>
            </w:pPr>
            <w:r>
              <w:rPr>
                <w:rFonts w:ascii="Arial Narrow" w:hAnsi="Arial Narrow" w:eastAsia="Arial Narrow" w:cs="Arial Narrow"/>
                <w:b w:val="0"/>
                <w:i w:val="0"/>
                <w:sz w:val="16"/>
                <w:u w:val="none"/>
              </w:rPr>
              <w:t>0</w:t>
            </w:r>
          </w:p>
        </w:tc>
        <w:tc>
          <w:tcPr>
            <w:tcW w:type="dxa" w:w="420"/>
            <w:vAlign w:val="center"/>
          </w:tcPr>
          <w:p>
            <w:pPr>
              <w:jc w:val="center"/>
            </w:pPr>
            <w:r>
              <w:rPr>
                <w:rFonts w:ascii="Arial Narrow" w:hAnsi="Arial Narrow" w:eastAsia="Arial Narrow" w:cs="Arial Narrow"/>
                <w:b w:val="0"/>
                <w:i w:val="0"/>
                <w:sz w:val="16"/>
                <w:u w:val="none"/>
              </w:rPr>
              <w:t>0</w:t>
            </w:r>
          </w:p>
        </w:tc>
        <w:tc>
          <w:tcPr>
            <w:tcW w:type="dxa" w:w="469"/>
            <w:vAlign w:val="center"/>
          </w:tcPr>
          <w:p>
            <w:pPr>
              <w:jc w:val="center"/>
            </w:pPr>
            <w:r>
              <w:rPr>
                <w:rFonts w:ascii="Arial Narrow" w:hAnsi="Arial Narrow" w:eastAsia="Arial Narrow" w:cs="Arial Narrow"/>
                <w:b w:val="0"/>
                <w:i w:val="0"/>
                <w:sz w:val="16"/>
                <w:u w:val="none"/>
              </w:rPr>
              <w:t>3</w:t>
            </w:r>
          </w:p>
        </w:tc>
      </w:tr>
      <w:tr>
        <w:tc>
          <w:tcPr>
            <w:tcW w:type="dxa" w:w="1169"/>
            <w:vAlign w:val="center"/>
          </w:tcPr>
          <w:p>
            <w:pPr>
              <w:jc w:val="center"/>
            </w:pPr>
            <w:r>
              <w:rPr>
                <w:rFonts w:ascii="Arial Narrow" w:hAnsi="Arial Narrow" w:eastAsia="Arial Narrow" w:cs="Arial Narrow"/>
                <w:b w:val="0"/>
                <w:i w:val="0"/>
                <w:sz w:val="16"/>
                <w:u w:val="none"/>
              </w:rPr>
              <w:t>1 (Telunjuk)</w:t>
            </w:r>
          </w:p>
        </w:tc>
        <w:tc>
          <w:tcPr>
            <w:tcW w:type="dxa" w:w="756"/>
            <w:vAlign w:val="center"/>
          </w:tcPr>
          <w:p>
            <w:pPr>
              <w:jc w:val="center"/>
            </w:pPr>
            <w:r>
              <w:rPr>
                <w:rFonts w:ascii="Arial Narrow" w:hAnsi="Arial Narrow" w:eastAsia="Arial Narrow" w:cs="Arial Narrow"/>
                <w:b w:val="0"/>
                <w:i w:val="0"/>
                <w:sz w:val="16"/>
                <w:u w:val="none"/>
              </w:rPr>
              <w:t>0</w:t>
            </w:r>
          </w:p>
        </w:tc>
        <w:tc>
          <w:tcPr>
            <w:tcW w:type="dxa" w:w="825"/>
            <w:vAlign w:val="center"/>
          </w:tcPr>
          <w:p>
            <w:pPr>
              <w:jc w:val="center"/>
            </w:pPr>
            <w:r>
              <w:rPr>
                <w:rFonts w:ascii="Arial Narrow" w:hAnsi="Arial Narrow" w:eastAsia="Arial Narrow" w:cs="Arial Narrow"/>
                <w:b w:val="0"/>
                <w:i w:val="0"/>
                <w:sz w:val="16"/>
                <w:u w:val="none"/>
              </w:rPr>
              <w:t>95</w:t>
            </w:r>
          </w:p>
        </w:tc>
        <w:tc>
          <w:tcPr>
            <w:tcW w:type="dxa" w:w="619"/>
            <w:vAlign w:val="center"/>
          </w:tcPr>
          <w:p>
            <w:pPr>
              <w:jc w:val="center"/>
            </w:pPr>
            <w:r>
              <w:rPr>
                <w:rFonts w:ascii="Arial Narrow" w:hAnsi="Arial Narrow" w:eastAsia="Arial Narrow" w:cs="Arial Narrow"/>
                <w:b w:val="0"/>
                <w:i w:val="0"/>
                <w:sz w:val="16"/>
                <w:u w:val="none"/>
              </w:rPr>
              <w:t>2</w:t>
            </w:r>
          </w:p>
        </w:tc>
        <w:tc>
          <w:tcPr>
            <w:tcW w:type="dxa" w:w="420"/>
            <w:vAlign w:val="center"/>
          </w:tcPr>
          <w:p>
            <w:pPr>
              <w:jc w:val="center"/>
            </w:pPr>
            <w:r>
              <w:rPr>
                <w:rFonts w:ascii="Arial Narrow" w:hAnsi="Arial Narrow" w:eastAsia="Arial Narrow" w:cs="Arial Narrow"/>
                <w:b w:val="0"/>
                <w:i w:val="0"/>
                <w:sz w:val="16"/>
                <w:u w:val="none"/>
              </w:rPr>
              <w:t>0</w:t>
            </w:r>
          </w:p>
        </w:tc>
        <w:tc>
          <w:tcPr>
            <w:tcW w:type="dxa" w:w="420"/>
            <w:vAlign w:val="center"/>
          </w:tcPr>
          <w:p>
            <w:pPr>
              <w:jc w:val="center"/>
            </w:pPr>
            <w:r>
              <w:rPr>
                <w:rFonts w:ascii="Arial Narrow" w:hAnsi="Arial Narrow" w:eastAsia="Arial Narrow" w:cs="Arial Narrow"/>
                <w:b w:val="0"/>
                <w:i w:val="0"/>
                <w:sz w:val="16"/>
                <w:u w:val="none"/>
              </w:rPr>
              <w:t>0</w:t>
            </w:r>
          </w:p>
        </w:tc>
        <w:tc>
          <w:tcPr>
            <w:tcW w:type="dxa" w:w="469"/>
            <w:vAlign w:val="center"/>
          </w:tcPr>
          <w:p>
            <w:pPr>
              <w:jc w:val="center"/>
            </w:pPr>
            <w:r>
              <w:rPr>
                <w:rFonts w:ascii="Arial Narrow" w:hAnsi="Arial Narrow" w:eastAsia="Arial Narrow" w:cs="Arial Narrow"/>
                <w:b w:val="0"/>
                <w:i w:val="0"/>
                <w:sz w:val="16"/>
                <w:u w:val="none"/>
              </w:rPr>
              <w:t>3</w:t>
            </w:r>
          </w:p>
        </w:tc>
      </w:tr>
      <w:tr>
        <w:tc>
          <w:tcPr>
            <w:tcW w:type="dxa" w:w="1169"/>
            <w:vAlign w:val="center"/>
          </w:tcPr>
          <w:p>
            <w:pPr>
              <w:jc w:val="center"/>
            </w:pPr>
            <w:r>
              <w:rPr>
                <w:rFonts w:ascii="Arial Narrow" w:hAnsi="Arial Narrow" w:eastAsia="Arial Narrow" w:cs="Arial Narrow"/>
                <w:b w:val="0"/>
                <w:i w:val="0"/>
                <w:sz w:val="16"/>
                <w:u w:val="none"/>
              </w:rPr>
              <w:t>2 (Peace)</w:t>
            </w:r>
          </w:p>
        </w:tc>
        <w:tc>
          <w:tcPr>
            <w:tcW w:type="dxa" w:w="756"/>
            <w:vAlign w:val="center"/>
          </w:tcPr>
          <w:p>
            <w:pPr>
              <w:jc w:val="center"/>
            </w:pPr>
            <w:r>
              <w:rPr>
                <w:rFonts w:ascii="Arial Narrow" w:hAnsi="Arial Narrow" w:eastAsia="Arial Narrow" w:cs="Arial Narrow"/>
                <w:b w:val="0"/>
                <w:i w:val="0"/>
                <w:sz w:val="16"/>
                <w:u w:val="none"/>
              </w:rPr>
              <w:t>0</w:t>
            </w:r>
          </w:p>
        </w:tc>
        <w:tc>
          <w:tcPr>
            <w:tcW w:type="dxa" w:w="825"/>
            <w:vAlign w:val="center"/>
          </w:tcPr>
          <w:p>
            <w:pPr>
              <w:jc w:val="center"/>
            </w:pPr>
            <w:r>
              <w:rPr>
                <w:rFonts w:ascii="Arial Narrow" w:hAnsi="Arial Narrow" w:eastAsia="Arial Narrow" w:cs="Arial Narrow"/>
                <w:b w:val="0"/>
                <w:i w:val="0"/>
                <w:sz w:val="16"/>
                <w:u w:val="none"/>
              </w:rPr>
              <w:t>1</w:t>
            </w:r>
          </w:p>
        </w:tc>
        <w:tc>
          <w:tcPr>
            <w:tcW w:type="dxa" w:w="619"/>
            <w:vAlign w:val="center"/>
          </w:tcPr>
          <w:p>
            <w:pPr>
              <w:jc w:val="center"/>
            </w:pPr>
            <w:r>
              <w:rPr>
                <w:rFonts w:ascii="Arial Narrow" w:hAnsi="Arial Narrow" w:eastAsia="Arial Narrow" w:cs="Arial Narrow"/>
                <w:b w:val="0"/>
                <w:i w:val="0"/>
                <w:sz w:val="16"/>
                <w:u w:val="none"/>
              </w:rPr>
              <w:t>94</w:t>
            </w:r>
          </w:p>
        </w:tc>
        <w:tc>
          <w:tcPr>
            <w:tcW w:type="dxa" w:w="420"/>
            <w:vAlign w:val="center"/>
          </w:tcPr>
          <w:p>
            <w:pPr>
              <w:jc w:val="center"/>
            </w:pPr>
            <w:r>
              <w:rPr>
                <w:rFonts w:ascii="Arial Narrow" w:hAnsi="Arial Narrow" w:eastAsia="Arial Narrow" w:cs="Arial Narrow"/>
                <w:b w:val="0"/>
                <w:i w:val="0"/>
                <w:sz w:val="16"/>
                <w:u w:val="none"/>
              </w:rPr>
              <w:t>5</w:t>
            </w:r>
          </w:p>
        </w:tc>
        <w:tc>
          <w:tcPr>
            <w:tcW w:type="dxa" w:w="420"/>
            <w:vAlign w:val="center"/>
          </w:tcPr>
          <w:p>
            <w:pPr>
              <w:jc w:val="center"/>
            </w:pPr>
            <w:r>
              <w:rPr>
                <w:rFonts w:ascii="Arial Narrow" w:hAnsi="Arial Narrow" w:eastAsia="Arial Narrow" w:cs="Arial Narrow"/>
                <w:b w:val="0"/>
                <w:i w:val="0"/>
                <w:sz w:val="16"/>
                <w:u w:val="none"/>
              </w:rPr>
              <w:t>0</w:t>
            </w:r>
          </w:p>
        </w:tc>
        <w:tc>
          <w:tcPr>
            <w:tcW w:type="dxa" w:w="469"/>
            <w:vAlign w:val="center"/>
          </w:tcPr>
          <w:p>
            <w:pPr>
              <w:jc w:val="center"/>
            </w:pPr>
            <w:r>
              <w:rPr>
                <w:rFonts w:ascii="Arial Narrow" w:hAnsi="Arial Narrow" w:eastAsia="Arial Narrow" w:cs="Arial Narrow"/>
                <w:b w:val="0"/>
                <w:i w:val="0"/>
                <w:sz w:val="16"/>
                <w:u w:val="none"/>
              </w:rPr>
              <w:t>0</w:t>
            </w:r>
          </w:p>
        </w:tc>
      </w:tr>
      <w:tr>
        <w:tc>
          <w:tcPr>
            <w:tcW w:type="dxa" w:w="1169"/>
            <w:vAlign w:val="center"/>
          </w:tcPr>
          <w:p>
            <w:pPr>
              <w:jc w:val="center"/>
            </w:pPr>
            <w:r>
              <w:rPr>
                <w:rFonts w:ascii="Arial Narrow" w:hAnsi="Arial Narrow" w:eastAsia="Arial Narrow" w:cs="Arial Narrow"/>
                <w:b w:val="0"/>
                <w:i w:val="0"/>
                <w:sz w:val="16"/>
                <w:u w:val="none"/>
              </w:rPr>
              <w:t>3</w:t>
            </w:r>
          </w:p>
        </w:tc>
        <w:tc>
          <w:tcPr>
            <w:tcW w:type="dxa" w:w="756"/>
            <w:vAlign w:val="center"/>
          </w:tcPr>
          <w:p>
            <w:pPr>
              <w:jc w:val="center"/>
            </w:pPr>
            <w:r>
              <w:rPr>
                <w:rFonts w:ascii="Arial Narrow" w:hAnsi="Arial Narrow" w:eastAsia="Arial Narrow" w:cs="Arial Narrow"/>
                <w:b w:val="0"/>
                <w:i w:val="0"/>
                <w:sz w:val="16"/>
                <w:u w:val="none"/>
              </w:rPr>
              <w:t>0</w:t>
            </w:r>
          </w:p>
        </w:tc>
        <w:tc>
          <w:tcPr>
            <w:tcW w:type="dxa" w:w="825"/>
            <w:vAlign w:val="center"/>
          </w:tcPr>
          <w:p>
            <w:pPr>
              <w:jc w:val="center"/>
            </w:pPr>
            <w:r>
              <w:rPr>
                <w:rFonts w:ascii="Arial Narrow" w:hAnsi="Arial Narrow" w:eastAsia="Arial Narrow" w:cs="Arial Narrow"/>
                <w:b w:val="0"/>
                <w:i w:val="0"/>
                <w:sz w:val="16"/>
                <w:u w:val="none"/>
              </w:rPr>
              <w:t>0</w:t>
            </w:r>
          </w:p>
        </w:tc>
        <w:tc>
          <w:tcPr>
            <w:tcW w:type="dxa" w:w="619"/>
            <w:vAlign w:val="center"/>
          </w:tcPr>
          <w:p>
            <w:pPr>
              <w:jc w:val="center"/>
            </w:pPr>
            <w:r>
              <w:rPr>
                <w:rFonts w:ascii="Arial Narrow" w:hAnsi="Arial Narrow" w:eastAsia="Arial Narrow" w:cs="Arial Narrow"/>
                <w:b w:val="0"/>
                <w:i w:val="0"/>
                <w:sz w:val="16"/>
                <w:u w:val="none"/>
              </w:rPr>
              <w:t>4</w:t>
            </w:r>
          </w:p>
        </w:tc>
        <w:tc>
          <w:tcPr>
            <w:tcW w:type="dxa" w:w="420"/>
            <w:vAlign w:val="center"/>
          </w:tcPr>
          <w:p>
            <w:pPr>
              <w:jc w:val="center"/>
            </w:pPr>
            <w:r>
              <w:rPr>
                <w:rFonts w:ascii="Arial Narrow" w:hAnsi="Arial Narrow" w:eastAsia="Arial Narrow" w:cs="Arial Narrow"/>
                <w:b w:val="0"/>
                <w:i w:val="0"/>
                <w:sz w:val="16"/>
                <w:u w:val="none"/>
              </w:rPr>
              <w:t>93</w:t>
            </w:r>
          </w:p>
        </w:tc>
        <w:tc>
          <w:tcPr>
            <w:tcW w:type="dxa" w:w="420"/>
            <w:vAlign w:val="center"/>
          </w:tcPr>
          <w:p>
            <w:pPr>
              <w:jc w:val="center"/>
            </w:pPr>
            <w:r>
              <w:rPr>
                <w:rFonts w:ascii="Arial Narrow" w:hAnsi="Arial Narrow" w:eastAsia="Arial Narrow" w:cs="Arial Narrow"/>
                <w:b w:val="0"/>
                <w:i w:val="0"/>
                <w:sz w:val="16"/>
                <w:u w:val="none"/>
              </w:rPr>
              <w:t>3</w:t>
            </w:r>
          </w:p>
        </w:tc>
        <w:tc>
          <w:tcPr>
            <w:tcW w:type="dxa" w:w="469"/>
            <w:vAlign w:val="center"/>
          </w:tcPr>
          <w:p>
            <w:pPr>
              <w:jc w:val="center"/>
            </w:pPr>
            <w:r>
              <w:rPr>
                <w:rFonts w:ascii="Arial Narrow" w:hAnsi="Arial Narrow" w:eastAsia="Arial Narrow" w:cs="Arial Narrow"/>
                <w:b w:val="0"/>
                <w:i w:val="0"/>
                <w:sz w:val="16"/>
                <w:u w:val="none"/>
              </w:rPr>
              <w:t>0</w:t>
            </w:r>
          </w:p>
        </w:tc>
      </w:tr>
      <w:tr>
        <w:tc>
          <w:tcPr>
            <w:tcW w:type="dxa" w:w="1169"/>
            <w:vAlign w:val="center"/>
          </w:tcPr>
          <w:p>
            <w:pPr>
              <w:jc w:val="center"/>
            </w:pPr>
            <w:r>
              <w:rPr>
                <w:rFonts w:ascii="Arial Narrow" w:hAnsi="Arial Narrow" w:eastAsia="Arial Narrow" w:cs="Arial Narrow"/>
                <w:b w:val="0"/>
                <w:i w:val="0"/>
                <w:sz w:val="16"/>
                <w:u w:val="none"/>
              </w:rPr>
              <w:t>4</w:t>
            </w:r>
          </w:p>
        </w:tc>
        <w:tc>
          <w:tcPr>
            <w:tcW w:type="dxa" w:w="756"/>
            <w:vAlign w:val="center"/>
          </w:tcPr>
          <w:p>
            <w:pPr>
              <w:jc w:val="center"/>
            </w:pPr>
            <w:r>
              <w:rPr>
                <w:rFonts w:ascii="Arial Narrow" w:hAnsi="Arial Narrow" w:eastAsia="Arial Narrow" w:cs="Arial Narrow"/>
                <w:b w:val="0"/>
                <w:i w:val="0"/>
                <w:sz w:val="16"/>
                <w:u w:val="none"/>
              </w:rPr>
              <w:t>0</w:t>
            </w:r>
          </w:p>
        </w:tc>
        <w:tc>
          <w:tcPr>
            <w:tcW w:type="dxa" w:w="825"/>
            <w:vAlign w:val="center"/>
          </w:tcPr>
          <w:p>
            <w:pPr>
              <w:jc w:val="center"/>
            </w:pPr>
            <w:r>
              <w:rPr>
                <w:rFonts w:ascii="Arial Narrow" w:hAnsi="Arial Narrow" w:eastAsia="Arial Narrow" w:cs="Arial Narrow"/>
                <w:b w:val="0"/>
                <w:i w:val="0"/>
                <w:sz w:val="16"/>
                <w:u w:val="none"/>
              </w:rPr>
              <w:t>0</w:t>
            </w:r>
          </w:p>
        </w:tc>
        <w:tc>
          <w:tcPr>
            <w:tcW w:type="dxa" w:w="619"/>
            <w:vAlign w:val="center"/>
          </w:tcPr>
          <w:p>
            <w:pPr>
              <w:jc w:val="center"/>
            </w:pPr>
            <w:r>
              <w:rPr>
                <w:rFonts w:ascii="Arial Narrow" w:hAnsi="Arial Narrow" w:eastAsia="Arial Narrow" w:cs="Arial Narrow"/>
                <w:b w:val="0"/>
                <w:i w:val="0"/>
                <w:sz w:val="16"/>
                <w:u w:val="none"/>
              </w:rPr>
              <w:t>0</w:t>
            </w:r>
          </w:p>
        </w:tc>
        <w:tc>
          <w:tcPr>
            <w:tcW w:type="dxa" w:w="420"/>
            <w:vAlign w:val="center"/>
          </w:tcPr>
          <w:p>
            <w:pPr>
              <w:jc w:val="center"/>
            </w:pPr>
            <w:r>
              <w:rPr>
                <w:rFonts w:ascii="Arial Narrow" w:hAnsi="Arial Narrow" w:eastAsia="Arial Narrow" w:cs="Arial Narrow"/>
                <w:b w:val="0"/>
                <w:i w:val="0"/>
                <w:sz w:val="16"/>
                <w:u w:val="none"/>
              </w:rPr>
              <w:t>2</w:t>
            </w:r>
          </w:p>
        </w:tc>
        <w:tc>
          <w:tcPr>
            <w:tcW w:type="dxa" w:w="420"/>
            <w:vAlign w:val="center"/>
          </w:tcPr>
          <w:p>
            <w:pPr>
              <w:jc w:val="center"/>
            </w:pPr>
            <w:r>
              <w:rPr>
                <w:rFonts w:ascii="Arial Narrow" w:hAnsi="Arial Narrow" w:eastAsia="Arial Narrow" w:cs="Arial Narrow"/>
                <w:b w:val="0"/>
                <w:i w:val="0"/>
                <w:sz w:val="16"/>
                <w:u w:val="none"/>
              </w:rPr>
              <w:t>92</w:t>
            </w:r>
          </w:p>
        </w:tc>
        <w:tc>
          <w:tcPr>
            <w:tcW w:type="dxa" w:w="469"/>
            <w:vAlign w:val="center"/>
          </w:tcPr>
          <w:p>
            <w:pPr>
              <w:jc w:val="center"/>
            </w:pPr>
            <w:r>
              <w:rPr>
                <w:rFonts w:ascii="Arial Narrow" w:hAnsi="Arial Narrow" w:eastAsia="Arial Narrow" w:cs="Arial Narrow"/>
                <w:b w:val="0"/>
                <w:i w:val="0"/>
                <w:sz w:val="16"/>
                <w:u w:val="none"/>
              </w:rPr>
              <w:t>6</w:t>
            </w:r>
          </w:p>
        </w:tc>
      </w:tr>
      <w:tr>
        <w:tc>
          <w:tcPr>
            <w:tcW w:type="dxa" w:w="1169"/>
            <w:vAlign w:val="center"/>
          </w:tcPr>
          <w:p>
            <w:pPr>
              <w:jc w:val="center"/>
            </w:pPr>
            <w:r>
              <w:rPr>
                <w:rFonts w:ascii="Arial Narrow" w:hAnsi="Arial Narrow" w:eastAsia="Arial Narrow" w:cs="Arial Narrow"/>
                <w:b w:val="0"/>
                <w:i w:val="0"/>
                <w:sz w:val="16"/>
                <w:u w:val="none"/>
              </w:rPr>
              <w:t>5 (Telapak)</w:t>
            </w:r>
          </w:p>
        </w:tc>
        <w:tc>
          <w:tcPr>
            <w:tcW w:type="dxa" w:w="756"/>
            <w:vAlign w:val="center"/>
          </w:tcPr>
          <w:p>
            <w:pPr>
              <w:jc w:val="center"/>
            </w:pPr>
            <w:r>
              <w:rPr>
                <w:rFonts w:ascii="Arial Narrow" w:hAnsi="Arial Narrow" w:eastAsia="Arial Narrow" w:cs="Arial Narrow"/>
                <w:b w:val="0"/>
                <w:i w:val="0"/>
                <w:sz w:val="16"/>
                <w:u w:val="none"/>
              </w:rPr>
              <w:t>2</w:t>
            </w:r>
          </w:p>
        </w:tc>
        <w:tc>
          <w:tcPr>
            <w:tcW w:type="dxa" w:w="825"/>
            <w:vAlign w:val="center"/>
          </w:tcPr>
          <w:p>
            <w:pPr>
              <w:jc w:val="center"/>
            </w:pPr>
            <w:r>
              <w:rPr>
                <w:rFonts w:ascii="Arial Narrow" w:hAnsi="Arial Narrow" w:eastAsia="Arial Narrow" w:cs="Arial Narrow"/>
                <w:b w:val="0"/>
                <w:i w:val="0"/>
                <w:sz w:val="16"/>
                <w:u w:val="none"/>
              </w:rPr>
              <w:t>0</w:t>
            </w:r>
          </w:p>
        </w:tc>
        <w:tc>
          <w:tcPr>
            <w:tcW w:type="dxa" w:w="619"/>
            <w:vAlign w:val="center"/>
          </w:tcPr>
          <w:p>
            <w:pPr>
              <w:jc w:val="center"/>
            </w:pPr>
            <w:r>
              <w:rPr>
                <w:rFonts w:ascii="Arial Narrow" w:hAnsi="Arial Narrow" w:eastAsia="Arial Narrow" w:cs="Arial Narrow"/>
                <w:b w:val="0"/>
                <w:i w:val="0"/>
                <w:sz w:val="16"/>
                <w:u w:val="none"/>
              </w:rPr>
              <w:t>0</w:t>
            </w:r>
          </w:p>
        </w:tc>
        <w:tc>
          <w:tcPr>
            <w:tcW w:type="dxa" w:w="420"/>
            <w:vAlign w:val="center"/>
          </w:tcPr>
          <w:p>
            <w:pPr>
              <w:jc w:val="center"/>
            </w:pPr>
            <w:r>
              <w:rPr>
                <w:rFonts w:ascii="Arial Narrow" w:hAnsi="Arial Narrow" w:eastAsia="Arial Narrow" w:cs="Arial Narrow"/>
                <w:b w:val="0"/>
                <w:i w:val="0"/>
                <w:sz w:val="16"/>
                <w:u w:val="none"/>
              </w:rPr>
              <w:t>0</w:t>
            </w:r>
          </w:p>
        </w:tc>
        <w:tc>
          <w:tcPr>
            <w:tcW w:type="dxa" w:w="420"/>
            <w:vAlign w:val="center"/>
          </w:tcPr>
          <w:p>
            <w:pPr>
              <w:jc w:val="center"/>
            </w:pPr>
            <w:r>
              <w:rPr>
                <w:rFonts w:ascii="Arial Narrow" w:hAnsi="Arial Narrow" w:eastAsia="Arial Narrow" w:cs="Arial Narrow"/>
                <w:b w:val="0"/>
                <w:i w:val="0"/>
                <w:sz w:val="16"/>
                <w:u w:val="none"/>
              </w:rPr>
              <w:t>0</w:t>
            </w:r>
          </w:p>
        </w:tc>
        <w:tc>
          <w:tcPr>
            <w:tcW w:type="dxa" w:w="469"/>
            <w:vAlign w:val="center"/>
          </w:tcPr>
          <w:p>
            <w:pPr>
              <w:jc w:val="center"/>
            </w:pPr>
            <w:r>
              <w:rPr>
                <w:rFonts w:ascii="Arial Narrow" w:hAnsi="Arial Narrow" w:eastAsia="Arial Narrow" w:cs="Arial Narrow"/>
                <w:b w:val="0"/>
                <w:i w:val="0"/>
                <w:sz w:val="16"/>
                <w:u w:val="none"/>
              </w:rPr>
              <w:t>98</w:t>
            </w:r>
          </w:p>
        </w:tc>
      </w:tr>
    </w:tbl>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/home/sirobo/papergenerator/backend/tools/Journal/gambar/Fig_09_Confusion_Matrix_Heatmap.png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9. Heatmap Matriks Konfusi</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/home/sirobo/papergenerator/backend/tools/Journal/gambar/Fig_10_F1_Score_Lighting_Conditions.png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10. Skor F1 pada Tiga Kondisi Pencahayaan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/home/sirobo/papergenerator/backend/tools/Journal/gambar/Fig_11_Precision_Recall_F1_Per_Class.png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11. Presisi, Recall, Skor F1 per Kelas pada 300 Lux</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Presisi dan recall pada 300 lux (Gbr. 11) saling berdekatan untuk keenam kelas. Kepalan dan telapak terbuka tertinggi karena keduanya paling berbeda dalam proyeksi 2-D. Akurasi keseluruhan:</w:t>
      </w:r>
    </w:p>
    <w:p>
      <w:pPr>
        <w:spacing w:line="240" w:lineRule="auto" w:before="60" w:after="60"/>
        <w:ind w:firstLine="720"/>
        <w:jc w:val="both"/>
        <w:rPr>
          <w:rFonts w:ascii="Times New Roman" w:cs="Times New Roman" w:eastAsia="Times New Roman" w:hAnsi="Times New Roman"/>
          <w:sz w:val="20"/>
          <w:szCs w:val="20"/>
        </w:rPr>
      </w:pPr>
      <m:oMath xmlns:mml="http://www.w3.org/1998/Math/MathML">
        <m:r>
          <w:rPr>
            <w:rFonts w:ascii="Cambria Math" w:hAnsi="Cambria Math" w:eastAsia="Cambria Math" w:cs="Cambria Math"/>
            <w:sz w:val="20"/>
            <w:szCs w:val="20"/>
          </w:rPr>
          <m:rPr>
            <m:sty m:val="p"/>
          </m:rPr>
          <m:t>Accuracy</m:t>
        </m:r>
        <m:r>
          <w:rPr>
            <w:rFonts w:ascii="Cambria Math" w:hAnsi="Cambria Math" w:eastAsia="Cambria Math" w:cs="Cambria Math"/>
            <w:sz w:val="20"/>
            <w:szCs w:val="20"/>
          </w:rPr>
          <m:t>=</m:t>
        </m:r>
        <m:f>
          <m:fPr>
            <m:type m:val="bar"/>
          </m:fPr>
          <m:num>
            <m:nary>
              <m:naryPr>
                <m:chr m:val="∑"/>
                <m:limLoc m:val="subSup"/>
                <m:grow m:val="1"/>
                <m:subHide m:val="off"/>
                <m:supHide m:val="off"/>
              </m:naryPr>
              <m:sub>
                <m:r>
                  <w:rPr>
                    <w:rFonts w:ascii="Cambria Math" w:hAnsi="Cambria Math" w:eastAsia="Cambria Math" w:cs="Cambria Math"/>
                    <w:sz w:val="20"/>
                    <w:szCs w:val="20"/>
                  </w:rPr>
                  <m:t>k=0</m:t>
                </m:r>
              </m:sub>
              <m:sup>
                <m:r>
                  <w:rPr>
                    <w:rFonts w:ascii="Cambria Math" w:hAnsi="Cambria Math" w:eastAsia="Cambria Math" w:cs="Cambria Math"/>
                    <w:sz w:val="20"/>
                    <w:szCs w:val="20"/>
                  </w:rPr>
                  <m:t>5</m:t>
                </m:r>
              </m:sup>
              <m:e>
                <m:r>
                  <w:rPr>
                    <w:rFonts w:ascii="Cambria Math" w:hAnsi="Cambria Math" w:eastAsia="Cambria Math" w:cs="Cambria Math"/>
                    <w:sz w:val="20"/>
                    <w:szCs w:val="20"/>
                  </w:rPr>
                  <m:t>T</m:t>
                </m:r>
                <m:sSub>
                  <m:e>
                    <m:r>
                      <w:rPr>
                        <w:rFonts w:ascii="Cambria Math" w:hAnsi="Cambria Math" w:eastAsia="Cambria Math" w:cs="Cambria Math"/>
                        <w:sz w:val="20"/>
                        <w:szCs w:val="20"/>
                      </w:rPr>
                      <m:t>P</m:t>
                    </m:r>
                  </m:e>
                  <m:sub>
                    <m:r>
                      <w:rPr>
                        <w:rFonts w:ascii="Cambria Math" w:hAnsi="Cambria Math" w:eastAsia="Cambria Math" w:cs="Cambria Math"/>
                        <w:sz w:val="20"/>
                        <w:szCs w:val="20"/>
                      </w:rPr>
                      <m:t>k</m:t>
                    </m:r>
                  </m:sub>
                </m:sSub>
              </m:e>
            </m:nary>
          </m:num>
          <m:den>
            <m:nary>
              <m:naryPr>
                <m:chr m:val="∑"/>
                <m:limLoc m:val="subSup"/>
                <m:grow m:val="1"/>
                <m:subHide m:val="off"/>
                <m:supHide m:val="off"/>
              </m:naryPr>
              <m:sub>
                <m:r>
                  <w:rPr>
                    <w:rFonts w:ascii="Cambria Math" w:hAnsi="Cambria Math" w:eastAsia="Cambria Math" w:cs="Cambria Math"/>
                    <w:sz w:val="20"/>
                    <w:szCs w:val="20"/>
                  </w:rPr>
                  <m:t>k=0</m:t>
                </m:r>
              </m:sub>
              <m:sup>
                <m:r>
                  <w:rPr>
                    <w:rFonts w:ascii="Cambria Math" w:hAnsi="Cambria Math" w:eastAsia="Cambria Math" w:cs="Cambria Math"/>
                    <w:sz w:val="20"/>
                    <w:szCs w:val="20"/>
                  </w:rPr>
                  <m:t>5</m:t>
                </m:r>
              </m:sup>
              <m:e>
                <m:r>
                  <w:rPr>
                    <w:rFonts w:ascii="Cambria Math" w:hAnsi="Cambria Math" w:eastAsia="Cambria Math" w:cs="Cambria Math"/>
                    <w:sz w:val="20"/>
                    <w:szCs w:val="20"/>
                  </w:rPr>
                  <m:t>(T</m:t>
                </m:r>
                <m:sSub>
                  <m:e>
                    <m:r>
                      <w:rPr>
                        <w:rFonts w:ascii="Cambria Math" w:hAnsi="Cambria Math" w:eastAsia="Cambria Math" w:cs="Cambria Math"/>
                        <w:sz w:val="20"/>
                        <w:szCs w:val="20"/>
                      </w:rPr>
                      <m:t>P</m:t>
                    </m:r>
                  </m:e>
                  <m:sub>
                    <m:r>
                      <w:rPr>
                        <w:rFonts w:ascii="Cambria Math" w:hAnsi="Cambria Math" w:eastAsia="Cambria Math" w:cs="Cambria Math"/>
                        <w:sz w:val="20"/>
                        <w:szCs w:val="20"/>
                      </w:rPr>
                      <m:t>k</m:t>
                    </m:r>
                  </m:sub>
                </m:sSub>
                <m:r>
                  <w:rPr>
                    <w:rFonts w:ascii="Cambria Math" w:hAnsi="Cambria Math" w:eastAsia="Cambria Math" w:cs="Cambria Math"/>
                    <w:sz w:val="20"/>
                    <w:szCs w:val="20"/>
                  </w:rPr>
                  <m:t>+F</m:t>
                </m:r>
                <m:sSub>
                  <m:e>
                    <m:r>
                      <w:rPr>
                        <w:rFonts w:ascii="Cambria Math" w:hAnsi="Cambria Math" w:eastAsia="Cambria Math" w:cs="Cambria Math"/>
                        <w:sz w:val="20"/>
                        <w:szCs w:val="20"/>
                      </w:rPr>
                      <m:t>N</m:t>
                    </m:r>
                  </m:e>
                  <m:sub>
                    <m:r>
                      <w:rPr>
                        <w:rFonts w:ascii="Cambria Math" w:hAnsi="Cambria Math" w:eastAsia="Cambria Math" w:cs="Cambria Math"/>
                        <w:sz w:val="20"/>
                        <w:szCs w:val="20"/>
                      </w:rPr>
                      <m:t>k</m:t>
                    </m:r>
                  </m:sub>
                </m:sSub>
                <m:r>
                  <w:rPr>
                    <w:rFonts w:ascii="Cambria Math" w:hAnsi="Cambria Math" w:eastAsia="Cambria Math" w:cs="Cambria Math"/>
                    <w:sz w:val="20"/>
                    <w:szCs w:val="20"/>
                  </w:rPr>
                  <m:t>)</m:t>
                </m:r>
              </m:e>
            </m:nary>
          </m:den>
        </m:f>
        <m:r>
          <w:rPr>
            <w:rFonts w:ascii="Cambria Math" w:hAnsi="Cambria Math" w:eastAsia="Cambria Math" w:cs="Cambria Math"/>
            <w:sz w:val="20"/>
            <w:szCs w:val="20"/>
          </w:rPr>
          <m:t>×100%</m:t>
        </m:r>
      </m:oMath>
      <w:r>
        <w:rPr>
          <w:rFonts w:ascii="Times New Roman" w:cs="Times New Roman" w:eastAsia="Times New Roman" w:hAnsi="Times New Roman"/>
          <w:sz w:val="20"/>
          <w:szCs w:val="20"/>
          <w:rtl w:val="0"/>
        </w:rPr>
        <w:tab/>
        <w:tab/>
        <w:tab/>
        <w:tab/>
        <w:t>(13)</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Pada persamaan (13), </w:t>
      </w:r>
      <m:oMath xmlns:mml="http://www.w3.org/1998/Math/MathML">
        <m:r>
          <w:rPr>
            <w:rFonts w:ascii="Cambria Math" w:hAnsi="Cambria Math" w:eastAsia="Cambria Math" w:cs="Cambria Math"/>
            <w:sz w:val="20"/>
            <w:szCs w:val="20"/>
          </w:rPr>
          <m:t>T</m:t>
        </m:r>
        <m:sSub>
          <m:e>
            <m:r>
              <w:rPr>
                <w:rFonts w:ascii="Cambria Math" w:hAnsi="Cambria Math" w:eastAsia="Cambria Math" w:cs="Cambria Math"/>
                <w:sz w:val="20"/>
                <w:szCs w:val="20"/>
              </w:rPr>
              <m:t>P</m:t>
            </m:r>
          </m:e>
          <m:sub>
            <m:r>
              <w:rPr>
                <w:rFonts w:ascii="Cambria Math" w:hAnsi="Cambria Math" w:eastAsia="Cambria Math" w:cs="Cambria Math"/>
                <w:sz w:val="20"/>
                <w:szCs w:val="20"/>
              </w:rPr>
              <m:t>k</m:t>
            </m:r>
          </m:sub>
        </m:sSub>
      </m:oMath>
      <w:r>
        <w:rPr>
          <w:rFonts w:ascii="Times New Roman" w:cs="Times New Roman" w:eastAsia="Times New Roman" w:hAnsi="Times New Roman"/>
          <w:sz w:val="20"/>
          <w:szCs w:val="20"/>
          <w:rtl w:val="0"/>
        </w:rPr>
        <w:t xml:space="preserve"> adalah true-positive dan </w:t>
      </w:r>
      <m:oMath xmlns:mml="http://www.w3.org/1998/Math/MathML">
        <m:r>
          <w:rPr>
            <w:rFonts w:ascii="Cambria Math" w:hAnsi="Cambria Math" w:eastAsia="Cambria Math" w:cs="Cambria Math"/>
            <w:sz w:val="20"/>
            <w:szCs w:val="20"/>
          </w:rPr>
          <m:t>F</m:t>
        </m:r>
        <m:sSub>
          <m:e>
            <m:r>
              <w:rPr>
                <w:rFonts w:ascii="Cambria Math" w:hAnsi="Cambria Math" w:eastAsia="Cambria Math" w:cs="Cambria Math"/>
                <w:sz w:val="20"/>
                <w:szCs w:val="20"/>
              </w:rPr>
              <m:t>N</m:t>
            </m:r>
          </m:e>
          <m:sub>
            <m:r>
              <w:rPr>
                <w:rFonts w:ascii="Cambria Math" w:hAnsi="Cambria Math" w:eastAsia="Cambria Math" w:cs="Cambria Math"/>
                <w:sz w:val="20"/>
                <w:szCs w:val="20"/>
              </w:rPr>
              <m:t>k</m:t>
            </m:r>
          </m:sub>
        </m:sSub>
      </m:oMath>
      <w:r>
        <w:rPr>
          <w:rFonts w:ascii="Times New Roman" w:cs="Times New Roman" w:eastAsia="Times New Roman" w:hAnsi="Times New Roman"/>
          <w:sz w:val="20"/>
          <w:szCs w:val="20"/>
          <w:rtl w:val="0"/>
        </w:rPr>
        <w:t xml:space="preserve"> false-negative untuk kelas </w:t>
      </w:r>
      <m:oMath xmlns:mml="http://www.w3.org/1998/Math/MathML">
        <m:r>
          <w:rPr>
            <w:rFonts w:ascii="Cambria Math" w:hAnsi="Cambria Math" w:eastAsia="Cambria Math" w:cs="Cambria Math"/>
            <w:sz w:val="20"/>
            <w:szCs w:val="20"/>
          </w:rPr>
          <m:t>k</m:t>
        </m:r>
      </m:oMath>
      <w:r>
        <w:rPr>
          <w:rFonts w:ascii="Times New Roman" w:cs="Times New Roman" w:eastAsia="Times New Roman" w:hAnsi="Times New Roman"/>
          <w:sz w:val="20"/>
          <w:szCs w:val="20"/>
          <w:rtl w:val="0"/>
        </w:rPr>
        <w:t>. F1 makro digunakan sebagai metrik utama karena semua kelas terwakili merata. Pada 300 lux, classifier bekerja andal di bawah pencahayaan indoor standar.</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4.2.</w:t>
        <w:tab/>
        <w:t>Latensi Komunikasi Modbus TCP</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Thread 3 mencatat wall-clock start dan end dari setiap permintaan Modbus pada 10.000 sampel per kondisi. Beban CPU divariasikan menggunakan tugas video-encoding paralel dalam proses terpisah.</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4.</w:t>
        <w:tab/>
        <w:t>Distribusi Latensi Modbus TCP (n=10.000 per kondisi)</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969"/>
        <w:gridCol w:w="456"/>
        <w:gridCol w:w="627"/>
        <w:gridCol w:w="513"/>
        <w:gridCol w:w="456"/>
        <w:gridCol w:w="456"/>
        <w:gridCol w:w="513"/>
        <w:gridCol w:w="688"/>
      </w:tblGrid>
      <w:tr>
        <w:tc>
          <w:tcPr>
            <w:tcW w:type="dxa" w:w="969"/>
            <w:vAlign w:val="center"/>
          </w:tcPr>
          <w:p>
            <w:pPr>
              <w:jc w:val="center"/>
            </w:pPr>
            <w:r>
              <w:rPr>
                <w:rFonts w:ascii="Arial Narrow" w:hAnsi="Arial Narrow" w:eastAsia="Arial Narrow" w:cs="Arial Narrow"/>
                <w:b/>
                <w:i w:val="0"/>
                <w:sz w:val="16"/>
                <w:u w:val="none"/>
              </w:rPr>
              <w:t>Beban CPU (%)</w:t>
            </w:r>
          </w:p>
        </w:tc>
        <w:tc>
          <w:tcPr>
            <w:tcW w:type="dxa" w:w="456"/>
            <w:vAlign w:val="center"/>
          </w:tcPr>
          <w:p>
            <w:pPr>
              <w:jc w:val="center"/>
            </w:pPr>
            <w:r>
              <w:rPr>
                <w:rFonts w:ascii="Arial Narrow" w:hAnsi="Arial Narrow" w:eastAsia="Arial Narrow" w:cs="Arial Narrow"/>
                <w:b/>
                <w:i w:val="0"/>
                <w:sz w:val="16"/>
                <w:u w:val="none"/>
              </w:rPr>
              <w:t>Min (ms)</w:t>
            </w:r>
          </w:p>
        </w:tc>
        <w:tc>
          <w:tcPr>
            <w:tcW w:type="dxa" w:w="627"/>
            <w:vAlign w:val="center"/>
          </w:tcPr>
          <w:p>
            <w:pPr>
              <w:jc w:val="center"/>
            </w:pPr>
            <w:r>
              <w:rPr>
                <w:rFonts w:ascii="Arial Narrow" w:hAnsi="Arial Narrow" w:eastAsia="Arial Narrow" w:cs="Arial Narrow"/>
                <w:b/>
                <w:i w:val="0"/>
                <w:sz w:val="16"/>
                <w:u w:val="none"/>
              </w:rPr>
              <w:t>Median (ms)</w:t>
            </w:r>
          </w:p>
        </w:tc>
        <w:tc>
          <w:tcPr>
            <w:tcW w:type="dxa" w:w="513"/>
            <w:vAlign w:val="center"/>
          </w:tcPr>
          <w:p>
            <w:pPr>
              <w:jc w:val="center"/>
            </w:pPr>
            <w:r>
              <w:rPr>
                <w:rFonts w:ascii="Arial Narrow" w:hAnsi="Arial Narrow" w:eastAsia="Arial Narrow" w:cs="Arial Narrow"/>
                <w:b/>
                <w:i w:val="0"/>
                <w:sz w:val="16"/>
                <w:u w:val="none"/>
              </w:rPr>
              <w:t>Mean (ms)</w:t>
            </w:r>
          </w:p>
        </w:tc>
        <w:tc>
          <w:tcPr>
            <w:tcW w:type="dxa" w:w="456"/>
            <w:vAlign w:val="center"/>
          </w:tcPr>
          <w:p>
            <w:pPr>
              <w:jc w:val="center"/>
            </w:pPr>
            <w:r>
              <w:rPr>
                <w:rFonts w:ascii="Arial Narrow" w:hAnsi="Arial Narrow" w:eastAsia="Arial Narrow" w:cs="Arial Narrow"/>
                <w:b/>
                <w:i w:val="0"/>
                <w:sz w:val="16"/>
                <w:u w:val="none"/>
              </w:rPr>
              <w:t>P95 (ms)</w:t>
            </w:r>
          </w:p>
        </w:tc>
        <w:tc>
          <w:tcPr>
            <w:tcW w:type="dxa" w:w="456"/>
            <w:vAlign w:val="center"/>
          </w:tcPr>
          <w:p>
            <w:pPr>
              <w:jc w:val="center"/>
            </w:pPr>
            <w:r>
              <w:rPr>
                <w:rFonts w:ascii="Arial Narrow" w:hAnsi="Arial Narrow" w:eastAsia="Arial Narrow" w:cs="Arial Narrow"/>
                <w:b/>
                <w:i w:val="0"/>
                <w:sz w:val="16"/>
                <w:u w:val="none"/>
              </w:rPr>
              <w:t>P99 (ms)</w:t>
            </w:r>
          </w:p>
        </w:tc>
        <w:tc>
          <w:tcPr>
            <w:tcW w:type="dxa" w:w="513"/>
            <w:vAlign w:val="center"/>
          </w:tcPr>
          <w:p>
            <w:pPr>
              <w:jc w:val="center"/>
            </w:pPr>
            <w:r>
              <w:rPr>
                <w:rFonts w:ascii="Arial Narrow" w:hAnsi="Arial Narrow" w:eastAsia="Arial Narrow" w:cs="Arial Narrow"/>
                <w:b/>
                <w:i w:val="0"/>
                <w:sz w:val="16"/>
                <w:u w:val="none"/>
              </w:rPr>
              <w:t>Maks (ms)</w:t>
            </w:r>
          </w:p>
        </w:tc>
        <w:tc>
          <w:tcPr>
            <w:tcW w:type="dxa" w:w="688"/>
            <w:vAlign w:val="center"/>
          </w:tcPr>
          <w:p>
            <w:pPr>
              <w:jc w:val="center"/>
            </w:pPr>
            <w:r>
              <w:rPr>
                <w:rFonts w:ascii="Arial Narrow" w:hAnsi="Arial Narrow" w:eastAsia="Arial Narrow" w:cs="Arial Narrow"/>
                <w:b/>
                <w:i w:val="0"/>
                <w:sz w:val="16"/>
                <w:u w:val="none"/>
              </w:rPr>
              <w:t>Std Dev (ms)</w:t>
            </w:r>
          </w:p>
        </w:tc>
      </w:tr>
      <w:tr>
        <w:tc>
          <w:tcPr>
            <w:tcW w:type="dxa" w:w="969"/>
            <w:vAlign w:val="center"/>
          </w:tcPr>
          <w:p>
            <w:pPr>
              <w:jc w:val="center"/>
            </w:pPr>
            <w:r>
              <w:rPr>
                <w:rFonts w:ascii="Arial Narrow" w:hAnsi="Arial Narrow" w:eastAsia="Arial Narrow" w:cs="Arial Narrow"/>
                <w:b w:val="0"/>
                <w:i w:val="0"/>
                <w:sz w:val="16"/>
                <w:u w:val="none"/>
              </w:rPr>
              <w:t>Idle (0-10%)</w:t>
            </w:r>
          </w:p>
        </w:tc>
        <w:tc>
          <w:tcPr>
            <w:tcW w:type="dxa" w:w="456"/>
            <w:vAlign w:val="center"/>
          </w:tcPr>
          <w:p>
            <w:pPr>
              <w:jc w:val="center"/>
            </w:pPr>
            <w:r>
              <w:rPr>
                <w:rFonts w:ascii="Arial Narrow" w:hAnsi="Arial Narrow" w:eastAsia="Arial Narrow" w:cs="Arial Narrow"/>
                <w:b w:val="0"/>
                <w:i w:val="0"/>
                <w:sz w:val="16"/>
                <w:u w:val="none"/>
              </w:rPr>
              <w:t>1,2</w:t>
            </w:r>
          </w:p>
        </w:tc>
        <w:tc>
          <w:tcPr>
            <w:tcW w:type="dxa" w:w="627"/>
            <w:vAlign w:val="center"/>
          </w:tcPr>
          <w:p>
            <w:pPr>
              <w:jc w:val="center"/>
            </w:pPr>
            <w:r>
              <w:rPr>
                <w:rFonts w:ascii="Arial Narrow" w:hAnsi="Arial Narrow" w:eastAsia="Arial Narrow" w:cs="Arial Narrow"/>
                <w:b w:val="0"/>
                <w:i w:val="0"/>
                <w:sz w:val="16"/>
                <w:u w:val="none"/>
              </w:rPr>
              <w:t>8,4</w:t>
            </w:r>
          </w:p>
        </w:tc>
        <w:tc>
          <w:tcPr>
            <w:tcW w:type="dxa" w:w="513"/>
            <w:vAlign w:val="center"/>
          </w:tcPr>
          <w:p>
            <w:pPr>
              <w:jc w:val="center"/>
            </w:pPr>
            <w:r>
              <w:rPr>
                <w:rFonts w:ascii="Arial Narrow" w:hAnsi="Arial Narrow" w:eastAsia="Arial Narrow" w:cs="Arial Narrow"/>
                <w:b w:val="0"/>
                <w:i w:val="0"/>
                <w:sz w:val="16"/>
                <w:u w:val="none"/>
              </w:rPr>
              <w:t>9,1</w:t>
            </w:r>
          </w:p>
        </w:tc>
        <w:tc>
          <w:tcPr>
            <w:tcW w:type="dxa" w:w="456"/>
            <w:vAlign w:val="center"/>
          </w:tcPr>
          <w:p>
            <w:pPr>
              <w:jc w:val="center"/>
            </w:pPr>
            <w:r>
              <w:rPr>
                <w:rFonts w:ascii="Arial Narrow" w:hAnsi="Arial Narrow" w:eastAsia="Arial Narrow" w:cs="Arial Narrow"/>
                <w:b w:val="0"/>
                <w:i w:val="0"/>
                <w:sz w:val="16"/>
                <w:u w:val="none"/>
              </w:rPr>
              <w:t>18,7</w:t>
            </w:r>
          </w:p>
        </w:tc>
        <w:tc>
          <w:tcPr>
            <w:tcW w:type="dxa" w:w="456"/>
            <w:vAlign w:val="center"/>
          </w:tcPr>
          <w:p>
            <w:pPr>
              <w:jc w:val="center"/>
            </w:pPr>
            <w:r>
              <w:rPr>
                <w:rFonts w:ascii="Arial Narrow" w:hAnsi="Arial Narrow" w:eastAsia="Arial Narrow" w:cs="Arial Narrow"/>
                <w:b w:val="0"/>
                <w:i w:val="0"/>
                <w:sz w:val="16"/>
                <w:u w:val="none"/>
              </w:rPr>
              <w:t>27,3</w:t>
            </w:r>
          </w:p>
        </w:tc>
        <w:tc>
          <w:tcPr>
            <w:tcW w:type="dxa" w:w="513"/>
            <w:vAlign w:val="center"/>
          </w:tcPr>
          <w:p>
            <w:pPr>
              <w:jc w:val="center"/>
            </w:pPr>
            <w:r>
              <w:rPr>
                <w:rFonts w:ascii="Arial Narrow" w:hAnsi="Arial Narrow" w:eastAsia="Arial Narrow" w:cs="Arial Narrow"/>
                <w:b w:val="0"/>
                <w:i w:val="0"/>
                <w:sz w:val="16"/>
                <w:u w:val="none"/>
              </w:rPr>
              <w:t>42,1</w:t>
            </w:r>
          </w:p>
        </w:tc>
        <w:tc>
          <w:tcPr>
            <w:tcW w:type="dxa" w:w="688"/>
            <w:vAlign w:val="center"/>
          </w:tcPr>
          <w:p>
            <w:pPr>
              <w:jc w:val="center"/>
            </w:pPr>
            <w:r>
              <w:rPr>
                <w:rFonts w:ascii="Arial Narrow" w:hAnsi="Arial Narrow" w:eastAsia="Arial Narrow" w:cs="Arial Narrow"/>
                <w:b w:val="0"/>
                <w:i w:val="0"/>
                <w:sz w:val="16"/>
                <w:u w:val="none"/>
              </w:rPr>
              <w:t>5,8</w:t>
            </w:r>
          </w:p>
        </w:tc>
      </w:tr>
      <w:tr>
        <w:tc>
          <w:tcPr>
            <w:tcW w:type="dxa" w:w="969"/>
            <w:vAlign w:val="center"/>
          </w:tcPr>
          <w:p>
            <w:pPr>
              <w:jc w:val="center"/>
            </w:pPr>
            <w:r>
              <w:rPr>
                <w:rFonts w:ascii="Arial Narrow" w:hAnsi="Arial Narrow" w:eastAsia="Arial Narrow" w:cs="Arial Narrow"/>
                <w:b w:val="0"/>
                <w:i w:val="0"/>
                <w:sz w:val="16"/>
                <w:u w:val="none"/>
              </w:rPr>
              <w:t>Moderat (45-55%)</w:t>
            </w:r>
          </w:p>
        </w:tc>
        <w:tc>
          <w:tcPr>
            <w:tcW w:type="dxa" w:w="456"/>
            <w:vAlign w:val="center"/>
          </w:tcPr>
          <w:p>
            <w:pPr>
              <w:jc w:val="center"/>
            </w:pPr>
            <w:r>
              <w:rPr>
                <w:rFonts w:ascii="Arial Narrow" w:hAnsi="Arial Narrow" w:eastAsia="Arial Narrow" w:cs="Arial Narrow"/>
                <w:b w:val="0"/>
                <w:i w:val="0"/>
                <w:sz w:val="16"/>
                <w:u w:val="none"/>
              </w:rPr>
              <w:t>1,8</w:t>
            </w:r>
          </w:p>
        </w:tc>
        <w:tc>
          <w:tcPr>
            <w:tcW w:type="dxa" w:w="627"/>
            <w:vAlign w:val="center"/>
          </w:tcPr>
          <w:p>
            <w:pPr>
              <w:jc w:val="center"/>
            </w:pPr>
            <w:r>
              <w:rPr>
                <w:rFonts w:ascii="Arial Narrow" w:hAnsi="Arial Narrow" w:eastAsia="Arial Narrow" w:cs="Arial Narrow"/>
                <w:b w:val="0"/>
                <w:i w:val="0"/>
                <w:sz w:val="16"/>
                <w:u w:val="none"/>
              </w:rPr>
              <w:t>10,2</w:t>
            </w:r>
          </w:p>
        </w:tc>
        <w:tc>
          <w:tcPr>
            <w:tcW w:type="dxa" w:w="513"/>
            <w:vAlign w:val="center"/>
          </w:tcPr>
          <w:p>
            <w:pPr>
              <w:jc w:val="center"/>
            </w:pPr>
            <w:r>
              <w:rPr>
                <w:rFonts w:ascii="Arial Narrow" w:hAnsi="Arial Narrow" w:eastAsia="Arial Narrow" w:cs="Arial Narrow"/>
                <w:b w:val="0"/>
                <w:i w:val="0"/>
                <w:sz w:val="16"/>
                <w:u w:val="none"/>
              </w:rPr>
              <w:t>12,3</w:t>
            </w:r>
          </w:p>
        </w:tc>
        <w:tc>
          <w:tcPr>
            <w:tcW w:type="dxa" w:w="456"/>
            <w:vAlign w:val="center"/>
          </w:tcPr>
          <w:p>
            <w:pPr>
              <w:jc w:val="center"/>
            </w:pPr>
            <w:r>
              <w:rPr>
                <w:rFonts w:ascii="Arial Narrow" w:hAnsi="Arial Narrow" w:eastAsia="Arial Narrow" w:cs="Arial Narrow"/>
                <w:b w:val="0"/>
                <w:i w:val="0"/>
                <w:sz w:val="16"/>
                <w:u w:val="none"/>
              </w:rPr>
              <w:t>24,9</w:t>
            </w:r>
          </w:p>
        </w:tc>
        <w:tc>
          <w:tcPr>
            <w:tcW w:type="dxa" w:w="456"/>
            <w:vAlign w:val="center"/>
          </w:tcPr>
          <w:p>
            <w:pPr>
              <w:jc w:val="center"/>
            </w:pPr>
            <w:r>
              <w:rPr>
                <w:rFonts w:ascii="Arial Narrow" w:hAnsi="Arial Narrow" w:eastAsia="Arial Narrow" w:cs="Arial Narrow"/>
                <w:b w:val="0"/>
                <w:i w:val="0"/>
                <w:sz w:val="16"/>
                <w:u w:val="none"/>
              </w:rPr>
              <w:t>38,6</w:t>
            </w:r>
          </w:p>
        </w:tc>
        <w:tc>
          <w:tcPr>
            <w:tcW w:type="dxa" w:w="513"/>
            <w:vAlign w:val="center"/>
          </w:tcPr>
          <w:p>
            <w:pPr>
              <w:jc w:val="center"/>
            </w:pPr>
            <w:r>
              <w:rPr>
                <w:rFonts w:ascii="Arial Narrow" w:hAnsi="Arial Narrow" w:eastAsia="Arial Narrow" w:cs="Arial Narrow"/>
                <w:b w:val="0"/>
                <w:i w:val="0"/>
                <w:sz w:val="16"/>
                <w:u w:val="none"/>
              </w:rPr>
              <w:t>67,4</w:t>
            </w:r>
          </w:p>
        </w:tc>
        <w:tc>
          <w:tcPr>
            <w:tcW w:type="dxa" w:w="688"/>
            <w:vAlign w:val="center"/>
          </w:tcPr>
          <w:p>
            <w:pPr>
              <w:jc w:val="center"/>
            </w:pPr>
            <w:r>
              <w:rPr>
                <w:rFonts w:ascii="Arial Narrow" w:hAnsi="Arial Narrow" w:eastAsia="Arial Narrow" w:cs="Arial Narrow"/>
                <w:b w:val="0"/>
                <w:i w:val="0"/>
                <w:sz w:val="16"/>
                <w:u w:val="none"/>
              </w:rPr>
              <w:t>8,4</w:t>
            </w:r>
          </w:p>
        </w:tc>
      </w:tr>
      <w:tr>
        <w:tc>
          <w:tcPr>
            <w:tcW w:type="dxa" w:w="969"/>
            <w:vAlign w:val="center"/>
          </w:tcPr>
          <w:p>
            <w:pPr>
              <w:jc w:val="center"/>
            </w:pPr>
            <w:r>
              <w:rPr>
                <w:rFonts w:ascii="Arial Narrow" w:hAnsi="Arial Narrow" w:eastAsia="Arial Narrow" w:cs="Arial Narrow"/>
                <w:b w:val="0"/>
                <w:i w:val="0"/>
                <w:sz w:val="16"/>
                <w:u w:val="none"/>
              </w:rPr>
              <w:t>Intensif (75-85%)</w:t>
            </w:r>
          </w:p>
        </w:tc>
        <w:tc>
          <w:tcPr>
            <w:tcW w:type="dxa" w:w="456"/>
            <w:vAlign w:val="center"/>
          </w:tcPr>
          <w:p>
            <w:pPr>
              <w:jc w:val="center"/>
            </w:pPr>
            <w:r>
              <w:rPr>
                <w:rFonts w:ascii="Arial Narrow" w:hAnsi="Arial Narrow" w:eastAsia="Arial Narrow" w:cs="Arial Narrow"/>
                <w:b w:val="0"/>
                <w:i w:val="0"/>
                <w:sz w:val="16"/>
                <w:u w:val="none"/>
              </w:rPr>
              <w:t>2,1</w:t>
            </w:r>
          </w:p>
        </w:tc>
        <w:tc>
          <w:tcPr>
            <w:tcW w:type="dxa" w:w="627"/>
            <w:vAlign w:val="center"/>
          </w:tcPr>
          <w:p>
            <w:pPr>
              <w:jc w:val="center"/>
            </w:pPr>
            <w:r>
              <w:rPr>
                <w:rFonts w:ascii="Arial Narrow" w:hAnsi="Arial Narrow" w:eastAsia="Arial Narrow" w:cs="Arial Narrow"/>
                <w:b w:val="0"/>
                <w:i w:val="0"/>
                <w:sz w:val="16"/>
                <w:u w:val="none"/>
              </w:rPr>
              <w:t>14,7</w:t>
            </w:r>
          </w:p>
        </w:tc>
        <w:tc>
          <w:tcPr>
            <w:tcW w:type="dxa" w:w="513"/>
            <w:vAlign w:val="center"/>
          </w:tcPr>
          <w:p>
            <w:pPr>
              <w:jc w:val="center"/>
            </w:pPr>
            <w:r>
              <w:rPr>
                <w:rFonts w:ascii="Arial Narrow" w:hAnsi="Arial Narrow" w:eastAsia="Arial Narrow" w:cs="Arial Narrow"/>
                <w:b w:val="0"/>
                <w:i w:val="0"/>
                <w:sz w:val="16"/>
                <w:u w:val="none"/>
              </w:rPr>
              <w:t>17,8</w:t>
            </w:r>
          </w:p>
        </w:tc>
        <w:tc>
          <w:tcPr>
            <w:tcW w:type="dxa" w:w="456"/>
            <w:vAlign w:val="center"/>
          </w:tcPr>
          <w:p>
            <w:pPr>
              <w:jc w:val="center"/>
            </w:pPr>
            <w:r>
              <w:rPr>
                <w:rFonts w:ascii="Arial Narrow" w:hAnsi="Arial Narrow" w:eastAsia="Arial Narrow" w:cs="Arial Narrow"/>
                <w:b w:val="0"/>
                <w:i w:val="0"/>
                <w:sz w:val="16"/>
                <w:u w:val="none"/>
              </w:rPr>
              <w:t>41,2</w:t>
            </w:r>
          </w:p>
        </w:tc>
        <w:tc>
          <w:tcPr>
            <w:tcW w:type="dxa" w:w="456"/>
            <w:vAlign w:val="center"/>
          </w:tcPr>
          <w:p>
            <w:pPr>
              <w:jc w:val="center"/>
            </w:pPr>
            <w:r>
              <w:rPr>
                <w:rFonts w:ascii="Arial Narrow" w:hAnsi="Arial Narrow" w:eastAsia="Arial Narrow" w:cs="Arial Narrow"/>
                <w:b w:val="0"/>
                <w:i w:val="0"/>
                <w:sz w:val="16"/>
                <w:u w:val="none"/>
              </w:rPr>
              <w:t>78,9</w:t>
            </w:r>
          </w:p>
        </w:tc>
        <w:tc>
          <w:tcPr>
            <w:tcW w:type="dxa" w:w="513"/>
            <w:vAlign w:val="center"/>
          </w:tcPr>
          <w:p>
            <w:pPr>
              <w:jc w:val="center"/>
            </w:pPr>
            <w:r>
              <w:rPr>
                <w:rFonts w:ascii="Arial Narrow" w:hAnsi="Arial Narrow" w:eastAsia="Arial Narrow" w:cs="Arial Narrow"/>
                <w:b w:val="0"/>
                <w:i w:val="0"/>
                <w:sz w:val="16"/>
                <w:u w:val="none"/>
              </w:rPr>
              <w:t>312,4</w:t>
            </w:r>
          </w:p>
        </w:tc>
        <w:tc>
          <w:tcPr>
            <w:tcW w:type="dxa" w:w="688"/>
            <w:vAlign w:val="center"/>
          </w:tcPr>
          <w:p>
            <w:pPr>
              <w:jc w:val="center"/>
            </w:pPr>
            <w:r>
              <w:rPr>
                <w:rFonts w:ascii="Arial Narrow" w:hAnsi="Arial Narrow" w:eastAsia="Arial Narrow" w:cs="Arial Narrow"/>
                <w:b w:val="0"/>
                <w:i w:val="0"/>
                <w:sz w:val="16"/>
                <w:u w:val="none"/>
              </w:rPr>
              <w:t>19,7</w:t>
            </w:r>
          </w:p>
        </w:tc>
      </w:tr>
    </w:tbl>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/home/sirobo/papergenerator/backend/tools/Journal/gambar/Fig_12_Modbus_Latency_CPU_Load.png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12. Latensi Modbus TCP berdasarkan Beban CPU</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Kurva idle dan moderat (Gbr. 12) mengelompok di bawah 40 ms. Kurva beban intensif mencapai 312,4 ms, namun 99% sampel masih di bawah 78,9 ms. Komponen delay pipeline: penangkapan kamera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cap</m:t>
            </m:r>
          </m:sub>
        </m:sSub>
        <m:r>
          <w:rPr>
            <w:rFonts w:ascii="Cambria Math" w:hAnsi="Cambria Math" w:eastAsia="Cambria Math" w:cs="Cambria Math"/>
            <w:sz w:val="20"/>
            <w:szCs w:val="20"/>
          </w:rPr>
          <m:t>≈3,2</m:t>
        </m:r>
      </m:oMath>
      <w:r>
        <w:rPr>
          <w:rFonts w:ascii="Times New Roman" w:cs="Times New Roman" w:eastAsia="Times New Roman" w:hAnsi="Times New Roman"/>
          <w:sz w:val="20"/>
          <w:szCs w:val="20"/>
          <w:rtl w:val="0"/>
        </w:rPr>
        <w:t xml:space="preserve"> ms, inferensi MediaPipe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inf</m:t>
            </m:r>
          </m:sub>
        </m:sSub>
        <m:r>
          <w:rPr>
            <w:rFonts w:ascii="Cambria Math" w:hAnsi="Cambria Math" w:eastAsia="Cambria Math" w:cs="Cambria Math"/>
            <w:sz w:val="20"/>
            <w:szCs w:val="20"/>
          </w:rPr>
          <m:t>≈18,4</m:t>
        </m:r>
      </m:oMath>
      <w:r>
        <w:rPr>
          <w:rFonts w:ascii="Times New Roman" w:cs="Times New Roman" w:eastAsia="Times New Roman" w:hAnsi="Times New Roman"/>
          <w:sz w:val="20"/>
          <w:szCs w:val="20"/>
          <w:rtl w:val="0"/>
        </w:rPr>
        <w:t xml:space="preserve"> ms, jendela debounce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deb</m:t>
            </m:r>
          </m:sub>
        </m:sSub>
        <m:r>
          <w:rPr>
            <w:rFonts w:ascii="Cambria Math" w:hAnsi="Cambria Math" w:eastAsia="Cambria Math" w:cs="Cambria Math"/>
            <w:sz w:val="20"/>
            <w:szCs w:val="20"/>
          </w:rPr>
          <m:t>≈83,3</m:t>
        </m:r>
      </m:oMath>
      <w:r>
        <w:rPr>
          <w:rFonts w:ascii="Times New Roman" w:cs="Times New Roman" w:eastAsia="Times New Roman" w:hAnsi="Times New Roman"/>
          <w:sz w:val="20"/>
          <w:szCs w:val="20"/>
          <w:rtl w:val="0"/>
        </w:rPr>
        <w:t xml:space="preserve"> ms, round-trip Modbus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modbus</m:t>
            </m:r>
          </m:sub>
        </m:sSub>
        <m:r>
          <w:rPr>
            <w:rFonts w:ascii="Cambria Math" w:hAnsi="Cambria Math" w:eastAsia="Cambria Math" w:cs="Cambria Math"/>
            <w:sz w:val="20"/>
            <w:szCs w:val="20"/>
          </w:rPr>
          <m:t>≈12,3</m:t>
        </m:r>
      </m:oMath>
      <w:r>
        <w:rPr>
          <w:rFonts w:ascii="Times New Roman" w:cs="Times New Roman" w:eastAsia="Times New Roman" w:hAnsi="Times New Roman"/>
          <w:sz w:val="20"/>
          <w:szCs w:val="20"/>
          <w:rtl w:val="0"/>
        </w:rPr>
        <w:t xml:space="preserve"> ms.</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/home/sirobo/papergenerator/backend/tools/Journal/gambar/Fig_13_Latency_Component_Breakdown.png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13. Rincian Komponen Latensi</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4.3.</w:t>
        <w:tab/>
        <w:t>Uji Ketahanan 24 Jam</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5.</w:t>
        <w:tab/>
        <w:t>Hasil Uji Ketahanan 24 Jam</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3807"/>
        <w:gridCol w:w="871"/>
      </w:tblGrid>
      <w:tr>
        <w:tc>
          <w:tcPr>
            <w:tcW w:type="dxa" w:w="3807"/>
            <w:vAlign w:val="center"/>
          </w:tcPr>
          <w:p>
            <w:pPr>
              <w:jc w:val="center"/>
            </w:pPr>
            <w:r>
              <w:rPr>
                <w:rFonts w:ascii="Arial Narrow" w:hAnsi="Arial Narrow" w:eastAsia="Arial Narrow" w:cs="Arial Narrow"/>
                <w:b/>
                <w:i w:val="0"/>
                <w:sz w:val="16"/>
                <w:u w:val="none"/>
              </w:rPr>
              <w:t>Metrik</w:t>
            </w:r>
          </w:p>
        </w:tc>
        <w:tc>
          <w:tcPr>
            <w:tcW w:type="dxa" w:w="871"/>
            <w:vAlign w:val="center"/>
          </w:tcPr>
          <w:p>
            <w:pPr>
              <w:jc w:val="center"/>
            </w:pPr>
            <w:r>
              <w:rPr>
                <w:rFonts w:ascii="Arial Narrow" w:hAnsi="Arial Narrow" w:eastAsia="Arial Narrow" w:cs="Arial Narrow"/>
                <w:b/>
                <w:i w:val="0"/>
                <w:sz w:val="16"/>
                <w:u w:val="none"/>
              </w:rPr>
              <w:t>Hasil</w:t>
            </w:r>
          </w:p>
        </w:tc>
      </w:tr>
      <w:tr>
        <w:tc>
          <w:tcPr>
            <w:tcW w:type="dxa" w:w="3807"/>
            <w:vAlign w:val="center"/>
          </w:tcPr>
          <w:p>
            <w:pPr>
              <w:jc w:val="center"/>
            </w:pPr>
            <w:r>
              <w:rPr>
                <w:rFonts w:ascii="Arial Narrow" w:hAnsi="Arial Narrow" w:eastAsia="Arial Narrow" w:cs="Arial Narrow"/>
                <w:b w:val="0"/>
                <w:i w:val="0"/>
                <w:sz w:val="16"/>
                <w:u w:val="none"/>
              </w:rPr>
              <w:t>Total Transaksi Modbus (FC1 + FC15)</w:t>
            </w:r>
          </w:p>
        </w:tc>
        <w:tc>
          <w:tcPr>
            <w:tcW w:type="dxa" w:w="871"/>
            <w:vAlign w:val="center"/>
          </w:tcPr>
          <w:p>
            <w:pPr>
              <w:jc w:val="center"/>
            </w:pPr>
            <w:r>
              <w:rPr>
                <w:rFonts w:ascii="Arial Narrow" w:hAnsi="Arial Narrow" w:eastAsia="Arial Narrow" w:cs="Arial Narrow"/>
                <w:b w:val="0"/>
                <w:i w:val="0"/>
                <w:sz w:val="16"/>
                <w:u w:val="none"/>
              </w:rPr>
              <w:t>872.640</w:t>
            </w:r>
          </w:p>
        </w:tc>
      </w:tr>
      <w:tr>
        <w:tc>
          <w:tcPr>
            <w:tcW w:type="dxa" w:w="3807"/>
            <w:vAlign w:val="center"/>
          </w:tcPr>
          <w:p>
            <w:pPr>
              <w:jc w:val="center"/>
            </w:pPr>
            <w:r>
              <w:rPr>
                <w:rFonts w:ascii="Arial Narrow" w:hAnsi="Arial Narrow" w:eastAsia="Arial Narrow" w:cs="Arial Narrow"/>
                <w:b w:val="0"/>
                <w:i w:val="0"/>
                <w:sz w:val="16"/>
                <w:u w:val="none"/>
              </w:rPr>
              <w:t>Transaksi Berhasil</w:t>
            </w:r>
          </w:p>
        </w:tc>
        <w:tc>
          <w:tcPr>
            <w:tcW w:type="dxa" w:w="871"/>
            <w:vAlign w:val="center"/>
          </w:tcPr>
          <w:p>
            <w:pPr>
              <w:jc w:val="center"/>
            </w:pPr>
            <w:r>
              <w:rPr>
                <w:rFonts w:ascii="Arial Narrow" w:hAnsi="Arial Narrow" w:eastAsia="Arial Narrow" w:cs="Arial Narrow"/>
                <w:b w:val="0"/>
                <w:i w:val="0"/>
                <w:sz w:val="16"/>
                <w:u w:val="none"/>
              </w:rPr>
              <w:t>872.000</w:t>
            </w:r>
          </w:p>
        </w:tc>
      </w:tr>
      <w:tr>
        <w:tc>
          <w:tcPr>
            <w:tcW w:type="dxa" w:w="3807"/>
            <w:vAlign w:val="center"/>
          </w:tcPr>
          <w:p>
            <w:pPr>
              <w:jc w:val="center"/>
            </w:pPr>
            <w:r>
              <w:rPr>
                <w:rFonts w:ascii="Arial Narrow" w:hAnsi="Arial Narrow" w:eastAsia="Arial Narrow" w:cs="Arial Narrow"/>
                <w:b w:val="0"/>
                <w:i w:val="0"/>
                <w:sz w:val="16"/>
                <w:u w:val="none"/>
              </w:rPr>
              <w:t>Tingkat Keberhasilan Tulis FC15</w:t>
            </w:r>
          </w:p>
        </w:tc>
        <w:tc>
          <w:tcPr>
            <w:tcW w:type="dxa" w:w="871"/>
            <w:vAlign w:val="center"/>
          </w:tcPr>
          <w:p>
            <w:pPr>
              <w:jc w:val="center"/>
            </w:pPr>
            <w:r>
              <w:rPr>
                <w:rFonts w:ascii="Arial Narrow" w:hAnsi="Arial Narrow" w:eastAsia="Arial Narrow" w:cs="Arial Narrow"/>
                <w:b w:val="0"/>
                <w:i w:val="0"/>
                <w:sz w:val="16"/>
                <w:u w:val="none"/>
              </w:rPr>
              <w:t>99,97%</w:t>
            </w:r>
          </w:p>
        </w:tc>
      </w:tr>
      <w:tr>
        <w:tc>
          <w:tcPr>
            <w:tcW w:type="dxa" w:w="3807"/>
            <w:vAlign w:val="center"/>
          </w:tcPr>
          <w:p>
            <w:pPr>
              <w:jc w:val="center"/>
            </w:pPr>
            <w:r>
              <w:rPr>
                <w:rFonts w:ascii="Arial Narrow" w:hAnsi="Arial Narrow" w:eastAsia="Arial Narrow" w:cs="Arial Narrow"/>
                <w:b w:val="0"/>
                <w:i w:val="0"/>
                <w:sz w:val="16"/>
                <w:u w:val="none"/>
              </w:rPr>
              <w:t>Tingkat Keberhasilan Baca FC1</w:t>
            </w:r>
          </w:p>
        </w:tc>
        <w:tc>
          <w:tcPr>
            <w:tcW w:type="dxa" w:w="871"/>
            <w:vAlign w:val="center"/>
          </w:tcPr>
          <w:p>
            <w:pPr>
              <w:jc w:val="center"/>
            </w:pPr>
            <w:r>
              <w:rPr>
                <w:rFonts w:ascii="Arial Narrow" w:hAnsi="Arial Narrow" w:eastAsia="Arial Narrow" w:cs="Arial Narrow"/>
                <w:b w:val="0"/>
                <w:i w:val="0"/>
                <w:sz w:val="16"/>
                <w:u w:val="none"/>
              </w:rPr>
              <w:t>99,92%</w:t>
            </w:r>
          </w:p>
        </w:tc>
      </w:tr>
      <w:tr>
        <w:tc>
          <w:tcPr>
            <w:tcW w:type="dxa" w:w="3807"/>
            <w:vAlign w:val="center"/>
          </w:tcPr>
          <w:p>
            <w:pPr>
              <w:jc w:val="center"/>
            </w:pPr>
            <w:r>
              <w:rPr>
                <w:rFonts w:ascii="Arial Narrow" w:hAnsi="Arial Narrow" w:eastAsia="Arial Narrow" w:cs="Arial Narrow"/>
                <w:b w:val="0"/>
                <w:i w:val="0"/>
                <w:sz w:val="16"/>
                <w:u w:val="none"/>
              </w:rPr>
              <w:t>MTBF (Mean Time Between Failures)</w:t>
            </w:r>
          </w:p>
        </w:tc>
        <w:tc>
          <w:tcPr>
            <w:tcW w:type="dxa" w:w="871"/>
            <w:vAlign w:val="center"/>
          </w:tcPr>
          <w:p>
            <w:pPr>
              <w:jc w:val="center"/>
            </w:pPr>
            <w:r>
              <w:rPr>
                <w:rFonts w:ascii="Arial Narrow" w:hAnsi="Arial Narrow" w:eastAsia="Arial Narrow" w:cs="Arial Narrow"/>
                <w:b w:val="0"/>
                <w:i w:val="0"/>
                <w:sz w:val="16"/>
                <w:u w:val="none"/>
              </w:rPr>
              <w:t>8,2 jam</w:t>
            </w:r>
          </w:p>
        </w:tc>
      </w:tr>
      <w:tr>
        <w:tc>
          <w:tcPr>
            <w:tcW w:type="dxa" w:w="3807"/>
            <w:vAlign w:val="center"/>
          </w:tcPr>
          <w:p>
            <w:pPr>
              <w:jc w:val="center"/>
            </w:pPr>
            <w:r>
              <w:rPr>
                <w:rFonts w:ascii="Arial Narrow" w:hAnsi="Arial Narrow" w:eastAsia="Arial Narrow" w:cs="Arial Narrow"/>
                <w:b w:val="0"/>
                <w:i w:val="0"/>
                <w:sz w:val="16"/>
                <w:u w:val="none"/>
              </w:rPr>
              <w:t>Pertumbuhan Memori</w:t>
            </w:r>
          </w:p>
        </w:tc>
        <w:tc>
          <w:tcPr>
            <w:tcW w:type="dxa" w:w="871"/>
            <w:vAlign w:val="center"/>
          </w:tcPr>
          <w:p>
            <w:pPr>
              <w:jc w:val="center"/>
            </w:pPr>
            <w:r>
              <w:rPr>
                <w:rFonts w:ascii="Arial Narrow" w:hAnsi="Arial Narrow" w:eastAsia="Arial Narrow" w:cs="Arial Narrow"/>
                <w:b w:val="0"/>
                <w:i w:val="0"/>
                <w:sz w:val="16"/>
                <w:u w:val="none"/>
              </w:rPr>
              <w:t>12,4 MB</w:t>
            </w:r>
          </w:p>
        </w:tc>
      </w:tr>
      <w:tr>
        <w:tc>
          <w:tcPr>
            <w:tcW w:type="dxa" w:w="3807"/>
            <w:vAlign w:val="center"/>
          </w:tcPr>
          <w:p>
            <w:pPr>
              <w:jc w:val="center"/>
            </w:pPr>
            <w:r>
              <w:rPr>
                <w:rFonts w:ascii="Arial Narrow" w:hAnsi="Arial Narrow" w:eastAsia="Arial Narrow" w:cs="Arial Narrow"/>
                <w:b w:val="0"/>
                <w:i w:val="0"/>
                <w:sz w:val="16"/>
                <w:u w:val="none"/>
              </w:rPr>
              <w:t>Frame Rate (target 30 fps)</w:t>
            </w:r>
          </w:p>
        </w:tc>
        <w:tc>
          <w:tcPr>
            <w:tcW w:type="dxa" w:w="871"/>
            <w:vAlign w:val="center"/>
          </w:tcPr>
          <w:p>
            <w:pPr>
              <w:jc w:val="center"/>
            </w:pPr>
            <w:r>
              <w:rPr>
                <w:rFonts w:ascii="Arial Narrow" w:hAnsi="Arial Narrow" w:eastAsia="Arial Narrow" w:cs="Arial Narrow"/>
                <w:b w:val="0"/>
                <w:i w:val="0"/>
                <w:sz w:val="16"/>
                <w:u w:val="none"/>
              </w:rPr>
              <w:t>29,7 fps</w:t>
            </w:r>
          </w:p>
        </w:tc>
      </w:tr>
    </w:tbl>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/home/sirobo/papergenerator/backend/tools/Journal/gambar/Fig_14_24h_Endurance_Success_Rate.png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14. Tingkat Keberhasilan Modbus 24 Jam</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Tingkat keberhasilan (Gbr. 14) bertahan di atas 99,7% untuk FC1 maupun FC15, dengan penurunan di sekitar jam ke-7, 15, dan 22. Ketiga penurunan sesuai dengan tiga kegagalan komunikasi dalam log, konsisten dengan MTBF 8,2 jam.</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5. KESIMPULAN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sectPr>
          <w:type w:val="continuous"/>
          <w:pgSz w:h="16839" w:w="11907" w:orient="portrait"/>
          <w:pgMar w:bottom="1418" w:top="1985" w:left="1134" w:right="1134" w:header="720" w:footer="720"/>
          <w:cols w:num="2" w:space="360"/>
        </w:sect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REFERENCES</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C. Lugaresi et al., "MediaPipe: A Framework for Building Perception Pipelines," preprint arXiv:1906.08172, Jun. 2019.</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S. Vijayachitra, K. Prabhu, S. Agilan, M. Ahamed Salih, and S. Madhumitha, "Advanced PLC-based Automation for Converging System and Warehousing," in Proc. 5th Int. Conf. Trends Mater. Sci. Invent. Mater. (ICTMIM), 2025, pp. 1–6, doi: 10.1109/ICTMIM65579.2025.10988042.</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Yashika, A. Patra, and N. S. Das, "Human-Machine Interaction in Industrial Automation: Gesture-Based PLC Control," in Proc. 15th Int. Conf. Comput. Commun. Netw. Technol. (ICCCNT), 2024, pp. 1–7, doi: 10.1109/ICCCNT61001.2024.10726180.</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Y. Li, J. Zhang, Y. Xiong, H. Wu, and F. Yang, "Design of Industrial Equipment Remote Control System Based on Python," in Proc. 8th Int. Conf. Electron. Technol. (ICET), 2025, pp. 1–6, doi: 10.1109/ICET64964.2025.11103226.</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M. Jamage, S. Rane, J. Raktate, and N. Chavan, "Real-Time Hand Gesture Recognition Using CNN-LSTM for Gesture-to-Voice and Device Control," in Proc. 9th Int. Conf. Comput. Commun. Control Autom. (ICCUBEA), 2025, pp. 1–7, doi: 10.1109/ICCUBEA65967.2025.11284053.</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C. Nikolajew and H. Eichelberger, "Industry 4.0 Connectors – A Performance Experiment with Modbus/TCP," preprint arXiv:2410.15813, Oct. 2024.</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E. Tapia, L. Sastoque-Pinilla, U. Lopez-Novoa, I. Bediaga, and N. López de Lacalle, "Assessing Industrial Communication Protocols to Bridge the Gap between Machine Tools and Software Monitoring," Sensors, vol. 23, no. 12, art. 5694, 2023, doi: 10.3390/s23125694.</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Y. K. Yep, Y. H. Goh, T. H. Chiew, K. M. Chin, J. J. Ong, and K. S. Eu, "AI-Driven Hand Gesture Recognition for Robotic Arm Control," in Proc. 5th Int. Conf. Artif. Intell. Robot. Commun. (ICAIRC), 2025, pp. 1–5, doi: 10.1109/ICAIRC68035.2025.11384947.</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Qurrat-ul-Ain, S. N. Talpur, N. U. Z. Laghari, and M. S. Rattar, "Machine Control Using Hand Gesture Recognition," Gyancity J. Electron. Comput. Sci., vol. 5, no. 1, pp. 19–28, Mar. 2020, doi: 10.21058/gjecs.2020.51003.</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P. Nguyen Huu and T. Phung Ngoc, "Hand Gesture Recognition Algorithm Using SVM and HOG Model for Control of Robotic System," J. Robot., vol. 2021, art. 3986497, 2021, doi: 10.1155/2021/3986497.</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M. Shaikh, P. Shah, and R. Sekhar, "Communication Protocols in Industry 4.0," in Proc. Int. Conf. Sustain. Emerg. Innov. Eng. Technol. (ICSEIET), 2023, pp. 1–6, doi: 10.1109/ICSEIET58677.2023.10303397.</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M. Bensaadallah, N. Ghoggali, L. Saidi, and W. Ghoggali, "Deep Learning-Based Real-Time Hand Landmark Recognition with MediaPipe for R12 Robot Control," in Proc. Int. Conf. Elect. Eng. Adv. Technol. (ICEEAT), 2023, pp. 1–6, doi: 10.1109/ICEEAT60471.2023.10426264.</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M. Peral, A. Sanfeliu, and A. Garrell, "Efficient Hand Gesture Recognition for Human-Robot Interaction," IEEE Robot. Autom. Lett., vol. 7, no. 4, pp. 10272–10279, Oct. 2022, doi: 10.1109/LRA.2022.3193251.</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B. Kwolek, "Continuous Hand Gesture Recognition for Human-Robot Collaborative Assembly," in Proc. IEEE/CVF Int. Conf. Comput. Vis. Workshops (ICCVW), 2023, pp. 1992–1999, doi: 10.1109/ICCVW60793.2023.00214.</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Y. Wang, D. Peng, E. Qi, and H. Wang, "Modbus/TCP Data Acquisition System Based on Industrial Ethernet Technology," in Proc. 4th IEEE Int. Conf. Elect. Eng. Control Technol. (CEECT), 2022, pp. 1–5, doi: 10.1109/CEECT55960.2022.10030131.</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H. Benyezza, M. Bouhedda, I. Kratbi, R. Kara, Y. Aniba, and A. Boukhtache, "Automated Fruits Inspection and Sorting Smart System for Industry 4.0 Based on OpenCV and PLC," in Proc. 2nd Int. Conf. Electron. Energy Meas. (IC2EM), 2023, pp. 1–6, doi: 10.1109/IC2EM59347.2023.10419533.</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C. D. Sawarkar, V. Vaidya, V. Sharma, S. Sheikh, A. Neware, and P. Chaudhari, "AI Based Real Time Hand Gesture Recognition System," Int. Res. J. Modernization Eng. Technol. Sci., vol. 6, no. 1, pp. 1–8, Jan. 2024, doi: 10.56726/IRJMETS48782.</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R. Tchantchane, H. Zhou, S. Zhang, and G. Alici, "A Review of Hand Gesture Recognition Systems Based on Noninvasive Wearable Sensors," Adv. Intell. Syst., vol. 5, no. 2, art. 2300207, 2023, doi: 10.1002/aisy.202300207.</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Schneider Electric, "Modicon M221 Logic Controller – Programming Guide," Tech. Rep., ver. 1.7, 2022. [Online]. Available: https://www.schneider-electric.com</w:t>
      </w:r>
    </w:p>
    <w:sectPr>
      <w:type w:val="continuous"/>
      <w:pgSz w:h="16839" w:w="11907" w:orient="portrait"/>
      <w:pgMar w:bottom="1418" w:top="1985" w:left="1134" w:right="1134" w:header="720" w:footer="720"/>
      <w:cols w:equalWidth="0" w:num="2">
        <w:col w:space="284" w:w="4677.5"/>
        <w:col w:space="0" w:w="467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https://ejournal3.undip.ac.id/index.php/transient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https://ejournal3.undip.ac.id/index.php/transient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https://ejournal3.undip.ac.id/index.php/transient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center" w:leader="none" w:pos="4153"/>
        <w:tab w:val="right" w:leader="none" w:pos="8306"/>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TRANSIENT, VOL. XX, NO. XX, BULAN 2024, e-ISSN: 2685-0206</w:t>
    </w:r>
    <w:r w:rsidDel="00000000" w:rsidR="00000000" w:rsidRPr="00000000">
      <w:rPr>
        <w:rtl w:val="0"/>
      </w:rPr>
    </w:r>
  </w:p>
  <w:p w:rsidR="00000000" w:rsidDel="00000000" w:rsidP="00000000" w:rsidRDefault="00000000" w:rsidRPr="00000000" w14:paraId="000000A2">
    <w:pPr>
      <w:tabs>
        <w:tab w:val="center" w:leader="none" w:pos="4153"/>
        <w:tab w:val="right" w:leader="none" w:pos="8306"/>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tabs>
        <w:tab w:val="center" w:leader="none" w:pos="4153"/>
        <w:tab w:val="right" w:leader="none" w:pos="8306"/>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TRANSIENT, VOL. XX, NO. XX, BULAN 2024, e-ISSN: 2685-0206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tabs>
        <w:tab w:val="center" w:leader="none" w:pos="4153"/>
        <w:tab w:val="right" w:leader="none" w:pos="8306"/>
      </w:tabs>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TRANSIENT : Jurnal Ilmiah Teknik Elektro</w:t>
    </w:r>
    <w:r w:rsidDel="00000000" w:rsidR="00000000" w:rsidRPr="00000000">
      <w:rPr>
        <w:rFonts w:ascii="Arial" w:cs="Arial" w:eastAsia="Arial" w:hAnsi="Arial"/>
        <w:b w:val="1"/>
        <w:i w:val="1"/>
        <w:color w:val="111111"/>
        <w:sz w:val="21"/>
        <w:szCs w:val="21"/>
        <w:highlight w:val="white"/>
        <w:rtl w:val="0"/>
      </w:rPr>
      <w:t xml:space="preserve"> </w:t>
    </w:r>
    <w:hyperlink r:id="rId1">
      <w:r w:rsidDel="00000000" w:rsidR="00000000" w:rsidRPr="00000000">
        <w:rPr>
          <w:rFonts w:ascii="Arial" w:cs="Arial" w:eastAsia="Arial" w:hAnsi="Arial"/>
          <w:b w:val="1"/>
          <w:i w:val="1"/>
          <w:color w:val="0056b3"/>
          <w:sz w:val="21"/>
          <w:szCs w:val="21"/>
          <w:highlight w:val="white"/>
          <w:rtl w:val="0"/>
        </w:rPr>
        <w:t xml:space="preserve">(e-ISSN:2685-0206)</w:t>
      </w:r>
    </w:hyperlink>
    <w:r w:rsidDel="00000000" w:rsidR="00000000" w:rsidRPr="00000000">
      <w:rPr>
        <w:rFonts w:ascii="Times New Roman" w:cs="Times New Roman" w:eastAsia="Times New Roman" w:hAnsi="Times New Roman"/>
        <w:b w:val="1"/>
        <w:i w:val="1"/>
        <w:sz w:val="24"/>
        <w:szCs w:val="24"/>
        <w:rtl w:val="0"/>
      </w:rPr>
      <w:t xml:space="preserve">VOL. XX, NO. XX, BULAN2</w:t>
    </w:r>
    <w:r w:rsidDel="00000000" w:rsidR="00000000" w:rsidRPr="00000000">
      <w:rPr>
        <w:rFonts w:ascii="Times New Roman" w:cs="Times New Roman" w:eastAsia="Times New Roman" w:hAnsi="Times New Roman"/>
        <w:b w:val="1"/>
        <w:i w:val="1"/>
        <w:color w:val="000000"/>
        <w:sz w:val="24"/>
        <w:szCs w:val="24"/>
        <w:rtl w:val="0"/>
      </w:rPr>
      <w:t xml:space="preserve">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360" w:hanging="360"/>
      </w:pPr>
      <w:rPr>
        <w:b w:val="0"/>
        <w:i w:val="0"/>
        <w:sz w:val="16"/>
        <w:szCs w:val="16"/>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spacing w:after="60" w:before="240" w:lin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spacing w:after="60" w:before="240" w:line="240" w:lineRule="auto"/>
      <w:outlineLvl w:val="2"/>
    </w:pPr>
    <w:rPr>
      <w:rFonts w:ascii="Arial" w:cs="Arial" w:eastAsia="Arial" w:hAnsi="Arial"/>
      <w:b w:val="1"/>
      <w:sz w:val="26"/>
      <w:szCs w:val="26"/>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paragraph" w:styleId="BalloonText">
    <w:name w:val="Balloon Text"/>
    <w:basedOn w:val="Normal"/>
    <w:link w:val="BalloonTextChar"/>
    <w:uiPriority w:val="99"/>
    <w:semiHidden w:val="1"/>
    <w:unhideWhenUsed w:val="1"/>
    <w:rsid w:val="00726C1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26C1C"/>
    <w:rPr>
      <w:rFonts w:ascii="Segoe UI" w:cs="Segoe UI" w:hAnsi="Segoe UI"/>
      <w:sz w:val="18"/>
      <w:szCs w:val="18"/>
    </w:rPr>
  </w:style>
  <w:style w:type="character" w:styleId="Hyperlink">
    <w:name w:val="Hyperlink"/>
    <w:basedOn w:val="DefaultParagraphFont"/>
    <w:uiPriority w:val="99"/>
    <w:unhideWhenUsed w:val="1"/>
    <w:rsid w:val="00726C1C"/>
    <w:rPr>
      <w:color w:val="0000ff" w:themeColor="hyperlink"/>
      <w:u w:val="single"/>
    </w:rPr>
  </w:style>
  <w:style w:type="character" w:styleId="UnresolvedMention1" w:customStyle="1">
    <w:name w:val="Unresolved Mention1"/>
    <w:basedOn w:val="DefaultParagraphFont"/>
    <w:uiPriority w:val="99"/>
    <w:semiHidden w:val="1"/>
    <w:unhideWhenUsed w:val="1"/>
    <w:rsid w:val="00726C1C"/>
    <w:rPr>
      <w:color w:val="605e5c"/>
      <w:shd w:color="auto" w:fill="e1dfdd" w:val="clear"/>
    </w:rPr>
  </w:style>
  <w:style w:type="paragraph" w:styleId="Footer">
    <w:name w:val="footer"/>
    <w:basedOn w:val="Normal"/>
    <w:link w:val="FooterChar"/>
    <w:uiPriority w:val="99"/>
    <w:unhideWhenUsed w:val="1"/>
    <w:rsid w:val="006F3A30"/>
    <w:pPr>
      <w:tabs>
        <w:tab w:val="center" w:pos="4680"/>
        <w:tab w:val="right" w:pos="9360"/>
      </w:tabs>
      <w:spacing w:line="240" w:lineRule="auto"/>
    </w:pPr>
  </w:style>
  <w:style w:type="character" w:styleId="FooterChar" w:customStyle="1">
    <w:name w:val="Footer Char"/>
    <w:basedOn w:val="DefaultParagraphFont"/>
    <w:link w:val="Footer"/>
    <w:uiPriority w:val="99"/>
    <w:rsid w:val="006F3A30"/>
  </w:style>
  <w:style w:type="paragraph" w:styleId="Header">
    <w:name w:val="header"/>
    <w:basedOn w:val="Normal"/>
    <w:link w:val="HeaderChar"/>
    <w:uiPriority w:val="99"/>
    <w:unhideWhenUsed w:val="1"/>
    <w:rsid w:val="006F3A30"/>
    <w:pPr>
      <w:tabs>
        <w:tab w:val="center" w:pos="4680"/>
        <w:tab w:val="right" w:pos="9360"/>
      </w:tabs>
      <w:spacing w:line="240" w:lineRule="auto"/>
    </w:pPr>
  </w:style>
  <w:style w:type="character" w:styleId="HeaderChar" w:customStyle="1">
    <w:name w:val="Header Char"/>
    <w:basedOn w:val="DefaultParagraphFont"/>
    <w:link w:val="Header"/>
    <w:uiPriority w:val="99"/>
    <w:rsid w:val="006F3A30"/>
  </w:style>
  <w:style w:type="character" w:styleId="PlaceholderText">
    <w:name w:val="Placeholder Text"/>
    <w:basedOn w:val="DefaultParagraphFont"/>
    <w:uiPriority w:val="99"/>
    <w:semiHidden w:val="1"/>
    <w:rsid w:val="006F3A30"/>
    <w:rPr>
      <w:color w:val="808080"/>
    </w:rPr>
  </w:style>
  <w:style w:type="character" w:styleId="Emphasis">
    <w:name w:val="Emphasis"/>
    <w:basedOn w:val="DefaultParagraphFont"/>
    <w:uiPriority w:val="20"/>
    <w:qFormat w:val="1"/>
    <w:rsid w:val="00E33BAE"/>
    <w:rPr>
      <w:i w:val="1"/>
      <w:iCs w:val="1"/>
    </w:rPr>
  </w:style>
  <w:style w:type="paragraph" w:styleId="ListParagraph">
    <w:name w:val="List Paragraph"/>
    <w:basedOn w:val="Normal"/>
    <w:uiPriority w:val="34"/>
    <w:qFormat w:val="1"/>
    <w:rsid w:val="00F10B64"/>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amapenulis@institusi.ac.id"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CambriaMath-regular.ttf"/></Relationships>
</file>

<file path=word/_rels/header3.xml.rels><?xml version='1.0' encoding='UTF-8' standalone='yes'?>
<Relationships xmlns="http://schemas.openxmlformats.org/package/2006/relationships"><Relationship Id="rId1" Type="http://schemas.openxmlformats.org/officeDocument/2006/relationships/hyperlink" Target="https://issn.brin.go.id/terbit/detail/15604919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ud4irufxjvHxzrU0UmP/OHqxw==">CgMxLjAyCGguZ2pkZ3hzOAByITFiclNRZUMyZjhDS1JKWDFsb2cwWmp0eVo0a2VHTS14Tw==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2024-01-18T04:34:00Z</dcterms:created>
  <dc:creator>Wahyudi Wahyudi</dc:creator>
</cp:coreProperties>
</file>