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csmtitle"/>
        <w:spacing w:before="0" w:after="0"/>
        <w:rPr>
          <w:b w:val="1"/>
          <w:sz w:val="24"/>
          <w:szCs w:val="24"/>
          <w:lang w:val="en-US"/>
        </w:rPr>
      </w:pPr>
      <w:r>
        <w:rPr>
          <w:rFonts w:ascii="Times New Roman" w:hAnsi="Times New Roman" w:eastAsia="Times New Roman" w:cs="Times New Roman"/>
          <w:b/>
          <w:sz w:val="24"/>
          <w:lang w:val="en-US"/>
        </w:rPr>
        <w:t>GestPLC: Real-Time Hand Gesture Recognition for PLC Control using MediaPipe and Modbus TCP for Industry 4.0 Applications</w:t>
      </w:r>
    </w:p>
    <w:p>
      <w:pPr>
        <w:pStyle w:val="icsmtitle"/>
        <w:spacing w:before="0" w:after="0"/>
        <w:rPr>
          <w:b w:val="1"/>
          <w:sz w:val="24"/>
          <w:szCs w:val="24"/>
          <w:lang w:val="en-US"/>
        </w:rPr>
      </w:pPr>
    </w:p>
    <w:p>
      <w:pPr>
        <w:pStyle w:val="icsmauthors"/>
        <w:spacing w:after="0"/>
        <w:rPr>
          <w:b w:val="1"/>
          <w:sz w:val="20"/>
          <w:szCs w:val="20"/>
          <w:lang w:val="en-US"/>
        </w:rPr>
      </w:pPr>
      <w:r>
        <w:rPr>
          <w:rFonts w:ascii="Times New Roman" w:hAnsi="Times New Roman" w:eastAsia="Times New Roman" w:cs="Times New Roman"/>
          <w:b/>
          <w:sz w:val="20"/>
          <w:lang w:val="id-ID"/>
        </w:rPr>
        <w:t>Rofiq Cahyo Prayogo</w:t>
      </w:r>
      <w:r>
        <w:rPr>
          <w:rFonts w:ascii="Times New Roman" w:hAnsi="Times New Roman" w:eastAsia="Times New Roman" w:cs="Times New Roman"/>
          <w:b/>
          <w:sz w:val="20"/>
          <w:vertAlign w:val="superscript"/>
          <w:lang w:val="en-US"/>
        </w:rPr>
        <w:t>a</w:t>
      </w:r>
      <w:r>
        <w:rPr>
          <w:rFonts w:ascii="Times New Roman" w:hAnsi="Times New Roman" w:eastAsia="Times New Roman" w:cs="Times New Roman"/>
          <w:b/>
          <w:sz w:val="20"/>
          <w:lang w:val="en-US"/>
        </w:rPr>
        <w:t>*</w:t>
      </w:r>
      <w:r>
        <w:rPr>
          <w:rFonts w:ascii="Times New Roman" w:hAnsi="Times New Roman" w:eastAsia="Times New Roman" w:cs="Times New Roman"/>
          <w:b/>
          <w:sz w:val="20"/>
          <w:lang w:val="en-US"/>
        </w:rPr>
        <w:t xml:space="preserve">, </w:t>
      </w:r>
      <w:r>
        <w:rPr>
          <w:rFonts w:ascii="Times New Roman" w:hAnsi="Times New Roman" w:eastAsia="Times New Roman" w:cs="Times New Roman"/>
          <w:b/>
          <w:sz w:val="20"/>
          <w:lang w:val="id-ID"/>
        </w:rPr>
        <w:t>Ahmad Ridlo Hanifudin Tahier</w:t>
      </w:r>
      <w:r>
        <w:rPr>
          <w:rFonts w:ascii="Times New Roman" w:hAnsi="Times New Roman" w:eastAsia="Times New Roman" w:cs="Times New Roman"/>
          <w:b/>
          <w:sz w:val="20"/>
          <w:vertAlign w:val="superscript"/>
          <w:lang w:val="en-US"/>
        </w:rPr>
        <w:t>a</w:t>
      </w:r>
      <w:r>
        <w:rPr>
          <w:rFonts w:ascii="Times New Roman" w:hAnsi="Times New Roman" w:eastAsia="Times New Roman" w:cs="Times New Roman"/>
          <w:b/>
          <w:sz w:val="20"/>
          <w:lang w:val="en-US"/>
        </w:rPr>
        <w:t xml:space="preserve">, </w:t>
      </w:r>
      <w:r>
        <w:rPr>
          <w:rFonts w:ascii="Times New Roman" w:hAnsi="Times New Roman" w:eastAsia="Times New Roman" w:cs="Times New Roman"/>
          <w:b/>
          <w:sz w:val="20"/>
          <w:lang w:val="id-ID"/>
        </w:rPr>
        <w:t>Munadi</w:t>
      </w:r>
      <w:r>
        <w:rPr>
          <w:rFonts w:ascii="Times New Roman" w:hAnsi="Times New Roman" w:eastAsia="Times New Roman" w:cs="Times New Roman"/>
          <w:b/>
          <w:sz w:val="20"/>
          <w:vertAlign w:val="superscript"/>
          <w:lang w:val="en-US"/>
        </w:rPr>
        <w:t>b</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a</w:t>
      </w:r>
      <w:r>
        <w:rPr>
          <w:rFonts w:ascii="Times New Roman" w:hAnsi="Times New Roman" w:eastAsia="Times New Roman" w:cs="Times New Roman"/>
          <w:b w:val="0"/>
          <w:i w:val="0"/>
          <w:sz w:val="20"/>
          <w:lang w:val="id-ID"/>
        </w:rPr>
        <w:t>Automation Engineering, Diponegoro University, Semarang, Indonesia</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b</w:t>
      </w:r>
      <w:r>
        <w:rPr>
          <w:rFonts w:ascii="Times New Roman" w:hAnsi="Times New Roman" w:eastAsia="Times New Roman" w:cs="Times New Roman"/>
          <w:b w:val="0"/>
          <w:i w:val="0"/>
          <w:sz w:val="20"/>
          <w:lang w:val="id-ID"/>
        </w:rPr>
        <w:t>Mechanical Engineering, Diponegoro University, Semarang, Indonesia</w:t>
      </w:r>
    </w:p>
    <w:p>
      <w:pPr>
        <w:pStyle w:val="icsmaddresses"/>
        <w:spacing w:after="0"/>
        <w:rPr>
          <w:i w:val="0"/>
          <w:sz w:val="20"/>
          <w:szCs w:val="20"/>
          <w:lang w:val="en-US"/>
        </w:rPr>
      </w:pPr>
      <w:r>
        <w:rPr>
          <w:rFonts w:ascii="Times New Roman" w:hAnsi="Times New Roman" w:eastAsia="Times New Roman" w:cs="Times New Roman"/>
          <w:b w:val="0"/>
          <w:i w:val="0"/>
          <w:sz w:val="20"/>
          <w:lang w:val="en-US"/>
        </w:rPr>
        <w:t>*E-mail: rofiqotomasi@lecturer.undip.ac.id; ridlohanifudin@lecturer.undip.ac.id; munadi@lecturer.undip.ac.id</w:t>
      </w:r>
    </w:p>
    <w:p>
      <w:pPr>
        <w:pStyle w:val="icsmtitle"/>
        <w:spacing w:before="0" w:after="0"/>
        <w:jc w:val="left"/>
        <w:rPr>
          <w:sz w:val="20"/>
          <w:szCs w:val="20"/>
          <w:lang w:val="en-US"/>
        </w:rPr>
      </w:pP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shd w:val="clear" w:color="auto" w:fill="D9D9D9"/>
      </w:tblPr>
      <w:tblGrid>
        <w:gridCol w:w="8504"/>
      </w:tblGrid>
      <w:tr>
        <w:trPr>
          <w:jc w:val="center"/>
        </w:trPr>
        <w:tc>
          <w:tcPr>
            <w:tcW w:type="dxa" w:w="8504"/>
            <w:shd w:val="clear" w:color="auto" w:fill="D9D9D9"/>
          </w:tcPr>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Abstract</w:t>
            </w:r>
          </w:p>
          <w:p>
            <w:pPr>
              <w:jc w:val="center"/>
              <w:spacing w:after="0" w:line="240" w:lineRule="auto"/>
              <w:rPr>
                <w:b w:val="1"/>
                <w:sz w:val="20"/>
                <w:szCs w:val="20"/>
                <w:rFonts w:ascii="Times New Roman" w:hAnsi="Times New Roman" w:eastAsia="Times New Roman" w:cs="Times New Roman"/>
                <w:lang w:val="en-US"/>
              </w:rPr>
            </w:pPr>
          </w:p>
          <w:p>
            <w:pPr>
              <w:jc w:val="both"/>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val="0"/>
                <w:i w:val="0"/>
                <w:sz w:val="20"/>
                <w:lang w:val="en-US"/>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 </w:t>
            </w:r>
          </w:p>
          <w:p>
            <w:pPr>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Keywords: </w:t>
            </w:r>
            <w:r>
              <w:rPr>
                <w:rFonts w:ascii="Times New Roman" w:hAnsi="Times New Roman" w:eastAsia="Times New Roman" w:cs="Times New Roman"/>
                <w:b w:val="0"/>
                <w:sz w:val="20"/>
                <w:lang w:val="en-US"/>
              </w:rPr>
              <w:t>Hand Gesture Recognition, PLC Control, MediaPipe, Modbus TCP, Industry 4.0, Threading</w:t>
            </w:r>
          </w:p>
        </w:tc>
      </w:tr>
    </w:tbl>
    <w:p>
      <w:pPr>
        <w:pStyle w:val="icsmheading1"/>
        <w:spacing w:before="0" w:after="0"/>
        <w:jc w:val="both"/>
        <w:rPr>
          <w:b w:val="0"/>
          <w:lang w:val="id-ID"/>
        </w:rPr>
      </w:pP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1. Pendahuluan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2. Tinjauan Pustaka</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2.1 Metode Pengenalan Gestur Tangan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 </w:t>
      </w:r>
      <w:r>
        <w:rPr>
          <w:rFonts w:ascii="Times New Roman" w:hAnsi="Times New Roman" w:eastAsia="Times New Roman" w:cs="Times New Roman"/>
          <w:b w:val="0"/>
          <w:sz w:val="20"/>
          <w:lang w:val="id-ID"/>
        </w:rPr>
        <w:t>Timeline Evolusi Teknologi Pengenalan Gestur Tangan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0"/>
          <w:lang w:val="en-US"/>
        </w:rPr>
        <w:t xml:space="preserve"> diumpankan ke mesin aturan geometris yang berjalan di bawah satu milidetik tanpa data pelatihan. Perubahan set gestur hanya memerlukan penyesuaian threshold sudut.</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2.2 Protokol Komunikasi PLC dan Modbus TCP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2.3 Antarmuka Manusia-Mesin Tanpa Sentuhan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3. METODOLOGI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3.1 Arsitektur Tiga Thread</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2. </w:t>
      </w:r>
      <w:r>
        <w:rPr>
          <w:rFonts w:ascii="Times New Roman" w:hAnsi="Times New Roman" w:eastAsia="Times New Roman" w:cs="Times New Roman"/>
          <w:b w:val="0"/>
          <w:sz w:val="20"/>
          <w:lang w:val="id-ID"/>
        </w:rPr>
        <w:t>Arsitektur Sistem GestPLC</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icsmheading1"/>
        <w:tabs>
          <w:tab w:pos="4818" w:val="center"/>
          <w:tab w:pos="9637" w:val="right"/>
        </w:tabs>
        <w:spacing w:before="120" w:after="120"/>
        <w:jc w:val="both"/>
        <w:rPr>
          <w:b w:val="0"/>
          <w:lang w:val="en-US"/>
        </w:rPr>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b w:val="0"/>
          <w:i w:val="0"/>
          <w:sz w:val="20"/>
          <w:lang w:val="en-US"/>
        </w:rPr>
        <w:tab/>
        <w:t>(1)</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0"/>
          <w:lang w:val="en-US"/>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0"/>
          <w:lang w:val="en-US"/>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0"/>
          <w:lang w:val="en-US"/>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0"/>
          <w:lang w:val="en-US"/>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0"/>
          <w:lang w:val="en-US"/>
        </w:rPr>
        <w:t xml:space="preserve"> konsisten di bawah 0,5 ms. Karena ketiga thread tumpang tindih, total delay sama dengan thread paling lambat ditambah overhead queue. Ini hanya berlaku karena backend C++ melepas GIL.</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3.2 Konfigurasi Hardware dan Setup PC-PLC</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3. </w:t>
      </w:r>
      <w:r>
        <w:rPr>
          <w:rFonts w:ascii="Times New Roman" w:hAnsi="Times New Roman" w:eastAsia="Times New Roman" w:cs="Times New Roman"/>
          <w:b w:val="0"/>
          <w:sz w:val="20"/>
          <w:lang w:val="id-ID"/>
        </w:rPr>
        <w:t>Konfigurasi Jaringan PC dan PLC</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4. </w:t>
      </w:r>
      <w:r>
        <w:rPr>
          <w:rFonts w:ascii="Times New Roman" w:hAnsi="Times New Roman" w:eastAsia="Times New Roman" w:cs="Times New Roman"/>
          <w:b w:val="0"/>
          <w:sz w:val="20"/>
          <w:lang w:val="id-ID"/>
        </w:rPr>
        <w:t>Diagram Ladder Pemetaan M200-M203 ke Q0-Q3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Logika ladder (Gbr. 4): M200 M203 sebagai kontak normally-open menggerakkan coil output Q0 Q3.</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5. </w:t>
      </w:r>
      <w:r>
        <w:rPr>
          <w:rFonts w:ascii="Times New Roman" w:hAnsi="Times New Roman" w:eastAsia="Times New Roman" w:cs="Times New Roman"/>
          <w:b w:val="0"/>
          <w:sz w:val="20"/>
          <w:lang w:val="id-ID"/>
        </w:rPr>
        <w:t>Function Block Pembacaan M200-M203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Function block (Gbr. 5) membaca array coil M200 M203 setiap siklus scan dan meneruskan nilainya ke output Q0 Q3. Pada scan rate default (~1 ms), perintah gestur baru ditangkap dalam satu siklus dan output fisik langsung mengikuti.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3.3 Pengenalan Gestur Geometris MediaPipe</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Setiap frame RGB dari OpenCV dilewatkan ke model hand-landmark MediaPipe [1], yang mengembalikan 21 titik per tangan: pergelangan tangan, sendi MCP, PIP, DIP untuk setiap jari, plus empat ujung jari.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6. </w:t>
      </w:r>
      <w:r>
        <w:rPr>
          <w:rFonts w:ascii="Times New Roman" w:hAnsi="Times New Roman" w:eastAsia="Times New Roman" w:cs="Times New Roman"/>
          <w:b w:val="0"/>
          <w:sz w:val="20"/>
          <w:lang w:val="id-ID"/>
        </w:rPr>
        <w:t>21 Landmark Tangan MediaPipe</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Ke-21 landmark (bernomor 0 20) ditunjukkan pada Gbr. 6. Prototipe awal memverifikasi bahwa output MediaPipe stabil dalam kisaran ~30 derajat dari sumbu kamera.</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7. </w:t>
      </w:r>
      <w:r>
        <w:rPr>
          <w:rFonts w:ascii="Times New Roman" w:hAnsi="Times New Roman" w:eastAsia="Times New Roman" w:cs="Times New Roman"/>
          <w:b w:val="0"/>
          <w:sz w:val="20"/>
          <w:lang w:val="id-ID"/>
        </w:rPr>
        <w:t>Prototipe Python untuk Validasi MediaPipe</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Jendela diagnostik PyQt5 (Gbr. 7) menampilkan landmark dan garis penghubung pada feed webcam langsung, mengonfirmasi konsistensi output MediaPipe selama kemiringan dalam ~30 derajat. Setiap landmark berupa koordinat 3-D ternormalisasi:</w:t>
      </w:r>
    </w:p>
    <w:p>
      <w:pPr>
        <w:pStyle w:val="icsmheading1"/>
        <w:tabs>
          <w:tab w:pos="4818" w:val="center"/>
          <w:tab w:pos="9637" w:val="right"/>
        </w:tabs>
        <w:spacing w:before="120" w:after="120"/>
        <w:jc w:val="both"/>
        <w:rPr>
          <w:b w:val="0"/>
          <w:lang w:val="en-US"/>
        </w:rPr>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b w:val="0"/>
          <w:i w:val="0"/>
          <w:sz w:val="20"/>
          <w:lang w:val="en-US"/>
        </w:rPr>
        <w:tab/>
        <w:t>(2)</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0"/>
          <w:lang w:val="en-US"/>
        </w:rPr>
        <w:t xml:space="preserve"> dan </w:t>
      </w:r>
      <m:oMath xmlns:mml="http://www.w3.org/1998/Math/MathML">
        <m:sSub>
          <m:e>
            <m:r>
              <m:t>y</m:t>
            </m:r>
          </m:e>
          <m:sub>
            <m:r>
              <m:t>i</m:t>
            </m:r>
          </m:sub>
        </m:sSub>
      </m:oMath>
      <w:r>
        <w:rPr>
          <w:rFonts w:ascii="Times New Roman" w:hAnsi="Times New Roman" w:eastAsia="Times New Roman" w:cs="Times New Roman"/>
          <w:b w:val="0"/>
          <w:i w:val="0"/>
          <w:sz w:val="20"/>
          <w:lang w:val="en-US"/>
        </w:rPr>
        <w:t xml:space="preserve"> berada dalam </w:t>
      </w:r>
      <m:oMath xmlns:mml="http://www.w3.org/1998/Math/MathML">
        <m:r>
          <m:t>[0,1]</m:t>
        </m:r>
      </m:oMath>
      <w:r>
        <w:rPr>
          <w:rFonts w:ascii="Times New Roman" w:hAnsi="Times New Roman" w:eastAsia="Times New Roman" w:cs="Times New Roman"/>
          <w:b w:val="0"/>
          <w:i w:val="0"/>
          <w:sz w:val="20"/>
          <w:lang w:val="en-US"/>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0"/>
          <w:lang w:val="en-US"/>
        </w:rPr>
        <w:t xml:space="preserve"> mengkodekan kedalaman relatif terhadap pergelangan tangan. Jarak Euclidean antara dua landmark:</w:t>
      </w:r>
    </w:p>
    <w:p>
      <w:pPr>
        <w:pStyle w:val="icsmheading1"/>
        <w:tabs>
          <w:tab w:pos="4818" w:val="center"/>
          <w:tab w:pos="9637" w:val="right"/>
        </w:tabs>
        <w:spacing w:before="120" w:after="120"/>
        <w:jc w:val="both"/>
        <w:rPr>
          <w:b w:val="0"/>
          <w:lang w:val="en-US"/>
        </w:rPr>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b w:val="0"/>
          <w:i w:val="0"/>
          <w:sz w:val="20"/>
          <w:lang w:val="en-US"/>
        </w:rPr>
        <w:tab/>
        <w:t>(3)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0"/>
          <w:lang w:val="en-US"/>
        </w:rPr>
        <w:t xml:space="preserve"> (jarak pergelangan tangan ke middle-MCP):</w:t>
      </w:r>
    </w:p>
    <w:p>
      <w:pPr>
        <w:pStyle w:val="icsmheading1"/>
        <w:tabs>
          <w:tab w:pos="4818" w:val="center"/>
          <w:tab w:pos="9637" w:val="right"/>
        </w:tabs>
        <w:spacing w:before="120" w:after="120"/>
        <w:jc w:val="both"/>
        <w:rPr>
          <w:b w:val="0"/>
          <w:lang w:val="en-US"/>
        </w:rPr>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b w:val="0"/>
          <w:i w:val="0"/>
          <w:sz w:val="20"/>
          <w:lang w:val="en-US"/>
        </w:rPr>
        <w:tab/>
        <w:t>(4)</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0"/>
          <w:lang w:val="en-US"/>
        </w:rPr>
        <w:t xml:space="preserve"> mencerminkan bentuk tangan independen dari jarak kamera. Untuk ekstensi jari, dibutuhkan sudut sendi. Vektor arah:</w:t>
      </w:r>
    </w:p>
    <w:p>
      <w:pPr>
        <w:pStyle w:val="icsmheading1"/>
        <w:tabs>
          <w:tab w:pos="4818" w:val="center"/>
          <w:tab w:pos="9637" w:val="right"/>
        </w:tabs>
        <w:spacing w:before="120" w:after="120"/>
        <w:jc w:val="both"/>
        <w:rPr>
          <w:b w:val="0"/>
          <w:lang w:val="en-US"/>
        </w:rPr>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b w:val="0"/>
          <w:i w:val="0"/>
          <w:sz w:val="20"/>
          <w:lang w:val="en-US"/>
        </w:rPr>
        <w:tab/>
        <w:t>(5)</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Besarnya:</w:t>
      </w:r>
    </w:p>
    <w:p>
      <w:pPr>
        <w:pStyle w:val="icsmheading1"/>
        <w:tabs>
          <w:tab w:pos="4818" w:val="center"/>
          <w:tab w:pos="9637" w:val="right"/>
        </w:tabs>
        <w:spacing w:before="120" w:after="120"/>
        <w:jc w:val="both"/>
        <w:rPr>
          <w:b w:val="0"/>
          <w:lang w:val="en-US"/>
        </w:rPr>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b w:val="0"/>
          <w:i w:val="0"/>
          <w:sz w:val="20"/>
          <w:lang w:val="en-US"/>
        </w:rPr>
        <w:tab/>
        <w:t>(6)</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Dot product dari dua vektor segmen tulang yang bersebelahan:</w:t>
      </w:r>
    </w:p>
    <w:p>
      <w:pPr>
        <w:pStyle w:val="icsmheading1"/>
        <w:tabs>
          <w:tab w:pos="4818" w:val="center"/>
          <w:tab w:pos="9637" w:val="right"/>
        </w:tabs>
        <w:spacing w:before="120" w:after="120"/>
        <w:jc w:val="both"/>
        <w:rPr>
          <w:b w:val="0"/>
          <w:lang w:val="en-US"/>
        </w:rPr>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b w:val="0"/>
          <w:i w:val="0"/>
          <w:sz w:val="20"/>
          <w:lang w:val="en-US"/>
        </w:rPr>
        <w:tab/>
        <w:t>(7)</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Sudut antar-sendi, untuk tiga landmark berurutan (</w:t>
      </w:r>
      <m:oMath xmlns:mml="http://www.w3.org/1998/Math/MathML">
        <m:r>
          <m:t>A</m:t>
        </m:r>
      </m:oMath>
      <w:r>
        <w:rPr>
          <w:rFonts w:ascii="Times New Roman" w:hAnsi="Times New Roman" w:eastAsia="Times New Roman" w:cs="Times New Roman"/>
          <w:b w:val="0"/>
          <w:i w:val="0"/>
          <w:sz w:val="20"/>
          <w:lang w:val="en-US"/>
        </w:rPr>
        <w:t xml:space="preserve"> = ujung jari, </w:t>
      </w:r>
      <m:oMath xmlns:mml="http://www.w3.org/1998/Math/MathML">
        <m:r>
          <m:t>B</m:t>
        </m:r>
      </m:oMath>
      <w:r>
        <w:rPr>
          <w:rFonts w:ascii="Times New Roman" w:hAnsi="Times New Roman" w:eastAsia="Times New Roman" w:cs="Times New Roman"/>
          <w:b w:val="0"/>
          <w:i w:val="0"/>
          <w:sz w:val="20"/>
          <w:lang w:val="en-US"/>
        </w:rPr>
        <w:t xml:space="preserve"> = sendi tengah, </w:t>
      </w:r>
      <m:oMath xmlns:mml="http://www.w3.org/1998/Math/MathML">
        <m:r>
          <m:t>C</m:t>
        </m:r>
      </m:oMath>
      <w:r>
        <w:rPr>
          <w:rFonts w:ascii="Times New Roman" w:hAnsi="Times New Roman" w:eastAsia="Times New Roman" w:cs="Times New Roman"/>
          <w:b w:val="0"/>
          <w:i w:val="0"/>
          <w:sz w:val="20"/>
          <w:lang w:val="en-US"/>
        </w:rPr>
        <w:t xml:space="preserve"> = pangkal):</w:t>
      </w:r>
    </w:p>
    <w:p>
      <w:pPr>
        <w:pStyle w:val="icsmheading1"/>
        <w:tabs>
          <w:tab w:pos="4818" w:val="center"/>
          <w:tab w:pos="9637" w:val="right"/>
        </w:tabs>
        <w:spacing w:before="120" w:after="120"/>
        <w:jc w:val="both"/>
        <w:rPr>
          <w:b w:val="0"/>
          <w:lang w:val="en-US"/>
        </w:rPr>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b w:val="0"/>
          <w:i w:val="0"/>
          <w:sz w:val="20"/>
          <w:lang w:val="en-US"/>
        </w:rPr>
        <w:tab/>
        <w:t>(8)</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Sudut </w:t>
      </w:r>
      <m:oMath xmlns:mml="http://www.w3.org/1998/Math/MathML">
        <m:r>
          <m:t>θ</m:t>
        </m:r>
      </m:oMath>
      <w:r>
        <w:rPr>
          <w:rFonts w:ascii="Times New Roman" w:hAnsi="Times New Roman" w:eastAsia="Times New Roman" w:cs="Times New Roman"/>
          <w:b w:val="0"/>
          <w:i w:val="0"/>
          <w:sz w:val="20"/>
          <w:lang w:val="en-US"/>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0"/>
          <w:lang w:val="en-US"/>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0"/>
          <w:lang w:val="en-US"/>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0"/>
          <w:lang w:val="en-US"/>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0"/>
          <w:lang w:val="en-US"/>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0"/>
          <w:lang w:val="en-US"/>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0"/>
          <w:lang w:val="en-US"/>
        </w:rPr>
        <w:t>):</w:t>
      </w:r>
    </w:p>
    <w:p>
      <w:pPr>
        <w:pStyle w:val="icsmheading1"/>
        <w:tabs>
          <w:tab w:pos="4818" w:val="center"/>
          <w:tab w:pos="9637" w:val="right"/>
        </w:tabs>
        <w:spacing w:before="120" w:after="120"/>
        <w:jc w:val="both"/>
        <w:rPr>
          <w:b w:val="0"/>
          <w:lang w:val="en-US"/>
        </w:rPr>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b w:val="0"/>
          <w:i w:val="0"/>
          <w:sz w:val="20"/>
          <w:lang w:val="en-US"/>
        </w:rPr>
        <w:tab/>
        <w:t>(9)</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0"/>
          <w:lang w:val="en-US"/>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0"/>
          <w:lang w:val="en-US"/>
        </w:rPr>
        <w:t>:</w:t>
      </w:r>
    </w:p>
    <w:p>
      <w:pPr>
        <w:pStyle w:val="icsmheading1"/>
        <w:tabs>
          <w:tab w:pos="4818" w:val="center"/>
          <w:tab w:pos="9637" w:val="right"/>
        </w:tabs>
        <w:spacing w:before="120" w:after="120"/>
        <w:jc w:val="both"/>
        <w:rPr>
          <w:b w:val="0"/>
          <w:lang w:val="en-US"/>
        </w:rPr>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b w:val="0"/>
          <w:i w:val="0"/>
          <w:sz w:val="20"/>
          <w:lang w:val="en-US"/>
        </w:rPr>
        <w:tab/>
        <w:t>(10)</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0"/>
          <w:lang w:val="en-US"/>
        </w:rPr>
        <w:t xml:space="preserve"> frame terakhir:</w:t>
      </w:r>
    </w:p>
    <w:p>
      <w:pPr>
        <w:pStyle w:val="icsmheading1"/>
        <w:tabs>
          <w:tab w:pos="4818" w:val="center"/>
          <w:tab w:pos="9637" w:val="right"/>
        </w:tabs>
        <w:spacing w:before="120" w:after="120"/>
        <w:jc w:val="both"/>
        <w:rPr>
          <w:b w:val="0"/>
          <w:lang w:val="en-US"/>
        </w:rPr>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b w:val="0"/>
          <w:i w:val="0"/>
          <w:sz w:val="20"/>
          <w:lang w:val="en-US"/>
        </w:rPr>
        <w:tab/>
        <w:t>(11)</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0"/>
          <w:lang w:val="en-US"/>
        </w:rPr>
        <w:t xml:space="preserve"> bernilai 1 hanya jika lebih dari fraksi </w:t>
      </w:r>
      <m:oMath xmlns:mml="http://www.w3.org/1998/Math/MathML">
        <m:r>
          <m:t>T</m:t>
        </m:r>
      </m:oMath>
      <w:r>
        <w:rPr>
          <w:rFonts w:ascii="Times New Roman" w:hAnsi="Times New Roman" w:eastAsia="Times New Roman" w:cs="Times New Roman"/>
          <w:b w:val="0"/>
          <w:i w:val="0"/>
          <w:sz w:val="20"/>
          <w:lang w:val="en-US"/>
        </w:rPr>
        <w:t xml:space="preserve"> dari frame terbaru menyetujui bahwa jari terektensi:</w:t>
      </w:r>
    </w:p>
    <w:p>
      <w:pPr>
        <w:pStyle w:val="icsmheading1"/>
        <w:tabs>
          <w:tab w:pos="4818" w:val="center"/>
          <w:tab w:pos="9637" w:val="right"/>
        </w:tabs>
        <w:spacing w:before="120" w:after="120"/>
        <w:jc w:val="both"/>
        <w:rPr>
          <w:b w:val="0"/>
          <w:lang w:val="en-US"/>
        </w:rPr>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b w:val="0"/>
          <w:i w:val="0"/>
          <w:sz w:val="20"/>
          <w:lang w:val="en-US"/>
        </w:rPr>
        <w:tab/>
        <w:t>(12)</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0"/>
          <w:lang w:val="en-US"/>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0"/>
          <w:lang w:val="en-US"/>
        </w:rPr>
        <w:t xml:space="preserve"> kemudian diantrikan untuk penulisan Modbus FC15.</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3.4 Integrasi MediaPipe dan Pymodbus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w:t>
      </w:r>
      <w:r>
        <w:rPr>
          <w:rFonts w:ascii="Times New Roman" w:hAnsi="Times New Roman" w:eastAsia="Times New Roman" w:cs="Times New Roman"/>
          <w:b w:val="0"/>
          <w:sz w:val="20"/>
          <w:lang w:val="id-ID"/>
        </w:rPr>
        <w:t xml:space="preserve">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409"/>
        <w:gridCol w:w="2409"/>
        <w:gridCol w:w="2409"/>
        <w:gridCol w:w="2409"/>
      </w:tblGrid>
      <w:tr>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Gestur</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Jumlah Jari</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State Coil Modbus</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Output PLC</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Kepalan Tangan</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M200=0, M201=0, M202=0,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Q0-Q3=OFF</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 Jari (Telunjuk)</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M201=0, M202=0,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Q0=ON</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 Jari (Peace)</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M202=0,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Q0-Q1=ON</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 Jari</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M202=1,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Q0-Q2=ON</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 Jari</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M202=1, M203=1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Q0-Q3=ON</w:t>
            </w:r>
          </w:p>
        </w:tc>
      </w:tr>
      <w:tr>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 Jari (Telapak)</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M202=1, M203=1</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Q0-Q3=ON (Semua)</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PLCGui menjalankan ketiga thread. Saat gestur dikonfirmasi oleh filter debounce, pola coil ditulis ke PLC via PyModbus dan setiap hasil dicatat dalam log. LED panel depan PLC sesuai dengan indikator GUI setiap penulisan berhasil.</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8. </w:t>
      </w:r>
      <w:r>
        <w:rPr>
          <w:rFonts w:ascii="Times New Roman" w:hAnsi="Times New Roman" w:eastAsia="Times New Roman" w:cs="Times New Roman"/>
          <w:b w:val="0"/>
          <w:sz w:val="20"/>
          <w:lang w:val="id-ID"/>
        </w:rPr>
        <w:t>Setup Hardware Laboratorium Lengkap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Rig pengujian terlihat pada Gbr. 8. Webcam pada tripod menghadap tangan operator, kabel Cat-5e langsung ke panel PLC.</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4. HASIL EKSPERIMEN</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4.1 Akurasi Deteksi Gestur</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II.</w:t>
      </w:r>
      <w:r>
        <w:rPr>
          <w:rFonts w:ascii="Times New Roman" w:hAnsi="Times New Roman" w:eastAsia="Times New Roman" w:cs="Times New Roman"/>
          <w:b w:val="0"/>
          <w:sz w:val="20"/>
          <w:lang w:val="id-ID"/>
        </w:rPr>
        <w:t xml:space="preserve">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606"/>
        <w:gridCol w:w="1606"/>
        <w:gridCol w:w="1606"/>
        <w:gridCol w:w="1606"/>
        <w:gridCol w:w="1606"/>
        <w:gridCol w:w="1606"/>
      </w:tblGrid>
      <w:tr>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Gestur</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Sampel</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Benar</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Presisi (%)</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Recall (%)</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Skor F1 (%)</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 jari (Kepalan)</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97,5</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 jari (Telunjuk)</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96,9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 jari (Peace)</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 jari</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 jari</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 jari (Telapak Terbuka)</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97,5</w:t>
            </w:r>
          </w:p>
        </w:tc>
      </w:tr>
      <w:tr>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Rata-rata Keseluruhan (Makro)</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600</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569</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96,1</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94,8</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95,4</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III.</w:t>
      </w:r>
      <w:r>
        <w:rPr>
          <w:rFonts w:ascii="Times New Roman" w:hAnsi="Times New Roman" w:eastAsia="Times New Roman" w:cs="Times New Roman"/>
          <w:b w:val="0"/>
          <w:sz w:val="20"/>
          <w:lang w:val="id-ID"/>
        </w:rPr>
        <w:t xml:space="preserve">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377"/>
        <w:gridCol w:w="1377"/>
        <w:gridCol w:w="1377"/>
        <w:gridCol w:w="1377"/>
        <w:gridCol w:w="1377"/>
        <w:gridCol w:w="1377"/>
        <w:gridCol w:w="1377"/>
      </w:tblGrid>
      <w:tr>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Aktual \ Prediksi</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0 (Kepalan)</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1 (Telunjuk)</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2 (Peace)</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3</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4</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5 (Telapak)</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 (Kepalan)</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 (Telunjuk)</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 (Peace)</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w:t>
            </w:r>
          </w:p>
        </w:tc>
      </w:tr>
      <w:tr>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 (Telapak)</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9. </w:t>
      </w:r>
      <w:r>
        <w:rPr>
          <w:rFonts w:ascii="Times New Roman" w:hAnsi="Times New Roman" w:eastAsia="Times New Roman" w:cs="Times New Roman"/>
          <w:b w:val="0"/>
          <w:sz w:val="20"/>
          <w:lang w:val="id-ID"/>
        </w:rPr>
        <w:t>Heatmap Matriks Konfusi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10. </w:t>
      </w:r>
      <w:r>
        <w:rPr>
          <w:rFonts w:ascii="Times New Roman" w:hAnsi="Times New Roman" w:eastAsia="Times New Roman" w:cs="Times New Roman"/>
          <w:b w:val="0"/>
          <w:sz w:val="20"/>
          <w:lang w:val="id-ID"/>
        </w:rPr>
        <w:t>Skor F1 pada Tiga Kondisi Pencahayaan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11. </w:t>
      </w:r>
      <w:r>
        <w:rPr>
          <w:rFonts w:ascii="Times New Roman" w:hAnsi="Times New Roman" w:eastAsia="Times New Roman" w:cs="Times New Roman"/>
          <w:b w:val="0"/>
          <w:sz w:val="20"/>
          <w:lang w:val="id-ID"/>
        </w:rPr>
        <w:t>Presisi, Recall, Skor F1 per Kelas pada 300 Lux</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Presisi dan recall pada 300 lux (Gbr. 11) saling berdekatan untuk keenam kelas. Kepalan dan telapak terbuka tertinggi karena keduanya paling berbeda dalam proyeksi 2-D. Akurasi keseluruhan:</w:t>
      </w:r>
    </w:p>
    <w:p>
      <w:pPr>
        <w:pStyle w:val="icsmheading1"/>
        <w:tabs>
          <w:tab w:pos="4818" w:val="center"/>
          <w:tab w:pos="9637" w:val="right"/>
        </w:tabs>
        <w:spacing w:before="120" w:after="120"/>
        <w:jc w:val="both"/>
        <w:rPr>
          <w:b w:val="0"/>
          <w:lang w:val="en-US"/>
        </w:rPr>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b w:val="0"/>
          <w:i w:val="0"/>
          <w:sz w:val="20"/>
          <w:lang w:val="en-US"/>
        </w:rPr>
        <w:tab/>
        <w:t>(13)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0"/>
          <w:lang w:val="en-US"/>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0"/>
          <w:lang w:val="en-US"/>
        </w:rPr>
        <w:t xml:space="preserve"> false-negative untuk kelas </w:t>
      </w:r>
      <m:oMath xmlns:mml="http://www.w3.org/1998/Math/MathML">
        <m:r>
          <m:t>k</m:t>
        </m:r>
      </m:oMath>
      <w:r>
        <w:rPr>
          <w:rFonts w:ascii="Times New Roman" w:hAnsi="Times New Roman" w:eastAsia="Times New Roman" w:cs="Times New Roman"/>
          <w:b w:val="0"/>
          <w:i w:val="0"/>
          <w:sz w:val="20"/>
          <w:lang w:val="en-US"/>
        </w:rPr>
        <w:t>. F1 makro digunakan sebagai metrik utama karena semua kelas terwakili merata. Pada 300 lux, classifier bekerja andal di bawah pencahayaan indoor standar.</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4.2 Latensi Komunikasi Modbus TCP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Thread 3 mencatat wall-clock start dan end dari setiap permintaan Modbus pada 10.000 sampel per kondisi. Beban CPU divariasikan menggunakan tugas video-encoding paralel dalam proses terpisah.</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IV.</w:t>
      </w:r>
      <w:r>
        <w:rPr>
          <w:rFonts w:ascii="Times New Roman" w:hAnsi="Times New Roman" w:eastAsia="Times New Roman" w:cs="Times New Roman"/>
          <w:b w:val="0"/>
          <w:sz w:val="20"/>
          <w:lang w:val="id-ID"/>
        </w:rPr>
        <w:t xml:space="preserve">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205"/>
        <w:gridCol w:w="1205"/>
        <w:gridCol w:w="1205"/>
        <w:gridCol w:w="1205"/>
        <w:gridCol w:w="1205"/>
        <w:gridCol w:w="1205"/>
        <w:gridCol w:w="1205"/>
        <w:gridCol w:w="1205"/>
      </w:tblGrid>
      <w:tr>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Beban CPU (%)</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Min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Median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Mean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P95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P99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Maks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Std Dev (ms)</w:t>
            </w:r>
          </w:p>
        </w:tc>
      </w:tr>
      <w:tr>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Idle (0-10%)</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1,2</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8,4</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9,1</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18,7</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27,3</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42,1</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5,8</w:t>
            </w:r>
          </w:p>
        </w:tc>
      </w:tr>
      <w:tr>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Moderat (45-55%)</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1,8</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10,2</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12,3</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24,9</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38,6</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67,4</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8,4</w:t>
            </w:r>
          </w:p>
        </w:tc>
      </w:tr>
      <w:tr>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Intensif (75-85%)</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2,1</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14,7</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17,8</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41,2</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78,9</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312,4</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19,7</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12. </w:t>
      </w:r>
      <w:r>
        <w:rPr>
          <w:rFonts w:ascii="Times New Roman" w:hAnsi="Times New Roman" w:eastAsia="Times New Roman" w:cs="Times New Roman"/>
          <w:b w:val="0"/>
          <w:sz w:val="20"/>
          <w:lang w:val="id-ID"/>
        </w:rPr>
        <w:t>Latensi Modbus TCP berdasarkan Beban CPU</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0"/>
          <w:lang w:val="en-US"/>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0"/>
          <w:lang w:val="en-US"/>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0"/>
          <w:lang w:val="en-US"/>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0"/>
          <w:lang w:val="en-US"/>
        </w:rPr>
        <w:t xml:space="preserve"> ms.</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13. </w:t>
      </w:r>
      <w:r>
        <w:rPr>
          <w:rFonts w:ascii="Times New Roman" w:hAnsi="Times New Roman" w:eastAsia="Times New Roman" w:cs="Times New Roman"/>
          <w:b w:val="0"/>
          <w:sz w:val="20"/>
          <w:lang w:val="id-ID"/>
        </w:rPr>
        <w:t>Rincian Komponen Latensi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4.3 Uji Ketahanan 24 Jam</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V.</w:t>
      </w:r>
      <w:r>
        <w:rPr>
          <w:rFonts w:ascii="Times New Roman" w:hAnsi="Times New Roman" w:eastAsia="Times New Roman" w:cs="Times New Roman"/>
          <w:b w:val="0"/>
          <w:sz w:val="20"/>
          <w:lang w:val="id-ID"/>
        </w:rPr>
        <w:t xml:space="preserve">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4818"/>
        <w:gridCol w:w="4818"/>
      </w:tblGrid>
      <w:tr>
        <w:tc>
          <w:tcPr>
            <w:tcW w:type="dxa" w:w="4818"/>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Metrik</w:t>
            </w:r>
          </w:p>
        </w:tc>
        <w:tc>
          <w:tcPr>
            <w:tcW w:type="dxa" w:w="4818"/>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Hasil</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Total Transaksi Modbus (FC1 + FC15)</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872.640</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Transaksi Berhasil</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872.000</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Tingkat Keberhasilan Tulis FC15</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99,97%</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Tingkat Keberhasilan Baca FC1</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99,92%</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MTBF (Mean Time Between Failures)</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8,2 jam</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Pertumbuhan Memori</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12,4 MB</w:t>
            </w:r>
          </w:p>
        </w:tc>
      </w:tr>
      <w:tr>
        <w:tc>
          <w:tcPr>
            <w:tcW w:type="dxa" w:w="4818"/>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Frame Rate (target 30 fps)</w:t>
            </w:r>
          </w:p>
        </w:tc>
        <w:tc>
          <w:tcPr>
            <w:tcW w:type="dxa" w:w="4818"/>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29,7 fps</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14. </w:t>
      </w:r>
      <w:r>
        <w:rPr>
          <w:rFonts w:ascii="Times New Roman" w:hAnsi="Times New Roman" w:eastAsia="Times New Roman" w:cs="Times New Roman"/>
          <w:b w:val="0"/>
          <w:sz w:val="20"/>
          <w:lang w:val="id-ID"/>
        </w:rPr>
        <w:t>Tingkat Keberhasilan Modbus 24 Jam</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Tingkat keberhasilan (Gbr. 14) bertahan di atas 99,7% untuk FC1 maupun FC15, dengan penurunan di sekitar jam ke-7, 15, dan 22. Ketiga penurunan sesuai dengan tiga kegagalan komunikasi dalam log, konsisten dengan MTBF 8,2 jam.</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5. KESIMPULAN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icsmheading1"/>
        <w:spacing w:before="0" w:after="0"/>
        <w:jc w:val="both"/>
        <w:rPr>
          <w:b w:val="0"/>
          <w:lang w:val="en-US"/>
        </w:rPr>
      </w:pPr>
      <w:r>
        <w:rPr>
          <w:rFonts w:ascii="Times New Roman" w:hAnsi="Times New Roman" w:eastAsia="Times New Roman" w:cs="Times New Roman"/>
          <w:b/>
          <w:sz w:val="20"/>
          <w:lang w:val="en-US"/>
        </w:rPr>
        <w:t>Daftar Pustaka</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 C. Lugaresi et al., "MediaPipe: A Framework for Building Perception Pipelines," preprint arXiv:1906.08172, Jun. 2019.</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[2] S. Vijayachitra, K. Prabhu, S. Agilan, M. Ahamed Salih, and S. Madhumitha, "Advanced PLC-based Automation for Converging System and Warehousing," in Proc. 5th Int. Conf. Trends Mater. Sci. Invent. Mater. (ICTMIM), 2025, pp. 1–6, doi: 10.1109/ICTMIM65579.2025.10988042.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[3] Yashika, A. Patra, and N. S. Das, "Human-Machine Interaction in Industrial Automation: Gesture-Based PLC Control," in Proc. 15th Int. Conf. Comput. Commun. Netw. Technol. (ICCCNT), 2024, pp. 1–7, doi: 10.1109/ICCCNT61001.2024.10726180.</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[4] Y. Li, J. Zhang, Y. Xiong, H. Wu, and F. Yang, "Design of Industrial Equipment Remote Control System Based on Python," in Proc. 8th Int. Conf. Electron. Technol. (ICET), 2025, pp. 1–6, doi: 10.1109/ICET64964.2025.11103226.</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[5] M. Jamage, S. Rane, J. Raktate, and N. Chavan, "Real-Time Hand Gesture Recognition Using CNN-LSTM for Gesture-to-Voice and Device Control," in Proc. 9th Int. Conf. Comput. Commun. Control Autom. (ICCUBEA), 2025, pp. 1–7, doi: 10.1109/ICCUBEA65967.2025.11284053.</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[6] C. Nikolajew and H. Eichelberger, "Industry 4.0 Connectors – A Performance Experiment with Modbus/TCP," preprint arXiv:2410.15813, Oct. 2024.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[7] E. Tapia, L. Sastoque-Pinilla, U. Lopez-Novoa, I. Bediaga, and N. López de Lacalle, "Assessing Industrial Communication Protocols to Bridge the Gap between Machine Tools and Software Monitoring," Sensors, vol. 23, no. 12, art. 5694, 2023, doi: 10.3390/s23125694.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[8] Y. K. Yep, Y. H. Goh, T. H. Chiew, K. M. Chin, J. J. Ong, and K. S. Eu, "AI-Driven Hand Gesture Recognition for Robotic Arm Control," in Proc. 5th Int. Conf. Artif. Intell. Robot. Commun. (ICAIRC), 2025, pp. 1–5, doi: 10.1109/ICAIRC68035.2025.11384947.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[9] Qurrat-ul-Ain, S. N. Talpur, N. U. Z. Laghari, and M. S. Rattar, "Machine Control Using Hand Gesture Recognition," Gyancity J. Electron. Comput. Sci., vol. 5, no. 1, pp. 19–28, Mar. 2020, doi: 10.21058/gjecs.2020.51003.</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[10] P. Nguyen Huu and T. Phung Ngoc, "Hand Gesture Recognition Algorithm Using SVM and HOG Model for Control of Robotic System," J. Robot., vol. 2021, art. 3986497, 2021, doi: 10.1155/2021/3986497.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[11] M. Shaikh, P. Shah, and R. Sekhar, "Communication Protocols in Industry 4.0," in Proc. Int. Conf. Sustain. Emerg. Innov. Eng. Technol. (ICSEIET), 2023, pp. 1–6, doi: 10.1109/ICSEIET58677.2023.10303397.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[12] M. Bensaadallah, N. Ghoggali, L. Saidi, and W. Ghoggali, "Deep Learning-Based Real-Time Hand Landmark Recognition with MediaPipe for R12 Robot Control," in Proc. Int. Conf. Elect. Eng. Adv. Technol. (ICEEAT), 2023, pp. 1–6, doi: 10.1109/ICEEAT60471.2023.10426264.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[13] M. Peral, A. Sanfeliu, and A. Garrell, "Efficient Hand Gesture Recognition for Human-Robot Interaction," IEEE Robot. Autom. Lett., vol. 7, no. 4, pp. 10272–10279, Oct. 2022, doi: 10.1109/LRA.2022.3193251.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[15] B. Kwolek, "Continuous Hand Gesture Recognition for Human-Robot Collaborative Assembly," in Proc. IEEE/CVF Int. Conf. Comput. Vis. Workshops (ICCVW), 2023, pp. 1992–1999, doi: 10.1109/ICCVW60793.2023.00214.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[16] Y. Wang, D. Peng, E. Qi, and H. Wang, "Modbus/TCP Data Acquisition System Based on Industrial Ethernet Technology," in Proc. 4th IEEE Int. Conf. Elect. Eng. Control Technol. (CEECT), 2022, pp. 1–5, doi: 10.1109/CEECT55960.2022.10030131.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[18] C. D. Sawarkar, V. Vaidya, V. Sharma, S. Sheikh, A. Neware, and P. Chaudhari, "AI Based Real Time Hand Gesture Recognition System," Int. Res. J. Modernization Eng. Technol. Sci., vol. 6, no. 1, pp. 1–8, Jan. 2024, doi: 10.56726/IRJMETS48782.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[19] R. Tchantchane, H. Zhou, S. Zhang, and G. Alici, "A Review of Hand Gesture Recognition Systems Based on Noninvasive Wearable Sensors," Adv. Intell. Syst., vol. 5, no. 2, art. 2300207, 2023, doi: 10.1002/aisy.202300207.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[20] Schneider Electric, "Modicon M221 Logic Controller – Programming Guide," Tech. Rep., ver. 1.7, 2022. [Online]. Available: https://www.schneider-electric.com</w:t>
      </w:r>
    </w:p>
    <w:sectPr w:rsidR="00520FAB" w:rsidRPr="00520FAB" w:rsidSect="00E14B60">
      <w:headerReference w:type="default" r:id="rId10"/>
      <w:footerReference w:type="default" r:id="rId11"/>
      <w:pgSz w:w="11906" w:h="16838" w:code="9"/>
      <w:pgMar w:top="1418" w:right="851" w:bottom="1418" w:left="1418"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72652" w14:textId="77777777" w:rsidR="00D456D3" w:rsidRDefault="00D456D3" w:rsidP="006B3159">
      <w:pPr>
        <w:spacing w:after="0" w:line="240" w:lineRule="auto"/>
      </w:pPr>
      <w:r>
        <w:separator/>
      </w:r>
    </w:p>
  </w:endnote>
  <w:endnote w:type="continuationSeparator" w:id="0">
    <w:p w14:paraId="5600AB97" w14:textId="77777777" w:rsidR="00D456D3" w:rsidRDefault="00D456D3" w:rsidP="006B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E73" w14:textId="77777777" w:rsidR="00E14B60" w:rsidRPr="00E14B60" w:rsidRDefault="00E14B60">
    <w:pPr>
      <w:pStyle w:val="Footer"/>
      <w:jc w:val="center"/>
      <w:rPr>
        <w:lang w:val="en-US"/>
      </w:rPr>
    </w:pPr>
    <w:r>
      <w:fldChar w:fldCharType="begin"/>
    </w:r>
    <w:r>
      <w:instrText xml:space="preserve"> PAGE   \* MERGEFORMAT </w:instrText>
    </w:r>
    <w:r>
      <w:fldChar w:fldCharType="separate"/>
    </w:r>
    <w:r w:rsidR="00983B97">
      <w:rPr>
        <w:noProof/>
      </w:rPr>
      <w:t>1</w:t>
    </w:r>
    <w:r>
      <w:rPr>
        <w:noProof/>
      </w:rPr>
      <w:fldChar w:fldCharType="end"/>
    </w:r>
    <w:r>
      <w:rPr>
        <w:noProof/>
        <w:lang w:val="en-US"/>
      </w:rPr>
      <w:t>|ROTASI</w:t>
    </w:r>
  </w:p>
  <w:p w14:paraId="489BF92E" w14:textId="77777777" w:rsidR="00E14B60" w:rsidRDefault="00E14B60" w:rsidP="00E14B60">
    <w:pPr>
      <w:pStyle w:val="Footer"/>
      <w:tabs>
        <w:tab w:val="clear" w:pos="4513"/>
        <w:tab w:val="clear" w:pos="9026"/>
        <w:tab w:val="center" w:pos="4818"/>
        <w:tab w:val="right" w:pos="963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3F30D" w14:textId="77777777" w:rsidR="00D456D3" w:rsidRDefault="00D456D3" w:rsidP="006B3159">
      <w:pPr>
        <w:spacing w:after="0" w:line="240" w:lineRule="auto"/>
      </w:pPr>
      <w:r>
        <w:separator/>
      </w:r>
    </w:p>
  </w:footnote>
  <w:footnote w:type="continuationSeparator" w:id="0">
    <w:p w14:paraId="30E6B183" w14:textId="77777777" w:rsidR="00D456D3" w:rsidRDefault="00D456D3" w:rsidP="006B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92CA" w14:textId="77777777" w:rsidR="00E14B60" w:rsidRDefault="00E14B60" w:rsidP="00E14B60">
    <w:pPr>
      <w:pStyle w:val="TopHeaderVolJTMI"/>
      <w:jc w:val="left"/>
    </w:pPr>
  </w:p>
  <w:p w14:paraId="5FA0221A" w14:textId="77777777" w:rsidR="00E14B60" w:rsidRPr="00622C7D" w:rsidRDefault="00E14B60" w:rsidP="00E14B60">
    <w:pPr>
      <w:pStyle w:val="TopHeaderVolJTMI"/>
      <w:jc w:val="left"/>
      <w:rPr>
        <w:lang w:eastAsia="ar-SA"/>
      </w:rPr>
    </w:pPr>
    <w:r>
      <w:t>Nama terakhir dari penulis pertama,</w:t>
    </w:r>
    <w:r w:rsidRPr="00422EE9">
      <w:rPr>
        <w:sz w:val="16"/>
        <w:szCs w:val="16"/>
        <w:lang w:eastAsia="ar-SA"/>
      </w:rPr>
      <w:t xml:space="preserve"> </w:t>
    </w:r>
    <w:r w:rsidRPr="00622C7D">
      <w:rPr>
        <w:lang w:eastAsia="ar-SA"/>
      </w:rPr>
      <w:t xml:space="preserve">dkk./ </w:t>
    </w:r>
    <w:r>
      <w:rPr>
        <w:lang w:eastAsia="ar-SA"/>
      </w:rPr>
      <w:t>ROTASI</w:t>
    </w:r>
    <w:r w:rsidRPr="00622C7D">
      <w:rPr>
        <w:lang w:eastAsia="ar-SA"/>
      </w:rPr>
      <w:t xml:space="preserve">, Vol. </w:t>
    </w:r>
    <w:r>
      <w:rPr>
        <w:lang w:eastAsia="ar-SA"/>
      </w:rPr>
      <w:t xml:space="preserve">xx </w:t>
    </w:r>
    <w:r w:rsidRPr="00622C7D">
      <w:rPr>
        <w:lang w:eastAsia="ar-SA"/>
      </w:rPr>
      <w:t xml:space="preserve"> No. </w:t>
    </w:r>
    <w:r>
      <w:rPr>
        <w:lang w:eastAsia="ar-SA"/>
      </w:rPr>
      <w:t xml:space="preserve">x </w:t>
    </w:r>
    <w:r w:rsidRPr="00622C7D">
      <w:rPr>
        <w:lang w:eastAsia="ar-SA"/>
      </w:rPr>
      <w:t xml:space="preserve"> (</w:t>
    </w:r>
    <w:r>
      <w:rPr>
        <w:lang w:eastAsia="ar-SA"/>
      </w:rPr>
      <w:t>Bulan  yyyy)</w:t>
    </w:r>
    <w:r w:rsidRPr="00622C7D">
      <w:rPr>
        <w:lang w:eastAsia="ar-SA"/>
      </w:rPr>
      <w:t xml:space="preserve"> </w:t>
    </w:r>
    <w:r>
      <w:rPr>
        <w:lang w:eastAsia="ar-SA"/>
      </w:rPr>
      <w:t>Hal. x-x</w:t>
    </w:r>
  </w:p>
  <w:p w14:paraId="1D492DAB" w14:textId="77777777" w:rsidR="00E14B60" w:rsidRDefault="00E14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D30"/>
    <w:multiLevelType w:val="multilevel"/>
    <w:tmpl w:val="F640B0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B831E2"/>
    <w:multiLevelType w:val="hybridMultilevel"/>
    <w:tmpl w:val="2C320350"/>
    <w:lvl w:ilvl="0" w:tplc="0CC40132">
      <w:start w:val="1"/>
      <w:numFmt w:val="lowerLetter"/>
      <w:lvlText w:val="%1."/>
      <w:lvlJc w:val="left"/>
      <w:pPr>
        <w:ind w:left="1146" w:hanging="72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E533448"/>
    <w:multiLevelType w:val="multilevel"/>
    <w:tmpl w:val="BBDA2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D66A39"/>
    <w:multiLevelType w:val="hybridMultilevel"/>
    <w:tmpl w:val="97A891D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042E1"/>
    <w:multiLevelType w:val="multilevel"/>
    <w:tmpl w:val="845C49F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260458"/>
    <w:multiLevelType w:val="hybridMultilevel"/>
    <w:tmpl w:val="FCB68B1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E07E4F"/>
    <w:multiLevelType w:val="hybridMultilevel"/>
    <w:tmpl w:val="F058F86A"/>
    <w:lvl w:ilvl="0" w:tplc="04210001">
      <w:start w:val="1"/>
      <w:numFmt w:val="bullet"/>
      <w:lvlText w:val=""/>
      <w:lvlJc w:val="left"/>
      <w:pPr>
        <w:ind w:left="1182" w:hanging="360"/>
      </w:pPr>
      <w:rPr>
        <w:rFonts w:ascii="Symbol" w:hAnsi="Symbol" w:hint="default"/>
      </w:rPr>
    </w:lvl>
    <w:lvl w:ilvl="1" w:tplc="04210003" w:tentative="1">
      <w:start w:val="1"/>
      <w:numFmt w:val="bullet"/>
      <w:lvlText w:val="o"/>
      <w:lvlJc w:val="left"/>
      <w:pPr>
        <w:ind w:left="1902" w:hanging="360"/>
      </w:pPr>
      <w:rPr>
        <w:rFonts w:ascii="Courier New" w:hAnsi="Courier New" w:cs="Courier New" w:hint="default"/>
      </w:rPr>
    </w:lvl>
    <w:lvl w:ilvl="2" w:tplc="04210005" w:tentative="1">
      <w:start w:val="1"/>
      <w:numFmt w:val="bullet"/>
      <w:lvlText w:val=""/>
      <w:lvlJc w:val="left"/>
      <w:pPr>
        <w:ind w:left="2622" w:hanging="360"/>
      </w:pPr>
      <w:rPr>
        <w:rFonts w:ascii="Wingdings" w:hAnsi="Wingdings" w:hint="default"/>
      </w:rPr>
    </w:lvl>
    <w:lvl w:ilvl="3" w:tplc="04210001" w:tentative="1">
      <w:start w:val="1"/>
      <w:numFmt w:val="bullet"/>
      <w:lvlText w:val=""/>
      <w:lvlJc w:val="left"/>
      <w:pPr>
        <w:ind w:left="3342" w:hanging="360"/>
      </w:pPr>
      <w:rPr>
        <w:rFonts w:ascii="Symbol" w:hAnsi="Symbol" w:hint="default"/>
      </w:rPr>
    </w:lvl>
    <w:lvl w:ilvl="4" w:tplc="04210003" w:tentative="1">
      <w:start w:val="1"/>
      <w:numFmt w:val="bullet"/>
      <w:lvlText w:val="o"/>
      <w:lvlJc w:val="left"/>
      <w:pPr>
        <w:ind w:left="4062" w:hanging="360"/>
      </w:pPr>
      <w:rPr>
        <w:rFonts w:ascii="Courier New" w:hAnsi="Courier New" w:cs="Courier New" w:hint="default"/>
      </w:rPr>
    </w:lvl>
    <w:lvl w:ilvl="5" w:tplc="04210005" w:tentative="1">
      <w:start w:val="1"/>
      <w:numFmt w:val="bullet"/>
      <w:lvlText w:val=""/>
      <w:lvlJc w:val="left"/>
      <w:pPr>
        <w:ind w:left="4782" w:hanging="360"/>
      </w:pPr>
      <w:rPr>
        <w:rFonts w:ascii="Wingdings" w:hAnsi="Wingdings" w:hint="default"/>
      </w:rPr>
    </w:lvl>
    <w:lvl w:ilvl="6" w:tplc="04210001" w:tentative="1">
      <w:start w:val="1"/>
      <w:numFmt w:val="bullet"/>
      <w:lvlText w:val=""/>
      <w:lvlJc w:val="left"/>
      <w:pPr>
        <w:ind w:left="5502" w:hanging="360"/>
      </w:pPr>
      <w:rPr>
        <w:rFonts w:ascii="Symbol" w:hAnsi="Symbol" w:hint="default"/>
      </w:rPr>
    </w:lvl>
    <w:lvl w:ilvl="7" w:tplc="04210003" w:tentative="1">
      <w:start w:val="1"/>
      <w:numFmt w:val="bullet"/>
      <w:lvlText w:val="o"/>
      <w:lvlJc w:val="left"/>
      <w:pPr>
        <w:ind w:left="6222" w:hanging="360"/>
      </w:pPr>
      <w:rPr>
        <w:rFonts w:ascii="Courier New" w:hAnsi="Courier New" w:cs="Courier New" w:hint="default"/>
      </w:rPr>
    </w:lvl>
    <w:lvl w:ilvl="8" w:tplc="04210005" w:tentative="1">
      <w:start w:val="1"/>
      <w:numFmt w:val="bullet"/>
      <w:lvlText w:val=""/>
      <w:lvlJc w:val="left"/>
      <w:pPr>
        <w:ind w:left="6942" w:hanging="360"/>
      </w:pPr>
      <w:rPr>
        <w:rFonts w:ascii="Wingdings" w:hAnsi="Wingdings" w:hint="default"/>
      </w:rPr>
    </w:lvl>
  </w:abstractNum>
  <w:abstractNum w:abstractNumId="7" w15:restartNumberingAfterBreak="0">
    <w:nsid w:val="2E121BAB"/>
    <w:multiLevelType w:val="hybridMultilevel"/>
    <w:tmpl w:val="6C300B3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77F55754"/>
    <w:multiLevelType w:val="hybridMultilevel"/>
    <w:tmpl w:val="F0B86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8647935">
    <w:abstractNumId w:val="4"/>
  </w:num>
  <w:num w:numId="2" w16cid:durableId="1045715275">
    <w:abstractNumId w:val="7"/>
  </w:num>
  <w:num w:numId="3" w16cid:durableId="1801143917">
    <w:abstractNumId w:val="1"/>
  </w:num>
  <w:num w:numId="4" w16cid:durableId="78448486">
    <w:abstractNumId w:val="6"/>
  </w:num>
  <w:num w:numId="5" w16cid:durableId="2044861218">
    <w:abstractNumId w:val="0"/>
  </w:num>
  <w:num w:numId="6" w16cid:durableId="727611604">
    <w:abstractNumId w:val="5"/>
  </w:num>
  <w:num w:numId="7" w16cid:durableId="685447588">
    <w:abstractNumId w:val="3"/>
  </w:num>
  <w:num w:numId="8" w16cid:durableId="1788087055">
    <w:abstractNumId w:val="8"/>
  </w:num>
  <w:num w:numId="9" w16cid:durableId="1950819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59"/>
    <w:rsid w:val="0000322F"/>
    <w:rsid w:val="00013023"/>
    <w:rsid w:val="00013E48"/>
    <w:rsid w:val="000474CE"/>
    <w:rsid w:val="00054159"/>
    <w:rsid w:val="000664F1"/>
    <w:rsid w:val="00073433"/>
    <w:rsid w:val="00073EF7"/>
    <w:rsid w:val="000C711A"/>
    <w:rsid w:val="000D4158"/>
    <w:rsid w:val="00116624"/>
    <w:rsid w:val="001500CA"/>
    <w:rsid w:val="001515F8"/>
    <w:rsid w:val="0023748B"/>
    <w:rsid w:val="002377C6"/>
    <w:rsid w:val="00250906"/>
    <w:rsid w:val="0026764B"/>
    <w:rsid w:val="002B20A1"/>
    <w:rsid w:val="002C0411"/>
    <w:rsid w:val="002E6C44"/>
    <w:rsid w:val="00307410"/>
    <w:rsid w:val="003154C6"/>
    <w:rsid w:val="003345CB"/>
    <w:rsid w:val="0033549D"/>
    <w:rsid w:val="00335F60"/>
    <w:rsid w:val="0034061F"/>
    <w:rsid w:val="00343EB0"/>
    <w:rsid w:val="0037410A"/>
    <w:rsid w:val="00376DFB"/>
    <w:rsid w:val="003A30C3"/>
    <w:rsid w:val="003B67B2"/>
    <w:rsid w:val="003E0D8B"/>
    <w:rsid w:val="003E3682"/>
    <w:rsid w:val="003F3289"/>
    <w:rsid w:val="003F3F1F"/>
    <w:rsid w:val="00406222"/>
    <w:rsid w:val="0041194C"/>
    <w:rsid w:val="00414114"/>
    <w:rsid w:val="00454B1B"/>
    <w:rsid w:val="0049317A"/>
    <w:rsid w:val="004B68B8"/>
    <w:rsid w:val="004E0DCF"/>
    <w:rsid w:val="0052004A"/>
    <w:rsid w:val="00520FAB"/>
    <w:rsid w:val="0053015F"/>
    <w:rsid w:val="00557544"/>
    <w:rsid w:val="005D59EA"/>
    <w:rsid w:val="005E5B0C"/>
    <w:rsid w:val="00641A71"/>
    <w:rsid w:val="0065118E"/>
    <w:rsid w:val="00672CE6"/>
    <w:rsid w:val="006B3159"/>
    <w:rsid w:val="006B34C7"/>
    <w:rsid w:val="006E65DA"/>
    <w:rsid w:val="00703EFA"/>
    <w:rsid w:val="00736DCF"/>
    <w:rsid w:val="00764805"/>
    <w:rsid w:val="007A5243"/>
    <w:rsid w:val="007D585A"/>
    <w:rsid w:val="007E5FD5"/>
    <w:rsid w:val="007F1F6E"/>
    <w:rsid w:val="0081268F"/>
    <w:rsid w:val="00823557"/>
    <w:rsid w:val="00837B9D"/>
    <w:rsid w:val="008500EE"/>
    <w:rsid w:val="0085459F"/>
    <w:rsid w:val="00865C2B"/>
    <w:rsid w:val="008964B3"/>
    <w:rsid w:val="008C05E9"/>
    <w:rsid w:val="008C5DB4"/>
    <w:rsid w:val="008D13E5"/>
    <w:rsid w:val="008D193E"/>
    <w:rsid w:val="008E2ECC"/>
    <w:rsid w:val="00901221"/>
    <w:rsid w:val="009312A3"/>
    <w:rsid w:val="009403CF"/>
    <w:rsid w:val="00941D7B"/>
    <w:rsid w:val="00956D62"/>
    <w:rsid w:val="00962534"/>
    <w:rsid w:val="00983615"/>
    <w:rsid w:val="00983B97"/>
    <w:rsid w:val="009C4473"/>
    <w:rsid w:val="009C4CE6"/>
    <w:rsid w:val="009F120F"/>
    <w:rsid w:val="009F3952"/>
    <w:rsid w:val="00A007C2"/>
    <w:rsid w:val="00A03A60"/>
    <w:rsid w:val="00A1412A"/>
    <w:rsid w:val="00A460DE"/>
    <w:rsid w:val="00A97D9B"/>
    <w:rsid w:val="00AA49E1"/>
    <w:rsid w:val="00AC323E"/>
    <w:rsid w:val="00AC4587"/>
    <w:rsid w:val="00AC5AE5"/>
    <w:rsid w:val="00AD23B8"/>
    <w:rsid w:val="00AE1EE1"/>
    <w:rsid w:val="00B10B6E"/>
    <w:rsid w:val="00B15E4A"/>
    <w:rsid w:val="00B83201"/>
    <w:rsid w:val="00B8716C"/>
    <w:rsid w:val="00BC6138"/>
    <w:rsid w:val="00BE618C"/>
    <w:rsid w:val="00C70588"/>
    <w:rsid w:val="00C76AD6"/>
    <w:rsid w:val="00C860E0"/>
    <w:rsid w:val="00CA1B34"/>
    <w:rsid w:val="00CA7C9E"/>
    <w:rsid w:val="00D05A3F"/>
    <w:rsid w:val="00D41EAA"/>
    <w:rsid w:val="00D456D3"/>
    <w:rsid w:val="00D66B16"/>
    <w:rsid w:val="00D7651D"/>
    <w:rsid w:val="00D84628"/>
    <w:rsid w:val="00D87B26"/>
    <w:rsid w:val="00DA4EAC"/>
    <w:rsid w:val="00DF7A99"/>
    <w:rsid w:val="00E14B60"/>
    <w:rsid w:val="00E31D1E"/>
    <w:rsid w:val="00E74928"/>
    <w:rsid w:val="00E8082B"/>
    <w:rsid w:val="00E94A25"/>
    <w:rsid w:val="00E97935"/>
    <w:rsid w:val="00EC4851"/>
    <w:rsid w:val="00F5518A"/>
    <w:rsid w:val="00F6109F"/>
    <w:rsid w:val="00F74485"/>
    <w:rsid w:val="00F80110"/>
    <w:rsid w:val="00FA0404"/>
    <w:rsid w:val="00FA283F"/>
    <w:rsid w:val="00FB46B2"/>
    <w:rsid w:val="00FB6050"/>
    <w:rsid w:val="00FD537B"/>
    <w:rsid w:val="00FE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827A"/>
  <w15:chartTrackingRefBased/>
  <w15:docId w15:val="{F98E281C-4A9B-4B23-9507-3015E523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1D"/>
    <w:pPr>
      <w:spacing w:after="200" w:line="276" w:lineRule="auto"/>
    </w:pPr>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159"/>
  </w:style>
  <w:style w:type="paragraph" w:styleId="Footer">
    <w:name w:val="footer"/>
    <w:basedOn w:val="Normal"/>
    <w:link w:val="FooterChar"/>
    <w:uiPriority w:val="99"/>
    <w:unhideWhenUsed/>
    <w:rsid w:val="006B31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159"/>
  </w:style>
  <w:style w:type="paragraph" w:styleId="BalloonText">
    <w:name w:val="Balloon Text"/>
    <w:basedOn w:val="Normal"/>
    <w:link w:val="BalloonTextChar"/>
    <w:uiPriority w:val="99"/>
    <w:semiHidden/>
    <w:unhideWhenUsed/>
    <w:rsid w:val="006B315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B3159"/>
    <w:rPr>
      <w:rFonts w:ascii="Tahoma" w:hAnsi="Tahoma" w:cs="Tahoma"/>
      <w:sz w:val="16"/>
      <w:szCs w:val="16"/>
    </w:rPr>
  </w:style>
  <w:style w:type="table" w:styleId="TableGrid">
    <w:name w:val="Table Grid"/>
    <w:basedOn w:val="TableNormal"/>
    <w:uiPriority w:val="59"/>
    <w:rsid w:val="00D76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title">
    <w:name w:val="icsm_title"/>
    <w:basedOn w:val="Normal"/>
    <w:rsid w:val="00D7651D"/>
    <w:pPr>
      <w:spacing w:before="2160" w:after="240" w:line="240" w:lineRule="auto"/>
      <w:jc w:val="center"/>
    </w:pPr>
    <w:rPr>
      <w:rFonts w:ascii="Times New Roman" w:eastAsia="Times New Roman" w:hAnsi="Times New Roman"/>
      <w:sz w:val="34"/>
      <w:szCs w:val="20"/>
      <w:lang w:val="en-GB"/>
    </w:rPr>
  </w:style>
  <w:style w:type="paragraph" w:styleId="FootnoteText">
    <w:name w:val="footnote text"/>
    <w:basedOn w:val="Normal"/>
    <w:link w:val="FootnoteTextChar"/>
    <w:semiHidden/>
    <w:rsid w:val="00D7651D"/>
    <w:pPr>
      <w:spacing w:after="0" w:line="240" w:lineRule="auto"/>
    </w:pPr>
    <w:rPr>
      <w:rFonts w:ascii="Times New Roman" w:eastAsia="Times New Roman" w:hAnsi="Times New Roman"/>
      <w:sz w:val="20"/>
      <w:szCs w:val="20"/>
      <w:lang w:val="en-GB" w:eastAsia="x-none"/>
    </w:rPr>
  </w:style>
  <w:style w:type="character" w:customStyle="1" w:styleId="FootnoteTextChar">
    <w:name w:val="Footnote Text Char"/>
    <w:link w:val="FootnoteText"/>
    <w:semiHidden/>
    <w:rsid w:val="00D7651D"/>
    <w:rPr>
      <w:rFonts w:ascii="Times New Roman" w:eastAsia="Times New Roman" w:hAnsi="Times New Roman" w:cs="Times New Roman"/>
      <w:sz w:val="20"/>
      <w:szCs w:val="20"/>
      <w:lang w:val="en-GB"/>
    </w:rPr>
  </w:style>
  <w:style w:type="character" w:styleId="FootnoteReference">
    <w:name w:val="footnote reference"/>
    <w:semiHidden/>
    <w:rsid w:val="00D7651D"/>
    <w:rPr>
      <w:vertAlign w:val="superscript"/>
    </w:rPr>
  </w:style>
  <w:style w:type="paragraph" w:customStyle="1" w:styleId="icsmauthors">
    <w:name w:val="icsm_authors"/>
    <w:basedOn w:val="Normal"/>
    <w:rsid w:val="00D7651D"/>
    <w:pPr>
      <w:spacing w:after="160" w:line="240" w:lineRule="auto"/>
      <w:jc w:val="center"/>
    </w:pPr>
    <w:rPr>
      <w:rFonts w:ascii="Times New Roman" w:eastAsia="Times New Roman" w:hAnsi="Times New Roman"/>
      <w:sz w:val="26"/>
      <w:szCs w:val="20"/>
      <w:lang w:val="en-GB"/>
    </w:rPr>
  </w:style>
  <w:style w:type="paragraph" w:customStyle="1" w:styleId="icsmaddresses">
    <w:name w:val="icsm_addresses"/>
    <w:basedOn w:val="Normal"/>
    <w:rsid w:val="00D7651D"/>
    <w:pPr>
      <w:spacing w:after="120" w:line="240" w:lineRule="auto"/>
      <w:jc w:val="center"/>
    </w:pPr>
    <w:rPr>
      <w:rFonts w:ascii="Times New Roman" w:eastAsia="Times New Roman" w:hAnsi="Times New Roman"/>
      <w:i/>
      <w:sz w:val="16"/>
      <w:szCs w:val="20"/>
      <w:lang w:val="en-GB"/>
    </w:rPr>
  </w:style>
  <w:style w:type="paragraph" w:customStyle="1" w:styleId="icsmbodytext">
    <w:name w:val="icsm_bodytext"/>
    <w:basedOn w:val="Normal"/>
    <w:rsid w:val="00D7651D"/>
    <w:pPr>
      <w:spacing w:after="0" w:line="240" w:lineRule="auto"/>
      <w:ind w:firstLine="240"/>
      <w:jc w:val="both"/>
    </w:pPr>
    <w:rPr>
      <w:rFonts w:ascii="Times New Roman" w:eastAsia="Times New Roman" w:hAnsi="Times New Roman"/>
      <w:sz w:val="20"/>
      <w:szCs w:val="20"/>
      <w:lang w:val="en-GB"/>
    </w:rPr>
  </w:style>
  <w:style w:type="paragraph" w:customStyle="1" w:styleId="icsmheading1">
    <w:name w:val="icsm_heading1"/>
    <w:basedOn w:val="Normal"/>
    <w:rsid w:val="00D7651D"/>
    <w:pPr>
      <w:spacing w:before="480" w:after="240" w:line="240" w:lineRule="auto"/>
    </w:pPr>
    <w:rPr>
      <w:rFonts w:ascii="Times New Roman" w:eastAsia="Times New Roman" w:hAnsi="Times New Roman"/>
      <w:b/>
      <w:sz w:val="20"/>
      <w:szCs w:val="20"/>
      <w:lang w:val="en-GB"/>
    </w:rPr>
  </w:style>
  <w:style w:type="paragraph" w:styleId="ListParagraph">
    <w:name w:val="List Paragraph"/>
    <w:basedOn w:val="Normal"/>
    <w:uiPriority w:val="34"/>
    <w:qFormat/>
    <w:rsid w:val="0041194C"/>
    <w:pPr>
      <w:ind w:left="720"/>
      <w:contextualSpacing/>
    </w:pPr>
    <w:rPr>
      <w:lang w:val="en-US"/>
    </w:rPr>
  </w:style>
  <w:style w:type="character" w:styleId="Hyperlink">
    <w:name w:val="Hyperlink"/>
    <w:uiPriority w:val="99"/>
    <w:unhideWhenUsed/>
    <w:rsid w:val="00343EB0"/>
    <w:rPr>
      <w:color w:val="0000FF"/>
      <w:u w:val="single"/>
    </w:rPr>
  </w:style>
  <w:style w:type="character" w:styleId="Strong">
    <w:name w:val="Strong"/>
    <w:uiPriority w:val="22"/>
    <w:qFormat/>
    <w:rsid w:val="00DF7A99"/>
    <w:rPr>
      <w:b/>
      <w:bCs/>
    </w:rPr>
  </w:style>
  <w:style w:type="character" w:customStyle="1" w:styleId="longtext">
    <w:name w:val="long_text"/>
    <w:rsid w:val="00E14B60"/>
  </w:style>
  <w:style w:type="paragraph" w:customStyle="1" w:styleId="TopHeaderVolJTMI">
    <w:name w:val="Top Header Vol JTMI"/>
    <w:basedOn w:val="Normal"/>
    <w:link w:val="TopHeaderVolJTMIChar"/>
    <w:qFormat/>
    <w:rsid w:val="00E14B60"/>
    <w:pPr>
      <w:tabs>
        <w:tab w:val="center" w:pos="4320"/>
        <w:tab w:val="right" w:pos="8640"/>
      </w:tabs>
      <w:suppressAutoHyphens/>
      <w:spacing w:after="0" w:line="240" w:lineRule="auto"/>
      <w:jc w:val="center"/>
    </w:pPr>
    <w:rPr>
      <w:rFonts w:ascii="Times New Roman" w:hAnsi="Times New Roman"/>
      <w:bCs/>
      <w:i/>
      <w:iCs/>
      <w:sz w:val="18"/>
      <w:szCs w:val="18"/>
      <w:lang w:val="en-US"/>
    </w:rPr>
  </w:style>
  <w:style w:type="character" w:customStyle="1" w:styleId="TopHeaderVolJTMIChar">
    <w:name w:val="Top Header Vol JTMI Char"/>
    <w:link w:val="TopHeaderVolJTMI"/>
    <w:rsid w:val="00E14B60"/>
    <w:rPr>
      <w:rFonts w:ascii="Times New Roman" w:hAnsi="Times New Roman"/>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5274">
      <w:bodyDiv w:val="1"/>
      <w:marLeft w:val="0"/>
      <w:marRight w:val="0"/>
      <w:marTop w:val="0"/>
      <w:marBottom w:val="0"/>
      <w:divBdr>
        <w:top w:val="none" w:sz="0" w:space="0" w:color="auto"/>
        <w:left w:val="none" w:sz="0" w:space="0" w:color="auto"/>
        <w:bottom w:val="none" w:sz="0" w:space="0" w:color="auto"/>
        <w:right w:val="none" w:sz="0" w:space="0" w:color="auto"/>
      </w:divBdr>
      <w:divsChild>
        <w:div w:id="325129795">
          <w:marLeft w:val="0"/>
          <w:marRight w:val="0"/>
          <w:marTop w:val="0"/>
          <w:marBottom w:val="0"/>
          <w:divBdr>
            <w:top w:val="none" w:sz="0" w:space="0" w:color="auto"/>
            <w:left w:val="none" w:sz="0" w:space="0" w:color="auto"/>
            <w:bottom w:val="none" w:sz="0" w:space="0" w:color="auto"/>
            <w:right w:val="none" w:sz="0" w:space="0" w:color="auto"/>
          </w:divBdr>
          <w:divsChild>
            <w:div w:id="9667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F:\pra%20sidang%201110\Grafik\grafik%20nilai%20kekerasan%20rata2%20AlCu%20FA%20%20thdp%20fraksi%20massa%20FA.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34"/>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832871081543894"/>
          <c:y val="0.15802767756016167"/>
          <c:w val="0.64082074661207356"/>
          <c:h val="0.587297370216881"/>
        </c:manualLayout>
      </c:layout>
      <c:lineChart>
        <c:grouping val="standard"/>
        <c:varyColors val="1"/>
        <c:ser>
          <c:idx val="0"/>
          <c:order val="0"/>
          <c:tx>
            <c:strRef>
              <c:f>'nilai kekerasan thd jarak pengu'!$O$21</c:f>
              <c:strCache>
                <c:ptCount val="1"/>
                <c:pt idx="0">
                  <c:v>Atas</c:v>
                </c:pt>
              </c:strCache>
            </c:strRef>
          </c:tx>
          <c:cat>
            <c:strRef>
              <c:f>'nilai kekerasan thd jarak pengu'!$N$22:$N$24</c:f>
              <c:strCache>
                <c:ptCount val="3"/>
                <c:pt idx="0">
                  <c:v>FA 5%</c:v>
                </c:pt>
                <c:pt idx="1">
                  <c:v>FA 10%</c:v>
                </c:pt>
                <c:pt idx="2">
                  <c:v>FA 15%</c:v>
                </c:pt>
              </c:strCache>
            </c:strRef>
          </c:cat>
          <c:val>
            <c:numRef>
              <c:f>'nilai kekerasan thd jarak pengu'!$O$22:$O$24</c:f>
              <c:numCache>
                <c:formatCode>General</c:formatCode>
                <c:ptCount val="3"/>
                <c:pt idx="0">
                  <c:v>11.143000000000001</c:v>
                </c:pt>
                <c:pt idx="1">
                  <c:v>10.786</c:v>
                </c:pt>
                <c:pt idx="2">
                  <c:v>14.143000000000001</c:v>
                </c:pt>
              </c:numCache>
            </c:numRef>
          </c:val>
          <c:smooth val="1"/>
          <c:extLst>
            <c:ext xmlns:c16="http://schemas.microsoft.com/office/drawing/2014/chart" uri="{C3380CC4-5D6E-409C-BE32-E72D297353CC}">
              <c16:uniqueId val="{00000000-F5EE-4B6F-ACE1-214B158C8DEA}"/>
            </c:ext>
          </c:extLst>
        </c:ser>
        <c:ser>
          <c:idx val="1"/>
          <c:order val="1"/>
          <c:tx>
            <c:strRef>
              <c:f>'nilai kekerasan thd jarak pengu'!$P$21</c:f>
              <c:strCache>
                <c:ptCount val="1"/>
                <c:pt idx="0">
                  <c:v>Tengah</c:v>
                </c:pt>
              </c:strCache>
            </c:strRef>
          </c:tx>
          <c:cat>
            <c:strRef>
              <c:f>'nilai kekerasan thd jarak pengu'!$N$22:$N$24</c:f>
              <c:strCache>
                <c:ptCount val="3"/>
                <c:pt idx="0">
                  <c:v>FA 5%</c:v>
                </c:pt>
                <c:pt idx="1">
                  <c:v>FA 10%</c:v>
                </c:pt>
                <c:pt idx="2">
                  <c:v>FA 15%</c:v>
                </c:pt>
              </c:strCache>
            </c:strRef>
          </c:cat>
          <c:val>
            <c:numRef>
              <c:f>'nilai kekerasan thd jarak pengu'!$P$22:$P$24</c:f>
              <c:numCache>
                <c:formatCode>General</c:formatCode>
                <c:ptCount val="3"/>
                <c:pt idx="0">
                  <c:v>26.143000000000001</c:v>
                </c:pt>
                <c:pt idx="1">
                  <c:v>15.429</c:v>
                </c:pt>
                <c:pt idx="2">
                  <c:v>21.641999999999999</c:v>
                </c:pt>
              </c:numCache>
            </c:numRef>
          </c:val>
          <c:smooth val="1"/>
          <c:extLst>
            <c:ext xmlns:c16="http://schemas.microsoft.com/office/drawing/2014/chart" uri="{C3380CC4-5D6E-409C-BE32-E72D297353CC}">
              <c16:uniqueId val="{00000001-F5EE-4B6F-ACE1-214B158C8DEA}"/>
            </c:ext>
          </c:extLst>
        </c:ser>
        <c:ser>
          <c:idx val="2"/>
          <c:order val="2"/>
          <c:tx>
            <c:strRef>
              <c:f>'nilai kekerasan thd jarak pengu'!$Q$21</c:f>
              <c:strCache>
                <c:ptCount val="1"/>
                <c:pt idx="0">
                  <c:v>Bawah</c:v>
                </c:pt>
              </c:strCache>
            </c:strRef>
          </c:tx>
          <c:cat>
            <c:strRef>
              <c:f>'nilai kekerasan thd jarak pengu'!$N$22:$N$24</c:f>
              <c:strCache>
                <c:ptCount val="3"/>
                <c:pt idx="0">
                  <c:v>FA 5%</c:v>
                </c:pt>
                <c:pt idx="1">
                  <c:v>FA 10%</c:v>
                </c:pt>
                <c:pt idx="2">
                  <c:v>FA 15%</c:v>
                </c:pt>
              </c:strCache>
            </c:strRef>
          </c:cat>
          <c:val>
            <c:numRef>
              <c:f>'nilai kekerasan thd jarak pengu'!$Q$22:$Q$24</c:f>
              <c:numCache>
                <c:formatCode>General</c:formatCode>
                <c:ptCount val="3"/>
                <c:pt idx="0">
                  <c:v>33.714000000000006</c:v>
                </c:pt>
                <c:pt idx="1">
                  <c:v>36.071000000000005</c:v>
                </c:pt>
                <c:pt idx="2">
                  <c:v>32.714000000000006</c:v>
                </c:pt>
              </c:numCache>
            </c:numRef>
          </c:val>
          <c:smooth val="1"/>
          <c:extLst>
            <c:ext xmlns:c16="http://schemas.microsoft.com/office/drawing/2014/chart" uri="{C3380CC4-5D6E-409C-BE32-E72D297353CC}">
              <c16:uniqueId val="{00000002-F5EE-4B6F-ACE1-214B158C8DEA}"/>
            </c:ext>
          </c:extLst>
        </c:ser>
        <c:dLbls>
          <c:showLegendKey val="0"/>
          <c:showVal val="0"/>
          <c:showCatName val="0"/>
          <c:showSerName val="0"/>
          <c:showPercent val="0"/>
          <c:showBubbleSize val="0"/>
        </c:dLbls>
        <c:marker val="1"/>
        <c:smooth val="0"/>
        <c:axId val="130433024"/>
        <c:axId val="130434560"/>
      </c:lineChart>
      <c:catAx>
        <c:axId val="130433024"/>
        <c:scaling>
          <c:orientation val="minMax"/>
        </c:scaling>
        <c:delete val="1"/>
        <c:axPos val="b"/>
        <c:numFmt formatCode="General" sourceLinked="1"/>
        <c:majorTickMark val="none"/>
        <c:minorTickMark val="cross"/>
        <c:tickLblPos val="nextTo"/>
        <c:crossAx val="130434560"/>
        <c:crosses val="autoZero"/>
        <c:auto val="1"/>
        <c:lblAlgn val="ctr"/>
        <c:lblOffset val="100"/>
        <c:noMultiLvlLbl val="1"/>
      </c:catAx>
      <c:valAx>
        <c:axId val="130434560"/>
        <c:scaling>
          <c:orientation val="minMax"/>
        </c:scaling>
        <c:delete val="1"/>
        <c:axPos val="l"/>
        <c:majorGridlines/>
        <c:title>
          <c:tx>
            <c:rich>
              <a:bodyPr/>
              <a:lstStyle/>
              <a:p>
                <a:pPr>
                  <a:defRPr lang="en-US"/>
                </a:pPr>
                <a:r>
                  <a:rPr lang="en-US" sz="900" baseline="0"/>
                  <a:t>Nilai Kekerasan (HRB)</a:t>
                </a:r>
              </a:p>
            </c:rich>
          </c:tx>
          <c:overlay val="1"/>
        </c:title>
        <c:numFmt formatCode="General" sourceLinked="1"/>
        <c:majorTickMark val="none"/>
        <c:minorTickMark val="cross"/>
        <c:tickLblPos val="nextTo"/>
        <c:crossAx val="130433024"/>
        <c:crosses val="autoZero"/>
        <c:crossBetween val="between"/>
      </c:valAx>
    </c:plotArea>
    <c:legend>
      <c:legendPos val="r"/>
      <c:layout>
        <c:manualLayout>
          <c:xMode val="edge"/>
          <c:yMode val="edge"/>
          <c:x val="0.73851007649901013"/>
          <c:y val="0.37444492337165147"/>
          <c:w val="0.26148990550493301"/>
          <c:h val="0.25111019910688381"/>
        </c:manualLayout>
      </c:layout>
      <c:overlay val="1"/>
      <c:txPr>
        <a:bodyPr/>
        <a:lstStyle/>
        <a:p>
          <a:pPr>
            <a:defRPr lang="id-ID" sz="800"/>
          </a:pPr>
          <a:endParaRPr lang="en-US"/>
        </a:p>
      </c:txPr>
    </c:legend>
    <c:plotVisOnly val="1"/>
    <c:dispBlanksAs val="gap"/>
    <c:showDLblsOverMax val="1"/>
  </c:chart>
  <c:spPr>
    <a:ln>
      <a:solidFill>
        <a:schemeClr val="bg1"/>
      </a:solidFill>
    </a:ln>
  </c:spPr>
  <c:externalData r:id="rId2">
    <c:autoUpdate val="1"/>
  </c:externalData>
  <c:userShapes r:id="rId3"/>
</c:chartSpace>
</file>

<file path=word/drawings/drawing1.xml><?xml version="1.0" encoding="utf-8"?>
<c:userShapes xmlns:c="http://schemas.openxmlformats.org/drawingml/2006/chart">
  <cdr:relSizeAnchor xmlns:cdr="http://schemas.openxmlformats.org/drawingml/2006/chartDrawing">
    <cdr:from>
      <cdr:x>0.33387</cdr:x>
      <cdr:y>0.89371</cdr:y>
    </cdr:from>
    <cdr:to>
      <cdr:x>0.61782</cdr:x>
      <cdr:y>0.94611</cdr:y>
    </cdr:to>
    <cdr:sp macro="" textlink="">
      <cdr:nvSpPr>
        <cdr:cNvPr id="2" name="TextBox 5"/>
        <cdr:cNvSpPr txBox="1"/>
      </cdr:nvSpPr>
      <cdr:spPr>
        <a:xfrm xmlns:a="http://schemas.openxmlformats.org/drawingml/2006/main">
          <a:off x="1057713" y="1866064"/>
          <a:ext cx="899558" cy="109411"/>
        </a:xfrm>
        <a:prstGeom xmlns:a="http://schemas.openxmlformats.org/drawingml/2006/main" prst="rect">
          <a:avLst/>
        </a:prstGeom>
        <a:solidFill xmlns:a="http://schemas.openxmlformats.org/drawingml/2006/main">
          <a:sysClr val="window" lastClr="FFFFFF"/>
        </a:solidFill>
        <a:ln xmlns:a="http://schemas.openxmlformats.org/drawingml/2006/main" w="9525" cmpd="sng">
          <a:noFill/>
        </a:ln>
        <a:effectLst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ysClr val="windowText" lastClr="000000"/>
              </a:solidFill>
              <a:latin typeface="Calibri"/>
            </a:defRPr>
          </a:lvl1pPr>
          <a:lvl2pPr marL="457200" indent="0">
            <a:defRPr sz="1100">
              <a:solidFill>
                <a:sysClr val="windowText" lastClr="000000"/>
              </a:solidFill>
              <a:latin typeface="Calibri"/>
            </a:defRPr>
          </a:lvl2pPr>
          <a:lvl3pPr marL="914400" indent="0">
            <a:defRPr sz="1100">
              <a:solidFill>
                <a:sysClr val="windowText" lastClr="000000"/>
              </a:solidFill>
              <a:latin typeface="Calibri"/>
            </a:defRPr>
          </a:lvl3pPr>
          <a:lvl4pPr marL="1371600" indent="0">
            <a:defRPr sz="1100">
              <a:solidFill>
                <a:sysClr val="windowText" lastClr="000000"/>
              </a:solidFill>
              <a:latin typeface="Calibri"/>
            </a:defRPr>
          </a:lvl4pPr>
          <a:lvl5pPr marL="1828800" indent="0">
            <a:defRPr sz="1100">
              <a:solidFill>
                <a:sysClr val="windowText" lastClr="000000"/>
              </a:solidFill>
              <a:latin typeface="Calibri"/>
            </a:defRPr>
          </a:lvl5pPr>
          <a:lvl6pPr marL="2286000" indent="0">
            <a:defRPr sz="1100">
              <a:solidFill>
                <a:sysClr val="windowText" lastClr="000000"/>
              </a:solidFill>
              <a:latin typeface="Calibri"/>
            </a:defRPr>
          </a:lvl6pPr>
          <a:lvl7pPr marL="2743200" indent="0">
            <a:defRPr sz="1100">
              <a:solidFill>
                <a:sysClr val="windowText" lastClr="000000"/>
              </a:solidFill>
              <a:latin typeface="Calibri"/>
            </a:defRPr>
          </a:lvl7pPr>
          <a:lvl8pPr marL="3200400" indent="0">
            <a:defRPr sz="1100">
              <a:solidFill>
                <a:sysClr val="windowText" lastClr="000000"/>
              </a:solidFill>
              <a:latin typeface="Calibri"/>
            </a:defRPr>
          </a:lvl8pPr>
          <a:lvl9pPr marL="3657600" indent="0">
            <a:defRPr sz="1100">
              <a:solidFill>
                <a:sysClr val="windowText" lastClr="000000"/>
              </a:solidFill>
              <a:latin typeface="Calibri"/>
            </a:defRPr>
          </a:lvl9pPr>
        </a:lstStyle>
        <a:p xmlns:a="http://schemas.openxmlformats.org/drawingml/2006/main">
          <a:pPr algn="ctr"/>
          <a:r>
            <a:rPr lang="id-ID" sz="900" b="0"/>
            <a:t>Fraksi Massa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FF03-6B88-456F-A5AC-BBEAF2D09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International Conference onChemical and Material Engineering 2012</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GestPLC: Real-Time Hand Gesture Recognition for PLC Control using MediaPipe and Modbus TCP for Industry 4.0 Applications</dc:title>
  <dc:subject/>
  <dc:creator>Rofiq Cahyo Prayogo, Ahmad Ridlo Hanifudin Tahier, Munadi</dc:creator>
  <cp:keywords>Hand Gesture Recognition, PLC Control, MediaPipe, Modbus TCP, Industry 4.0, Threading</cp:keywords>
  <cp:lastModifiedBy>sirobo</cp:lastModifiedBy>
  <cp:revision>2</cp:revision>
  <cp:lastPrinted>2012-06-29T04:44:00Z</cp:lastPrinted>
  <dcterms:created xsi:type="dcterms:W3CDTF">2026-04-04T16:42:00Z</dcterms:created>
  <dcterms:modified xsi:type="dcterms:W3CDTF">2026-04-04T16:42:00Z</dcterms:modified>
</cp:coreProperties>
</file>