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mbria" w:cs="Cambria" w:eastAsia="Cambria" w:hAnsi="Cambria"/>
          <w:b w:val="0"/>
          <w:bCs w:val="0"/>
          <w:sz w:val="41"/>
          <w:szCs w:val="41"/>
          <w:vertAlign w:val="baseline"/>
        </w:rPr>
      </w:pPr>
      <w:r w:rsidDel="00000000" w:rsidR="00000000" w:rsidRPr="00000000">
        <w:rPr>
          <w:rFonts w:ascii="Cambria" w:cs="Cambria" w:eastAsia="Cambria" w:hAnsi="Cambria"/>
          <w:b w:val="1"/>
          <w:bCs w:val="1"/>
          <w:sz w:val="41"/>
          <w:szCs w:val="41"/>
          <w:vertAlign w:val="baseline"/>
          <w:rtl w:val="0"/>
        </w:rPr>
        <w:t xml:space="preserve">The title should be simple, concise and informative in sentence case format </w:t>
      </w:r>
      <w:r w:rsidDel="00000000" w:rsidR="00000000" w:rsidRPr="00000000">
        <w:rPr>
          <w:rtl w:val="0"/>
        </w:rPr>
      </w:r>
    </w:p>
    <w:p w:rsidR="00000000" w:rsidDel="00000000" w:rsidP="00000000" w:rsidRDefault="00000000" w:rsidRPr="00000000" w14:paraId="00000002">
      <w:pPr>
        <w:spacing w:line="24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003">
      <w:pPr>
        <w:pStyle w:val="Heading2"/>
        <w:rPr>
          <w:sz w:val="28"/>
          <w:szCs w:val="28"/>
          <w:vertAlign w:val="baseline"/>
        </w:rPr>
      </w:pPr>
      <w:r w:rsidDel="00000000" w:rsidR="00000000" w:rsidRPr="00000000">
        <w:rPr>
          <w:b w:val="1"/>
          <w:bCs w:val="1"/>
          <w:sz w:val="28"/>
          <w:szCs w:val="28"/>
          <w:vertAlign w:val="baseline"/>
          <w:rtl w:val="0"/>
        </w:rPr>
        <w:t xml:space="preserve">Author(s) Name </w:t>
      </w:r>
      <w:r w:rsidDel="00000000" w:rsidR="00000000" w:rsidRPr="00000000">
        <w:rPr>
          <w:rtl w:val="0"/>
        </w:rPr>
      </w:r>
    </w:p>
    <w:p w:rsidR="00000000" w:rsidDel="00000000" w:rsidP="00000000" w:rsidRDefault="00000000" w:rsidRPr="00000000" w14:paraId="00000004">
      <w:pPr>
        <w:spacing w:line="240" w:lineRule="auto"/>
        <w:rPr>
          <w:sz w:val="23"/>
          <w:szCs w:val="23"/>
          <w:vertAlign w:val="baseline"/>
        </w:rPr>
      </w:pPr>
      <w:r w:rsidDel="00000000" w:rsidR="00000000" w:rsidRPr="00000000">
        <w:rPr>
          <w:sz w:val="23"/>
          <w:szCs w:val="23"/>
          <w:vertAlign w:val="baseline"/>
          <w:rtl w:val="0"/>
        </w:rPr>
        <w:t xml:space="preserve">Author’s institution (affiliation)</w:t>
      </w:r>
    </w:p>
    <w:p w:rsidR="00000000" w:rsidDel="00000000" w:rsidP="00000000" w:rsidRDefault="00000000" w:rsidRPr="00000000" w14:paraId="00000005">
      <w:pPr>
        <w:spacing w:line="240" w:lineRule="auto"/>
        <w:rPr>
          <w:sz w:val="20"/>
          <w:szCs w:val="20"/>
          <w:vertAlign w:val="baseline"/>
        </w:rPr>
      </w:pPr>
      <w:r w:rsidDel="00000000" w:rsidR="00000000" w:rsidRPr="00000000">
        <w:rPr>
          <w:sz w:val="23"/>
          <w:szCs w:val="23"/>
          <w:vertAlign w:val="baseline"/>
          <w:rtl w:val="0"/>
        </w:rPr>
        <w:t xml:space="preserve">email.address@mail.ac.id</w:t>
      </w:r>
      <w:r w:rsidDel="00000000" w:rsidR="00000000" w:rsidRPr="00000000">
        <w:rPr>
          <w:rtl w:val="0"/>
        </w:rPr>
      </w:r>
    </w:p>
    <w:p w:rsidR="00000000" w:rsidDel="00000000" w:rsidP="00000000" w:rsidRDefault="00000000" w:rsidRPr="00000000" w14:paraId="00000006">
      <w:pPr>
        <w:spacing w:line="240" w:lineRule="auto"/>
        <w:jc w:val="both"/>
        <w:rPr>
          <w:b w:val="0"/>
          <w:bCs w:val="0"/>
          <w:vertAlign w:val="baseline"/>
        </w:rPr>
      </w:pPr>
      <w:r w:rsidDel="00000000" w:rsidR="00000000" w:rsidRPr="00000000">
        <w:rPr>
          <w:rtl w:val="0"/>
        </w:rPr>
      </w:r>
    </w:p>
    <w:p w:rsidR="00000000" w:rsidDel="00000000" w:rsidP="00000000" w:rsidRDefault="00000000" w:rsidRPr="00000000" w14:paraId="00000007">
      <w:pPr>
        <w:spacing w:line="240" w:lineRule="auto"/>
        <w:jc w:val="both"/>
        <w:rPr>
          <w:rFonts w:ascii="Cambria" w:cs="Cambria" w:eastAsia="Cambria" w:hAnsi="Cambria"/>
          <w:b w:val="0"/>
          <w:bCs w:val="0"/>
          <w:sz w:val="24"/>
          <w:szCs w:val="24"/>
          <w:vertAlign w:val="baseline"/>
        </w:rPr>
      </w:pPr>
      <w:r w:rsidDel="00000000" w:rsidR="00000000" w:rsidRPr="00000000">
        <w:rPr>
          <w:rFonts w:ascii="Cambria" w:cs="Cambria" w:eastAsia="Cambria" w:hAnsi="Cambria"/>
          <w:b w:val="1"/>
          <w:bCs w:val="1"/>
          <w:sz w:val="24"/>
          <w:szCs w:val="24"/>
          <w:vertAlign w:val="baseline"/>
          <w:rtl w:val="0"/>
        </w:rPr>
        <w:t xml:space="preserve">Abstract</w:t>
      </w:r>
      <w:r w:rsidDel="00000000" w:rsidR="00000000" w:rsidRPr="00000000">
        <w:rPr>
          <w:rtl w:val="0"/>
        </w:rPr>
      </w:r>
    </w:p>
    <w:p w:rsidR="00000000" w:rsidDel="00000000" w:rsidP="00000000" w:rsidRDefault="00000000" w:rsidRPr="00000000" w14:paraId="00000008">
      <w:pPr>
        <w:jc w:val="both"/>
        <w:rPr>
          <w:rFonts w:ascii="Cambria" w:cs="Cambria" w:eastAsia="Cambria" w:hAnsi="Cambria"/>
          <w:b w:val="0"/>
          <w:bCs w:val="0"/>
          <w:sz w:val="24"/>
          <w:szCs w:val="24"/>
          <w:vertAlign w:val="baseline"/>
        </w:rPr>
      </w:pPr>
      <w:r w:rsidDel="00000000" w:rsidR="00000000" w:rsidRPr="00000000">
        <w:rPr>
          <w:rtl w:val="0"/>
        </w:rPr>
      </w:r>
    </w:p>
    <w:p w:rsidR="00000000" w:rsidDel="00000000" w:rsidP="00000000" w:rsidRDefault="00000000" w:rsidRPr="00000000" w14:paraId="00000009">
      <w:pPr>
        <w:spacing w:line="240" w:lineRule="auto"/>
        <w:jc w:val="both"/>
        <w:rPr>
          <w:sz w:val="21"/>
          <w:szCs w:val="21"/>
          <w:vertAlign w:val="baseline"/>
        </w:rPr>
      </w:pPr>
      <w:r w:rsidDel="00000000" w:rsidR="00000000" w:rsidRPr="00000000">
        <w:rPr>
          <w:sz w:val="21"/>
          <w:szCs w:val="21"/>
          <w:vertAlign w:val="baseline"/>
          <w:rtl w:val="0"/>
        </w:rPr>
        <w:t xml:space="preserve">An abstract should accompany each manuscript; it should be completely self-consistent (i.e., with no figure, table, equation or reference citations), not exceeding 250 words and written as a single paragraph. Abstract should include aims of the research, methodology and findings.</w:t>
      </w:r>
    </w:p>
    <w:p w:rsidR="00000000" w:rsidDel="00000000" w:rsidP="00000000" w:rsidRDefault="00000000" w:rsidRPr="00000000" w14:paraId="0000000A">
      <w:pPr>
        <w:spacing w:line="240" w:lineRule="auto"/>
        <w:jc w:val="both"/>
        <w:rPr>
          <w:sz w:val="20"/>
          <w:szCs w:val="20"/>
          <w:vertAlign w:val="baseline"/>
        </w:rPr>
      </w:pPr>
      <w:r w:rsidDel="00000000" w:rsidR="00000000" w:rsidRPr="00000000">
        <w:rPr>
          <w:rtl w:val="0"/>
        </w:rPr>
      </w:r>
    </w:p>
    <w:p w:rsidR="00000000" w:rsidDel="00000000" w:rsidP="00000000" w:rsidRDefault="00000000" w:rsidRPr="00000000" w14:paraId="0000000B">
      <w:pPr>
        <w:spacing w:line="240" w:lineRule="auto"/>
        <w:rPr>
          <w:sz w:val="20"/>
          <w:szCs w:val="20"/>
          <w:vertAlign w:val="baseline"/>
        </w:rPr>
      </w:pPr>
      <w:r w:rsidDel="00000000" w:rsidR="00000000" w:rsidRPr="00000000">
        <w:rPr>
          <w:b w:val="1"/>
          <w:bCs w:val="1"/>
          <w:sz w:val="20"/>
          <w:szCs w:val="20"/>
          <w:vertAlign w:val="baseline"/>
          <w:rtl w:val="0"/>
        </w:rPr>
        <w:t xml:space="preserve">Keywords: </w:t>
      </w:r>
      <w:r w:rsidDel="00000000" w:rsidR="00000000" w:rsidRPr="00000000">
        <w:rPr>
          <w:i w:val="1"/>
          <w:iCs w:val="1"/>
          <w:sz w:val="20"/>
          <w:szCs w:val="20"/>
          <w:vertAlign w:val="baseline"/>
          <w:rtl w:val="0"/>
        </w:rPr>
        <w:t xml:space="preserve">keyword one; keyword two; keyword three (max. five keywords)  </w:t>
      </w:r>
      <w:r w:rsidDel="00000000" w:rsidR="00000000" w:rsidRPr="00000000">
        <w:rPr>
          <w:rtl w:val="0"/>
        </w:rPr>
      </w:r>
    </w:p>
    <w:p w:rsidR="00000000" w:rsidDel="00000000" w:rsidP="00000000" w:rsidRDefault="00000000" w:rsidRPr="00000000" w14:paraId="0000000C">
      <w:pPr>
        <w:jc w:val="both"/>
        <w:rPr>
          <w:vertAlign w:val="baseline"/>
        </w:rPr>
      </w:pPr>
      <w:r w:rsidDel="00000000" w:rsidR="00000000" w:rsidRPr="00000000">
        <w:rPr>
          <w:rtl w:val="0"/>
        </w:rPr>
      </w:r>
    </w:p>
    <w:p w:rsidR="00000000" w:rsidDel="00000000" w:rsidP="00000000" w:rsidRDefault="00000000" w:rsidRPr="00000000" w14:paraId="0000000D">
      <w:pPr>
        <w:rPr>
          <w:rFonts w:ascii="Cambria" w:cs="Cambria" w:eastAsia="Cambria" w:hAnsi="Cambria"/>
          <w:b w:val="0"/>
          <w:bCs w:val="0"/>
          <w:sz w:val="23"/>
          <w:szCs w:val="23"/>
          <w:vertAlign w:val="baseline"/>
        </w:rPr>
      </w:pPr>
      <w:r w:rsidDel="00000000" w:rsidR="00000000" w:rsidRPr="00000000">
        <w:rPr>
          <w:rFonts w:ascii="Cambria" w:cs="Cambria" w:eastAsia="Cambria" w:hAnsi="Cambria"/>
          <w:b w:val="1"/>
          <w:bCs w:val="1"/>
          <w:sz w:val="23"/>
          <w:szCs w:val="23"/>
          <w:vertAlign w:val="baseline"/>
          <w:rtl w:val="0"/>
        </w:rPr>
        <w:t xml:space="preserve">Introduction</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F">
      <w:pPr>
        <w:jc w:val="both"/>
        <w:rPr>
          <w:vertAlign w:val="baseline"/>
        </w:rPr>
      </w:pPr>
      <w:r w:rsidDel="00000000" w:rsidR="00000000" w:rsidRPr="00000000">
        <w:rPr>
          <w:sz w:val="23"/>
          <w:szCs w:val="23"/>
          <w:vertAlign w:val="baseline"/>
          <w:rtl w:val="0"/>
        </w:rPr>
        <w:t xml:space="preserve">T</w:t>
      </w:r>
      <w:r w:rsidDel="00000000" w:rsidR="00000000" w:rsidRPr="00000000">
        <w:rPr>
          <w:vertAlign w:val="baseline"/>
          <w:rtl w:val="0"/>
        </w:rPr>
        <w:t xml:space="preserve">he body of paper must be elaborated between 6500 - 7.000 words (maximum) including abstract, references and footnotes, written in font: Goudy Old Style, size: 11, line spacing: multiple (1.15). Moreover, </w:t>
      </w:r>
      <w:r w:rsidDel="00000000" w:rsidR="00000000" w:rsidRPr="00000000">
        <w:rPr>
          <w:b w:val="1"/>
          <w:bCs w:val="1"/>
          <w:vertAlign w:val="baseline"/>
          <w:rtl w:val="0"/>
        </w:rPr>
        <w:t xml:space="preserve">the author(s) are required to use this template file (NOT creating new file)</w:t>
      </w:r>
      <w:r w:rsidDel="00000000" w:rsidR="00000000" w:rsidRPr="00000000">
        <w:rPr>
          <w:vertAlign w:val="baseline"/>
          <w:rtl w:val="0"/>
        </w:rPr>
        <w:t xml:space="preserve"> in order to avoid mismatch in the whole page layout (paper size, margins, etc). </w:t>
      </w:r>
    </w:p>
    <w:p w:rsidR="00000000" w:rsidDel="00000000" w:rsidP="00000000" w:rsidRDefault="00000000" w:rsidRPr="00000000" w14:paraId="00000010">
      <w:pPr>
        <w:ind w:firstLine="720"/>
        <w:jc w:val="both"/>
        <w:rPr>
          <w:vertAlign w:val="baseline"/>
        </w:rPr>
      </w:pPr>
      <w:r w:rsidDel="00000000" w:rsidR="00000000" w:rsidRPr="00000000">
        <w:rPr>
          <w:vertAlign w:val="baseline"/>
          <w:rtl w:val="0"/>
        </w:rPr>
        <w:t xml:space="preserve">The body could be divided into sections. Sections should be bold. Subsections should be italic. Whichever spelling you choose (British or American English) please be consistent throughout. Use hyphens consistently and avoid unnecessary ones. The words “section(s)”, “equation(s)”, “figure(s)” and “reference(s)” are abbreviated as “sect(s).”, “fig(s).”, “eq(s).” and “ref(s).” unless they are the first word of a sentence. The word “table” is always written in full. Latin expressions, such as, e.g., i.e., et al., versus (vs.) should be set in italic. All terms or titles in Arabic should be transliterated with following the Library of Congress guide. Name of person should not be transliterated.</w:t>
      </w:r>
    </w:p>
    <w:p w:rsidR="00000000" w:rsidDel="00000000" w:rsidP="00000000" w:rsidRDefault="00000000" w:rsidRPr="00000000" w14:paraId="00000011">
      <w:pPr>
        <w:jc w:val="both"/>
        <w:rPr>
          <w:vertAlign w:val="baseline"/>
        </w:rPr>
      </w:pPr>
      <w:r w:rsidDel="00000000" w:rsidR="00000000" w:rsidRPr="00000000">
        <w:rPr>
          <w:rtl w:val="0"/>
        </w:rPr>
      </w:r>
    </w:p>
    <w:p w:rsidR="00000000" w:rsidDel="00000000" w:rsidP="00000000" w:rsidRDefault="00000000" w:rsidRPr="00000000" w14:paraId="00000012">
      <w:pPr>
        <w:jc w:val="both"/>
        <w:rPr>
          <w:b w:val="0"/>
          <w:bCs w:val="0"/>
          <w:vertAlign w:val="baseline"/>
        </w:rPr>
      </w:pPr>
      <w:r w:rsidDel="00000000" w:rsidR="00000000" w:rsidRPr="00000000">
        <w:rPr>
          <w:b w:val="1"/>
          <w:bCs w:val="1"/>
          <w:vertAlign w:val="baseline"/>
          <w:rtl w:val="0"/>
        </w:rPr>
        <w:t xml:space="preserve">Footnotes</w:t>
      </w:r>
      <w:r w:rsidDel="00000000" w:rsidR="00000000" w:rsidRPr="00000000">
        <w:rPr>
          <w:rtl w:val="0"/>
        </w:rPr>
      </w:r>
    </w:p>
    <w:p w:rsidR="00000000" w:rsidDel="00000000" w:rsidP="00000000" w:rsidRDefault="00000000" w:rsidRPr="00000000" w14:paraId="00000013">
      <w:pPr>
        <w:jc w:val="both"/>
        <w:rPr>
          <w:vertAlign w:val="baseline"/>
        </w:rPr>
      </w:pPr>
      <w:r w:rsidDel="00000000" w:rsidR="00000000" w:rsidRPr="00000000">
        <w:rPr>
          <w:vertAlign w:val="baseline"/>
          <w:rtl w:val="0"/>
        </w:rPr>
        <w:t xml:space="preserve">Footnotes to text material, which should be kept to a minimum, and which should be indicated by numerical superscripts: 1, 2, 3, etc. They should be placed at the foot of the relevant page. Below are the examples of footnotes for book</w:t>
      </w:r>
      <w:r w:rsidDel="00000000" w:rsidR="00000000" w:rsidRPr="00000000">
        <w:rPr>
          <w:vertAlign w:val="superscript"/>
        </w:rPr>
        <w:footnoteReference w:customMarkFollows="0" w:id="0"/>
      </w:r>
      <w:r w:rsidDel="00000000" w:rsidR="00000000" w:rsidRPr="00000000">
        <w:rPr>
          <w:vertAlign w:val="baseline"/>
          <w:rtl w:val="0"/>
        </w:rPr>
        <w:t xml:space="preserve">, journal</w:t>
      </w:r>
      <w:r w:rsidDel="00000000" w:rsidR="00000000" w:rsidRPr="00000000">
        <w:rPr>
          <w:vertAlign w:val="superscript"/>
        </w:rPr>
        <w:footnoteReference w:customMarkFollows="0" w:id="1"/>
      </w:r>
      <w:r w:rsidDel="00000000" w:rsidR="00000000" w:rsidRPr="00000000">
        <w:rPr>
          <w:vertAlign w:val="baseline"/>
          <w:rtl w:val="0"/>
        </w:rPr>
        <w:t xml:space="preserve">, seminar proceeding</w:t>
      </w:r>
      <w:r w:rsidDel="00000000" w:rsidR="00000000" w:rsidRPr="00000000">
        <w:rPr>
          <w:vertAlign w:val="superscript"/>
        </w:rPr>
        <w:footnoteReference w:customMarkFollows="0" w:id="2"/>
      </w:r>
      <w:r w:rsidDel="00000000" w:rsidR="00000000" w:rsidRPr="00000000">
        <w:rPr>
          <w:vertAlign w:val="baseline"/>
          <w:rtl w:val="0"/>
        </w:rPr>
        <w:t xml:space="preserve">, and chapter</w:t>
      </w:r>
      <w:r w:rsidDel="00000000" w:rsidR="00000000" w:rsidRPr="00000000">
        <w:rPr>
          <w:vertAlign w:val="superscript"/>
        </w:rPr>
        <w:footnoteReference w:customMarkFollows="0" w:id="3"/>
      </w:r>
      <w:r w:rsidDel="00000000" w:rsidR="00000000" w:rsidRPr="00000000">
        <w:rPr>
          <w:vertAlign w:val="baseline"/>
          <w:rtl w:val="0"/>
        </w:rPr>
        <w:t xml:space="preserve">.</w:t>
      </w:r>
    </w:p>
    <w:p w:rsidR="00000000" w:rsidDel="00000000" w:rsidP="00000000" w:rsidRDefault="00000000" w:rsidRPr="00000000" w14:paraId="00000014">
      <w:pPr>
        <w:jc w:val="both"/>
        <w:rPr>
          <w:b w:val="0"/>
          <w:bCs w:val="0"/>
          <w:vertAlign w:val="baseline"/>
        </w:rPr>
      </w:pPr>
      <w:r w:rsidDel="00000000" w:rsidR="00000000" w:rsidRPr="00000000">
        <w:rPr>
          <w:b w:val="1"/>
          <w:bCs w:val="1"/>
          <w:vertAlign w:val="baseline"/>
          <w:rtl w:val="0"/>
        </w:rPr>
        <w:t xml:space="preserve">Bibliography</w:t>
      </w:r>
      <w:r w:rsidDel="00000000" w:rsidR="00000000" w:rsidRPr="00000000">
        <w:rPr>
          <w:rtl w:val="0"/>
        </w:rPr>
      </w:r>
    </w:p>
    <w:p w:rsidR="00000000" w:rsidDel="00000000" w:rsidP="00000000" w:rsidRDefault="00000000" w:rsidRPr="00000000" w14:paraId="00000015">
      <w:pPr>
        <w:spacing w:line="240" w:lineRule="auto"/>
        <w:jc w:val="both"/>
        <w:rPr>
          <w:vertAlign w:val="baseline"/>
        </w:rPr>
      </w:pPr>
      <w:r w:rsidDel="00000000" w:rsidR="00000000" w:rsidRPr="00000000">
        <w:rPr>
          <w:vertAlign w:val="baseline"/>
          <w:rtl w:val="0"/>
        </w:rPr>
        <w:t xml:space="preserve">Bibliography should be written in alphabetical order following the examples below, for book (see Axford), journal (see Arditi), seminar proceeding (see Andreassen) and chapter (see Geertz).</w:t>
      </w:r>
    </w:p>
    <w:p w:rsidR="00000000" w:rsidDel="00000000" w:rsidP="00000000" w:rsidRDefault="00000000" w:rsidRPr="00000000" w14:paraId="00000016">
      <w:pPr>
        <w:spacing w:line="240" w:lineRule="auto"/>
        <w:jc w:val="both"/>
        <w:rPr>
          <w:vertAlign w:val="baseline"/>
        </w:rPr>
      </w:pPr>
      <w:r w:rsidDel="00000000" w:rsidR="00000000" w:rsidRPr="00000000">
        <w:rPr>
          <w:rtl w:val="0"/>
        </w:rPr>
      </w:r>
    </w:p>
    <w:p w:rsidR="00000000" w:rsidDel="00000000" w:rsidP="00000000" w:rsidRDefault="00000000" w:rsidRPr="00000000" w14:paraId="00000017">
      <w:pPr>
        <w:spacing w:line="240" w:lineRule="auto"/>
        <w:ind w:left="567" w:hanging="567"/>
        <w:jc w:val="both"/>
        <w:rPr>
          <w:vertAlign w:val="baseline"/>
        </w:rPr>
      </w:pPr>
      <w:r w:rsidDel="00000000" w:rsidR="00000000" w:rsidRPr="00000000">
        <w:rPr>
          <w:vertAlign w:val="baseline"/>
          <w:rtl w:val="0"/>
        </w:rPr>
        <w:t xml:space="preserve">Axford, Barrie. </w:t>
      </w:r>
      <w:r w:rsidDel="00000000" w:rsidR="00000000" w:rsidRPr="00000000">
        <w:rPr>
          <w:i w:val="1"/>
          <w:iCs w:val="1"/>
          <w:vertAlign w:val="baseline"/>
          <w:rtl w:val="0"/>
        </w:rPr>
        <w:t xml:space="preserve">The Global System, Politics and Culture</w:t>
      </w:r>
      <w:r w:rsidDel="00000000" w:rsidR="00000000" w:rsidRPr="00000000">
        <w:rPr>
          <w:vertAlign w:val="baseline"/>
          <w:rtl w:val="0"/>
        </w:rPr>
        <w:t xml:space="preserve">. New York: St. Martin &amp; rsquoss Press, 1995.</w:t>
      </w:r>
    </w:p>
    <w:p w:rsidR="00000000" w:rsidDel="00000000" w:rsidP="00000000" w:rsidRDefault="00000000" w:rsidRPr="00000000" w14:paraId="00000018">
      <w:pPr>
        <w:spacing w:line="240" w:lineRule="auto"/>
        <w:ind w:left="567" w:hanging="567"/>
        <w:jc w:val="both"/>
        <w:rPr>
          <w:vertAlign w:val="baseline"/>
        </w:rPr>
      </w:pPr>
      <w:r w:rsidDel="00000000" w:rsidR="00000000" w:rsidRPr="00000000">
        <w:rPr>
          <w:vertAlign w:val="baseline"/>
          <w:rtl w:val="0"/>
        </w:rPr>
        <w:t xml:space="preserve">Arditi, Benjamin. “From Globalism to Globalization: The Politics of Resistance”, </w:t>
      </w:r>
      <w:r w:rsidDel="00000000" w:rsidR="00000000" w:rsidRPr="00000000">
        <w:rPr>
          <w:i w:val="1"/>
          <w:iCs w:val="1"/>
          <w:vertAlign w:val="baseline"/>
          <w:rtl w:val="0"/>
        </w:rPr>
        <w:t xml:space="preserve">New Political Science, </w:t>
      </w:r>
      <w:r w:rsidDel="00000000" w:rsidR="00000000" w:rsidRPr="00000000">
        <w:rPr>
          <w:vertAlign w:val="baseline"/>
          <w:rtl w:val="0"/>
        </w:rPr>
        <w:t xml:space="preserve">Volume 26, Number 1 (March 2004): 1-18.</w:t>
      </w:r>
    </w:p>
    <w:p w:rsidR="00000000" w:rsidDel="00000000" w:rsidP="00000000" w:rsidRDefault="00000000" w:rsidRPr="00000000" w14:paraId="00000019">
      <w:pPr>
        <w:spacing w:line="240" w:lineRule="auto"/>
        <w:ind w:left="567" w:hanging="567"/>
        <w:jc w:val="both"/>
        <w:rPr>
          <w:vertAlign w:val="baseline"/>
        </w:rPr>
      </w:pPr>
      <w:r w:rsidDel="00000000" w:rsidR="00000000" w:rsidRPr="00000000">
        <w:rPr>
          <w:vertAlign w:val="baseline"/>
          <w:rtl w:val="0"/>
        </w:rPr>
        <w:t xml:space="preserve">Andreassen A., Bard. “Human Rights and Legal Empowerment of the Poor”, </w:t>
      </w:r>
      <w:r w:rsidDel="00000000" w:rsidR="00000000" w:rsidRPr="00000000">
        <w:rPr>
          <w:i w:val="1"/>
          <w:iCs w:val="1"/>
          <w:vertAlign w:val="baseline"/>
          <w:rtl w:val="0"/>
        </w:rPr>
        <w:t xml:space="preserve">Extreme Poverty and Human Rights Expert Seminar</w:t>
      </w:r>
      <w:r w:rsidDel="00000000" w:rsidR="00000000" w:rsidRPr="00000000">
        <w:rPr>
          <w:vertAlign w:val="baseline"/>
          <w:rtl w:val="0"/>
        </w:rPr>
        <w:t xml:space="preserve">, Geneva 23-24 February 2007, Norwegian Centre for Human rights, University of Oslo.</w:t>
      </w:r>
    </w:p>
    <w:p w:rsidR="00000000" w:rsidDel="00000000" w:rsidP="00000000" w:rsidRDefault="00000000" w:rsidRPr="00000000" w14:paraId="0000001A">
      <w:pPr>
        <w:spacing w:line="240" w:lineRule="auto"/>
        <w:ind w:left="567" w:hanging="567"/>
        <w:jc w:val="both"/>
        <w:rPr>
          <w:vertAlign w:val="baseline"/>
        </w:rPr>
      </w:pPr>
      <w:r w:rsidDel="00000000" w:rsidR="00000000" w:rsidRPr="00000000">
        <w:rPr>
          <w:vertAlign w:val="baseline"/>
          <w:rtl w:val="0"/>
        </w:rPr>
        <w:t xml:space="preserve">Geertz, Clifford. “Religion: Anthropological Study”, in David L. Sills (ed.) </w:t>
      </w:r>
      <w:r w:rsidDel="00000000" w:rsidR="00000000" w:rsidRPr="00000000">
        <w:rPr>
          <w:i w:val="1"/>
          <w:iCs w:val="1"/>
          <w:vertAlign w:val="baseline"/>
          <w:rtl w:val="0"/>
        </w:rPr>
        <w:t xml:space="preserve">International Encyclopedia of the Social Sciences</w:t>
      </w:r>
      <w:r w:rsidDel="00000000" w:rsidR="00000000" w:rsidRPr="00000000">
        <w:rPr>
          <w:vertAlign w:val="baseline"/>
          <w:rtl w:val="0"/>
        </w:rPr>
        <w:t xml:space="preserve">. London: Collier-Macmillan Publishers, 1965: 2-20.</w:t>
      </w:r>
    </w:p>
    <w:p w:rsidR="00000000" w:rsidDel="00000000" w:rsidP="00000000" w:rsidRDefault="00000000" w:rsidRPr="00000000" w14:paraId="0000001B">
      <w:pPr>
        <w:spacing w:line="240" w:lineRule="auto"/>
        <w:jc w:val="both"/>
        <w:rPr>
          <w:vertAlign w:val="baseline"/>
        </w:rPr>
      </w:pPr>
      <w:r w:rsidDel="00000000" w:rsidR="00000000" w:rsidRPr="00000000">
        <w:rPr>
          <w:rtl w:val="0"/>
        </w:rPr>
      </w:r>
    </w:p>
    <w:p w:rsidR="00000000" w:rsidDel="00000000" w:rsidP="00000000" w:rsidRDefault="00000000" w:rsidRPr="00000000" w14:paraId="0000001C">
      <w:pPr>
        <w:jc w:val="both"/>
        <w:rPr>
          <w:sz w:val="21"/>
          <w:szCs w:val="21"/>
          <w:vertAlign w:val="baseline"/>
        </w:rPr>
      </w:pPr>
      <w:r w:rsidDel="00000000" w:rsidR="00000000" w:rsidRPr="00000000">
        <w:rPr>
          <w:rtl w:val="0"/>
        </w:rPr>
      </w:r>
    </w:p>
    <w:p w:rsidR="00000000" w:rsidDel="00000000" w:rsidP="00000000" w:rsidRDefault="00000000" w:rsidRPr="00000000" w14:paraId="0000001D">
      <w:pPr>
        <w:jc w:val="both"/>
        <w:rPr>
          <w:sz w:val="21"/>
          <w:szCs w:val="21"/>
          <w:vertAlign w:val="baseline"/>
        </w:rPr>
      </w:pPr>
      <w:r w:rsidDel="00000000" w:rsidR="00000000" w:rsidRPr="00000000">
        <w:rPr>
          <w:rtl w:val="0"/>
        </w:rPr>
      </w:r>
    </w:p>
    <w:sectPr>
      <w:headerReference r:id="rId7" w:type="default"/>
      <w:footerReference r:id="rId8" w:type="default"/>
      <w:footerReference r:id="rId9" w:type="even"/>
      <w:pgSz w:h="16840" w:w="11907" w:orient="portrait"/>
      <w:pgMar w:bottom="1701" w:top="2268" w:left="1701" w:right="1701" w:header="851"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ts Mill Goudy">
    <w:embedRegular w:fontKey="{00000000-0000-0000-0000-000000000000}" r:id="rId5" w:subsetted="0"/>
    <w:embe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bl>
    <w:tblPr>
      <w:tblStyle w:val="Table1"/>
      <w:tblW w:w="8188.0" w:type="dxa"/>
      <w:jc w:val="left"/>
      <w:tblInd w:w="-108.0" w:type="dxa"/>
      <w:tblLayout w:type="fixed"/>
      <w:tblLook w:val="0000"/>
    </w:tblPr>
    <w:tblGrid>
      <w:gridCol w:w="674"/>
      <w:gridCol w:w="7514"/>
      <w:tblGridChange w:id="0">
        <w:tblGrid>
          <w:gridCol w:w="674"/>
          <w:gridCol w:w="7514"/>
        </w:tblGrid>
      </w:tblGridChange>
    </w:tblGrid>
    <w:tr>
      <w:trPr>
        <w:cantSplit w:val="0"/>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center"/>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153.0" w:type="dxa"/>
      <w:jc w:val="left"/>
      <w:tblInd w:w="-108.0" w:type="dxa"/>
      <w:tblLayout w:type="fixed"/>
      <w:tblLook w:val="0000"/>
    </w:tblPr>
    <w:tblGrid>
      <w:gridCol w:w="7479"/>
      <w:gridCol w:w="674"/>
      <w:tblGridChange w:id="0">
        <w:tblGrid>
          <w:gridCol w:w="7479"/>
          <w:gridCol w:w="674"/>
        </w:tblGrid>
      </w:tblGridChange>
    </w:tblGrid>
    <w:tr>
      <w:trPr>
        <w:cantSplit w:val="0"/>
        <w:tblHeader w:val="0"/>
      </w:trPr>
      <w:tc>
        <w:tcPr>
          <w:vAlign w:val="center"/>
        </w:tcPr>
        <w:p w:rsidR="00000000" w:rsidDel="00000000" w:rsidP="00000000" w:rsidRDefault="00000000" w:rsidRPr="00000000" w14:paraId="0000002A">
          <w:pPr>
            <w:ind w:left="78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Tittle: ... (full names of author)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righ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Barrie Axford,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The Global System, Politics and Culture</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New York: St. Martin &amp; rsquos Press, 1995, 13-15.</w:t>
      </w:r>
    </w:p>
  </w:footnote>
  <w:footnote w:id="1">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Benjamin Arditi, “From Globalism to Globalization: The Politics of Resistance”,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New Political Science, </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Volume 26, Number 1 (March 2004), 1-18.</w:t>
      </w:r>
    </w:p>
  </w:footnote>
  <w:footnote w:id="2">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Bard Andreassen A, “Human Rights and Legal Empowerment of the Poor”,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Extreme Poverty and Human Rights Expert Seminar</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Geneva 23-24 February 2007, Norwegian Centre for Human rights, University of Oslo.</w:t>
      </w:r>
    </w:p>
  </w:footnote>
  <w:footnote w:id="3">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Clifford Geertz, “Religion: Anthropological Study”, in David L. Sills (ed.)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Encyclopedia of the Social Sciences</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London: Collier-Macmillan Publishers, 1965, 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4ree72wy7rk9" w:id="0"/>
  <w:bookmarkEnd w:id="0"/>
  <w:p w:rsidR="00000000" w:rsidDel="00000000" w:rsidP="00000000" w:rsidRDefault="00000000" w:rsidRPr="00000000" w14:paraId="00000022">
    <w:pPr>
      <w:ind w:left="360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Indonesian Journal of Islam and Muslim Societies</w:t>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spacing w:line="240" w:lineRule="auto"/>
      <w:ind w:left="2880" w:firstLine="720"/>
      <w:rPr>
        <w:sz w:val="20"/>
        <w:szCs w:val="20"/>
        <w:vertAlign w:val="baseline"/>
      </w:rPr>
    </w:pPr>
    <w:r w:rsidDel="00000000" w:rsidR="00000000" w:rsidRPr="00000000">
      <w:rPr>
        <w:rFonts w:ascii="Arial Narrow" w:cs="Arial Narrow" w:eastAsia="Arial Narrow" w:hAnsi="Arial Narrow"/>
        <w:sz w:val="17"/>
        <w:szCs w:val="17"/>
        <w:vertAlign w:val="baseline"/>
        <w:rtl w:val="0"/>
      </w:rPr>
      <w:t xml:space="preserve">Vol. 8, no.2 (2018), pp. 173-197, doi : 10.18326/ijims.v8i2. 173-197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rts Mill Goudy" w:cs="Sorts Mill Goudy" w:eastAsia="Sorts Mill Goudy" w:hAnsi="Sorts Mill Goudy"/>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line="276" w:lineRule="auto"/>
    </w:pPr>
    <w:rPr>
      <w:rFonts w:ascii="Sorts Mill Goudy" w:cs="Sorts Mill Goudy" w:eastAsia="Sorts Mill Goudy" w:hAnsi="Sorts Mill Goudy"/>
      <w:b w:val="1"/>
      <w:bCs w:val="1"/>
      <w:sz w:val="21"/>
      <w:szCs w:val="21"/>
      <w:vertAlign w:val="baseline"/>
    </w:rPr>
  </w:style>
  <w:style w:type="paragraph" w:styleId="Heading3">
    <w:name w:val="heading 3"/>
    <w:basedOn w:val="Normal"/>
    <w:next w:val="Normal"/>
    <w:pPr>
      <w:keepNext w:val="1"/>
      <w:keepLines w:val="1"/>
      <w:spacing w:after="0" w:before="200" w:line="276" w:lineRule="auto"/>
    </w:pPr>
    <w:rPr>
      <w:rFonts w:ascii="Cambria" w:cs="Cambria" w:eastAsia="Cambria" w:hAnsi="Cambria"/>
      <w:b w:val="1"/>
      <w:bCs w:val="1"/>
      <w:color w:val="4f81bd"/>
      <w:sz w:val="22"/>
      <w:szCs w:val="22"/>
      <w:vertAlign w:val="baseline"/>
    </w:rPr>
  </w:style>
  <w:style w:type="paragraph" w:styleId="Heading4">
    <w:name w:val="heading 4"/>
    <w:basedOn w:val="Normal"/>
    <w:next w:val="Normal"/>
    <w:pPr>
      <w:keepNext w:val="1"/>
      <w:spacing w:after="60" w:before="240" w:line="276" w:lineRule="auto"/>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276" w:lineRule="auto"/>
    </w:pPr>
    <w:rPr>
      <w:rFonts w:ascii="Calibri" w:cs="Calibri" w:eastAsia="Calibri" w:hAnsi="Calibri"/>
      <w:b w:val="1"/>
      <w:bCs w:val="1"/>
      <w:i w:val="1"/>
      <w:iCs w:val="1"/>
      <w:sz w:val="26"/>
      <w:szCs w:val="26"/>
      <w:vertAlign w:val="baseline"/>
    </w:rPr>
  </w:style>
  <w:style w:type="paragraph" w:styleId="Heading6">
    <w:name w:val="heading 6"/>
    <w:basedOn w:val="Normal"/>
    <w:next w:val="Normal"/>
    <w:pPr>
      <w:spacing w:after="60" w:before="240" w:line="276" w:lineRule="auto"/>
    </w:pPr>
    <w:rPr>
      <w:rFonts w:ascii="Calibri" w:cs="Calibri" w:eastAsia="Calibri" w:hAnsi="Calibri"/>
      <w:b w:val="1"/>
      <w:bCs w:val="1"/>
      <w:sz w:val="22"/>
      <w:szCs w:val="22"/>
      <w:vertAlign w:val="baseline"/>
    </w:rPr>
  </w:style>
  <w:style w:type="paragraph" w:styleId="Title">
    <w:name w:val="Title"/>
    <w:basedOn w:val="Normal"/>
    <w:next w:val="Normal"/>
    <w:pPr>
      <w:spacing w:after="0" w:line="240" w:lineRule="auto"/>
      <w:jc w:val="both"/>
    </w:pPr>
    <w:rPr>
      <w:rFonts w:ascii="Times New Roman" w:cs="Times New Roman" w:eastAsia="Times New Roman" w:hAnsi="Times New Roman"/>
      <w:b w:val="1"/>
      <w:bCs w:val="1"/>
      <w:sz w:val="36"/>
      <w:szCs w:val="36"/>
      <w:vertAlign w:val="baseline"/>
    </w:rPr>
  </w:style>
  <w:style w:type="paragraph" w:styleId="Subtitle">
    <w:name w:val="Subtitle"/>
    <w:basedOn w:val="Normal"/>
    <w:next w:val="Normal"/>
    <w:pPr>
      <w:spacing w:after="60" w:line="276" w:lineRule="auto"/>
      <w:jc w:val="center"/>
    </w:pPr>
    <w:rPr>
      <w:rFonts w:ascii="Cambria" w:cs="Cambria" w:eastAsia="Cambria" w:hAnsi="Cambria"/>
      <w:sz w:val="24"/>
      <w:szCs w:val="24"/>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SortsMillGoudy-regular.ttf"/><Relationship Id="rId6"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1FEF7EA95D95471EA9EF793FF6194710_13</vt:lpwstr>
  </property>
</Properties>
</file>