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MediaPipe-Guided Adaptive FOC for an Articulated Robot Arm in Jakarta Processing Facilities</w:t>
      </w:r>
    </w:p>
    <w:p>
      <w:pPr>
        <w:pStyle w:val="Author"/>
        <w:sectPr>
          <w:type w:val="continuous"/>
          <w:pgSz w:w="11906" w:h="16838"/>
          <w:pgMar w:top="540" w:right="893" w:bottom="1440" w:left="893" w:header="720" w:footer="720" w:gutter="0"/>
          <w:cols w:space="720"/>
        </w:sectPr>
      </w:pPr>
    </w:p>
    <w:p>
      <w:pPr>
        <w:pStyle w:val="Author"/>
      </w:pPr>
      <w:r>
        <w:rPr>
          <w:sz w:val="18"/>
        </w:rPr>
        <w:t>R. Hartono</w:t>
      </w:r>
      <w:r>
        <w:br/>
      </w:r>
      <w:r>
        <w:rPr>
          <w:i/>
          <w:sz w:val="18"/>
        </w:rPr>
        <w:t>Department of Mechatronics Engineering, Institut Teknologi Bandung</w:t>
      </w:r>
      <w:r>
        <w:br/>
      </w:r>
      <w:r>
        <w:rPr>
          <w:i/>
          <w:sz w:val="18"/>
        </w:rPr>
        <w:t>Bandung, Indonesia</w:t>
      </w:r>
      <w:r>
        <w:br/>
      </w:r>
      <w:r>
        <w:rPr>
          <w:sz w:val="18"/>
        </w:rPr>
        <w:t>e-mail: r.hartono@itb.ac.id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 xml:space="preserve">A mid-size processing facility in Jakarta and surrounding Tangerang vegetable sorting lines require low-latency, high-accuracy human-to-robot command transfer to support collaborative pick-and-place and sorting tasks where operators signal changeovers up to every 30 s. Prior vision-based and wearable solutions trade off accuracy, latency, and cost: GPU-assisted classifiers reported 89.2% accuracy with 45 ms latency (production load) while wearable IMU schemes reached 92.0% accuracy but increased per-operator expense (about USD 120) and burden. The solution described here combines a MediaPipe hand-landmark preprocessing pipeline with an edge-friendly multilayer perceptron classifier and an MCU-resident adaptive Field-Oriented Control (FOC) drive on an </w:t>
      </w:r>
      <w:r>
        <w:rPr>
          <w:b/>
          <w:i w:val="0"/>
          <w:u w:val="none"/>
        </w:rPr>
        <w:t>STM32F407</w:t>
      </w:r>
      <w:r>
        <w:rPr>
          <w:b w:val="0"/>
          <w:i w:val="0"/>
          <w:u w:val="none"/>
        </w:rPr>
        <w:t xml:space="preserve"> microcontroller to meet three retrofit targets simultaneously: </w:t>
      </w:r>
      <w:r>
        <w:rPr>
          <w:b/>
          <w:i w:val="0"/>
          <w:u w:val="none"/>
        </w:rPr>
        <w:t>gesture recognition accuracy &gt;= 90%</w:t>
      </w:r>
      <w:r>
        <w:rPr>
          <w:b w:val="0"/>
          <w:i w:val="0"/>
          <w:u w:val="none"/>
        </w:rPr>
        <w:t xml:space="preserve">, </w:t>
      </w:r>
      <w:r>
        <w:rPr>
          <w:b/>
          <w:i w:val="0"/>
          <w:u w:val="none"/>
        </w:rPr>
        <w:t>end-to-actuate latency &lt;= 20 ms</w:t>
      </w:r>
      <w:r>
        <w:rPr>
          <w:b w:val="0"/>
          <w:i w:val="0"/>
          <w:u w:val="none"/>
        </w:rPr>
        <w:t xml:space="preserve">, and </w:t>
      </w:r>
      <w:r>
        <w:rPr>
          <w:b/>
          <w:i w:val="0"/>
          <w:u w:val="none"/>
        </w:rPr>
        <w:t>average power draw &lt;= 5.0 W</w:t>
      </w:r>
      <w:r>
        <w:rPr>
          <w:b w:val="0"/>
          <w:i w:val="0"/>
          <w:u w:val="none"/>
        </w:rPr>
        <w:t xml:space="preserve">. Evaluated on a Jakarta testbed with 8 gestures, 50 operators, and 50 trials per gesture (N = 20,000 instances), the system — JakartaArm v1.0 — achieved </w:t>
      </w:r>
      <w:r>
        <w:rPr>
          <w:b/>
          <w:i w:val="0"/>
          <w:u w:val="none"/>
        </w:rPr>
        <w:t>95.4%</w:t>
      </w:r>
      <w:r>
        <w:rPr>
          <w:b w:val="0"/>
          <w:i w:val="0"/>
          <w:u w:val="none"/>
        </w:rPr>
        <w:t xml:space="preserve"> recognition accuracy, </w:t>
      </w:r>
      <w:r>
        <w:rPr>
          <w:b/>
          <w:i w:val="0"/>
          <w:u w:val="none"/>
        </w:rPr>
        <w:t>12.3 ms</w:t>
      </w:r>
      <w:r>
        <w:rPr>
          <w:b w:val="0"/>
          <w:i w:val="0"/>
          <w:u w:val="none"/>
        </w:rPr>
        <w:t xml:space="preserve"> median command-to-actuate latency, and </w:t>
      </w:r>
      <w:r>
        <w:rPr>
          <w:b/>
          <w:i w:val="0"/>
          <w:u w:val="none"/>
        </w:rPr>
        <w:t>3.2 W</w:t>
      </w:r>
      <w:r>
        <w:rPr>
          <w:b w:val="0"/>
          <w:i w:val="0"/>
          <w:u w:val="none"/>
        </w:rPr>
        <w:t xml:space="preserve"> average power draw during 300 s endurance trials with auto-recovery from communication dropout in &lt; 200 ms. These findings indicate the approach allows MCU-only retrofit of articulated manipulators in Jakarta-area processing cells while keeping per-node hardware cost and thermal load low; the method is suitable for similar low-margin agricultural processing or light manufacturing facilities that must operate under variable fluorescent illumination and constrained budgets.</w:t>
      </w:r>
    </w:p>
    <w:p>
      <w:pPr>
        <w:pStyle w:val="Keywords"/>
      </w:pPr>
      <w:r>
        <w:t>Index Terms</w:t>
      </w:r>
      <w:r>
        <w:t>—</w:t>
      </w:r>
      <w:r>
        <w:rPr>
          <w:b w:val="0"/>
          <w:i w:val="0"/>
          <w:u w:val="none"/>
        </w:rPr>
        <w:t>MediaPipe, Field-Oriented Control, gesture recognition, STM32F407, edge inference, industrial retrofit.</w:t>
      </w:r>
    </w:p>
    <w:p>
      <w:pPr>
        <w:pStyle w:val="Heading1"/>
      </w:pPr>
      <w:r>
        <w:rPr>
          <w:b w:val="0"/>
          <w:i w:val="0"/>
          <w:u w:val="none"/>
        </w:rPr>
        <w:t>I. INTRODUCTION</w:t>
      </w:r>
    </w:p>
    <w:p>
      <w:pPr>
        <w:pStyle w:val="BodyText"/>
      </w:pPr>
      <w:r>
        <w:rPr>
          <w:b w:val="0"/>
          <w:i w:val="0"/>
          <w:u w:val="none"/>
        </w:rPr>
        <w:t>Jakarta-area vegetable and small-parts processing lines often mix manual and automated stages, and line workers must give hand signals to articulated arms to trigger part handover, cell pause, or mode change during shift changeovers in 2024. These interactions happen frequently; at one Tangerang sorting cell we observed operator gestures issued on average every 28 s during peak runs (shift length 8 h), meaning latency and reliability directly influence throughput and safety. Low hardware cost is also a hard constraint: many facilities run legacy PLCs and cannot afford per-node upgrades costing hundreds of US dollars. The operational context — fluorescent factory lighting, reflective surfaces, and tight budget — shaped the design problem first and foremost.</w:t>
      </w:r>
    </w:p>
    <w:p>
      <w:pPr>
        <w:pStyle w:val="BodyText"/>
      </w:pPr>
      <w:r>
        <w:rPr>
          <w:b w:val="0"/>
          <w:i w:val="0"/>
          <w:u w:val="none"/>
        </w:rPr>
        <w:t xml:space="preserve">Prior approaches split into three camps. Chen et al. (2019) ran a VGG-based CNN on a Raspberry Pi 4B and recorded 93.8% accuracy on a 1,200-image-per-class dataset but noted a drop to 81.2% under variable lighting, revealing sensitivity to scene variation and background subtraction failure. Li and Gomez (2020) applied MediaPipe landmark extraction and an MLP on a Jetson Nano, achieving 94.7% accuracy and 35 fps but their tests used homogeneous lab lighting and did not include fluorescent flicker. Park and Silva (2021) fused depth (RealSense D435) with RGB on a Jetson platform and reached 95.0% accuracy at 25 ms latency, yet added about USD 350 of sensor cost and integration complexity. On the motor-control side, Pranoto and Lee (2018) implemented FOC with PI control on an </w:t>
      </w:r>
      <w:r>
        <w:rPr>
          <w:b/>
          <w:i w:val="0"/>
          <w:u w:val="none"/>
        </w:rPr>
        <w:t>STM32F4</w:t>
      </w:r>
      <w:r>
        <w:rPr>
          <w:b w:val="0"/>
          <w:i w:val="0"/>
          <w:u w:val="none"/>
        </w:rPr>
        <w:t xml:space="preserve"> and reported an 18 ms loop latency and 14% torque ripple reduction but saw degraded performance when sampling dropped below 4 kHz; Silva et al. (2022) used adaptive PI gains on an ARM Cortex-M7 to reach 11 ms closed-loop latency at the expense of a 35% computation increase. For communication and industrial integration, Mo et al. (2017) found that PLC scan cycles contribute substantially to round-trip latency (mean 54 ms) when using Profinet. Each of these studies provides a specific numeric insight and a concrete limitation that influenced our choices (e.g., sensitivity to illumination, added sensor cost, sampling-frequency dependence).</w:t>
      </w:r>
    </w:p>
    <w:p>
      <w:pPr>
        <w:pStyle w:val="BodyText"/>
      </w:pPr>
      <w:r>
        <w:rPr>
          <w:b w:val="0"/>
          <w:i w:val="0"/>
          <w:u w:val="none"/>
        </w:rPr>
        <w:t xml:space="preserve">The unsolved problem is numeric and practical: no prior system we found meets all three deployment criteria on MCU-class hardware under factory lighting — </w:t>
      </w:r>
      <w:r>
        <w:rPr>
          <w:b/>
          <w:i w:val="0"/>
          <w:u w:val="none"/>
        </w:rPr>
        <w:t>&gt;= 90% gesture accuracy</w:t>
      </w:r>
      <w:r>
        <w:rPr>
          <w:b w:val="0"/>
          <w:i w:val="0"/>
          <w:u w:val="none"/>
        </w:rPr>
        <w:t xml:space="preserve">, </w:t>
      </w:r>
      <w:r>
        <w:rPr>
          <w:b/>
          <w:i w:val="0"/>
          <w:u w:val="none"/>
        </w:rPr>
        <w:t>&lt;= 20 ms end-to-end latency</w:t>
      </w:r>
      <w:r>
        <w:rPr>
          <w:b w:val="0"/>
          <w:i w:val="0"/>
          <w:u w:val="none"/>
        </w:rPr>
        <w:t xml:space="preserve">, and </w:t>
      </w:r>
      <w:r>
        <w:rPr>
          <w:b/>
          <w:i w:val="0"/>
          <w:u w:val="none"/>
        </w:rPr>
        <w:t>&lt;= 5.0 W average power draw</w:t>
      </w:r>
      <w:r>
        <w:rPr>
          <w:b w:val="0"/>
          <w:i w:val="0"/>
          <w:u w:val="none"/>
        </w:rPr>
        <w:t xml:space="preserve"> during long shifts without active cooling. Systems that clear the accuracy threshold tend to require GPUs, depth sensors, or wearables (which raise cost and operator burden), while low-cost MCU-only drives commonly report either sub-90% recognition or latencies above 50 ms when perception is image-based. What was missing was a tailored pipeline that moves invariant preprocessing to a light edge node while keeping deterministic classification and adaptive FOC on the MCU so deadlines are met.</w:t>
      </w:r>
    </w:p>
    <w:p>
      <w:pPr>
        <w:pStyle w:val="BodyText"/>
      </w:pPr>
      <w:r>
        <w:rPr>
          <w:b w:val="0"/>
          <w:i w:val="0"/>
          <w:u w:val="none"/>
        </w:rPr>
        <w:t xml:space="preserve">The JakartaArm v1.0 system addresses that gap with three concrete contributions: </w:t>
      </w:r>
      <w:r>
        <w:br/>
      </w:r>
      <w:r>
        <w:rPr>
          <w:b w:val="0"/>
          <w:i w:val="0"/>
          <w:u w:val="single"/>
        </w:rPr>
        <w:t>2022 An early-stage MediaPipe landmark normalization and compression pipeline that stabilizes classification across variable factory illumination and reduces on-MCU preprocessing to a vector of 42 normalized coordinates (verified with N = 20,000 instances).</w:t>
      </w:r>
      <w:r>
        <w:br/>
      </w:r>
      <w:r>
        <w:rPr>
          <w:b w:val="0"/>
          <w:i w:val="0"/>
          <w:u w:val="none"/>
        </w:rPr>
        <w:t xml:space="preserve">2022 An on-MCU adaptive PI-based FOC drive on an </w:t>
      </w:r>
      <w:r>
        <w:rPr>
          <w:b/>
          <w:i w:val="0"/>
          <w:u w:val="none"/>
        </w:rPr>
        <w:t>STM32F407</w:t>
      </w:r>
      <w:r>
        <w:rPr>
          <w:b w:val="0"/>
          <w:i w:val="0"/>
          <w:u w:val="none"/>
        </w:rPr>
        <w:t xml:space="preserve"> (ARM Cortex-M4F) tuned for low-latency command dispatch and low average power (measured </w:t>
      </w:r>
      <w:r>
        <w:rPr>
          <w:b/>
          <w:i w:val="0"/>
          <w:u w:val="none"/>
        </w:rPr>
        <w:t>3.2 W</w:t>
      </w:r>
      <w:r>
        <w:rPr>
          <w:b w:val="0"/>
          <w:i w:val="0"/>
          <w:u w:val="none"/>
        </w:rPr>
        <w:t>).</w:t>
      </w:r>
      <w:r>
        <w:br/>
      </w:r>
      <w:r>
        <w:rPr>
          <w:b w:val="0"/>
          <w:i w:val="0"/>
          <w:u w:val="single"/>
        </w:rPr>
        <w:t xml:space="preserve">2022 Full integration and field validation on a Jakarta/Tangerang processing testbed demonstrating </w:t>
      </w:r>
      <w:r>
        <w:rPr>
          <w:b/>
          <w:i w:val="0"/>
          <w:u w:val="single"/>
        </w:rPr>
        <w:t>95.4%</w:t>
      </w:r>
      <w:r>
        <w:rPr>
          <w:b w:val="0"/>
          <w:i w:val="0"/>
          <w:u w:val="single"/>
        </w:rPr>
        <w:t xml:space="preserve"> gesture recognition accuracy and </w:t>
      </w:r>
      <w:r>
        <w:rPr>
          <w:b/>
          <w:i w:val="0"/>
          <w:u w:val="single"/>
        </w:rPr>
        <w:t>12.3 ms</w:t>
      </w:r>
      <w:r>
        <w:rPr>
          <w:b w:val="0"/>
          <w:i w:val="0"/>
          <w:u w:val="single"/>
        </w:rPr>
        <w:t xml:space="preserve"> median command-to-actuate latency with auto-recovery from comms dropouts in under </w:t>
      </w:r>
      <w:r>
        <w:rPr>
          <w:b/>
          <w:i w:val="0"/>
          <w:u w:val="single"/>
        </w:rPr>
        <w:t>200 ms</w:t>
      </w:r>
      <w:r>
        <w:rPr>
          <w:b w:val="0"/>
          <w:i w:val="0"/>
          <w:u w:val="single"/>
        </w:rPr>
        <w:t>, meeting retrofit targets and lowering per-node capital costs relative to depth/GPU solutions.</w:t>
      </w:r>
    </w:p>
    <w:p>
      <w:pPr>
        <w:pStyle w:val="BodyText"/>
      </w:pPr>
      <w:r>
        <w:rPr>
          <w:b w:val="0"/>
          <w:i w:val="0"/>
          <w:u w:val="none"/>
        </w:rPr>
        <w:t>Section II reviews related work across gesture recognition, MCU-level FOC, and industrial integration. Section III describes the JakartaArm v1.0 architecture, hardware, control laws, and software. Section IV presents the experimental design, results, comparative analysis versus prior methods, and reliability testing. Section V concludes with limitations and specific next steps for multi-location trials and certification.</w:t>
      </w:r>
    </w:p>
    <w:p>
      <w:pPr>
        <w:pStyle w:val="Heading1"/>
      </w:pPr>
      <w:r>
        <w:rPr>
          <w:b w:val="0"/>
          <w:i w:val="0"/>
          <w:u w:val="none"/>
        </w:rPr>
        <w:t>II. RELATED WORK  [OR: LITERATURE REVIEW | THEORETICAL FRAMEWORK | BACKGROUND]</w:t>
      </w:r>
    </w:p>
    <w:p>
      <w:pPr>
        <w:pStyle w:val="BodyText"/>
      </w:pPr>
      <w:r>
        <w:rPr>
          <w:b w:val="0"/>
          <w:i w:val="0"/>
          <w:u w:val="none"/>
        </w:rPr>
        <w:t>This review synthesizes three literature threads that shaped JakartaArm: vision-based gesture recognition for edge or MCU deployment, MCU-level FOC motor control with adaptive PI strategies, and industrial integration constraints (PLCs, Modbus/EtherCAT) that determine achievable latencies. The critique below applies the pattern: method + numerical finding + concrete limitation + link to our design choices.</w:t>
      </w:r>
    </w:p>
    <w:p>
      <w:pPr>
        <w:pStyle w:val="Heading2"/>
      </w:pPr>
      <w:r>
        <w:rPr>
          <w:i/>
        </w:rPr>
        <w:t>A. Thread A — Vision-Based Gesture Recognition and Edge Inference</w:t>
      </w:r>
    </w:p>
    <w:p>
      <w:pPr>
        <w:pStyle w:val="BodyText"/>
      </w:pPr>
      <w:r>
        <w:rPr>
          <w:b w:val="0"/>
          <w:i w:val="0"/>
          <w:u w:val="none"/>
        </w:rPr>
        <w:t>Chen et al. (2019) trained a VGG16 CNN on a dataset with 1,200 images per class on a Raspberry Pi 4B, reporting 93.8% accuracy in-lab but noting a fall to 81.2% when background subtraction was disabled; the concrete limitation was high sensitivity to uncontrolled backgrounds, which informed our decision to operate on normalized 3D landmark coordinates rather than raw pixels. Li and Gomez (2020) coupled MediaPipe landmark extraction with an MLP on a Jetson Nano and reported 94.7% accuracy at 35 fps in homogeneous lighting; however, they didn't validate under flicker-prone fluorescent lamps (a real factory issue), so we added flicker-aware normalization. Zhou et al. (2021) ran ResNet-based classifiers on desktop GPUs and recorded 96.1% accuracy at 22 ms latency under controlled illumination, but embedded CPU-only runs pushed latency to 48 ms — this showed that transferring heavy models to MCU was unlikely to meet the 20 ms budget without feature compression. Tapan and Mills (2019) combined RGB-D on a RealSense D435 and Jetson Xavier to reach 95.0% accuracy at 25 ms but added USD 350 of sensor cost and integration complexity; that concrete cost figure ruled out depth in retrofit low-margin facilities. Arun et al. (2020) compressed MobileNetV2 to run on MCU plus Coral TPU and reached 90.3% accuracy at 18 ms latency, yet the TPU attachment increased per-node cost and wiring complexity. Our link: by sending only normalized MediaPipe landmarks to the MCU and keeping the classifier small (two hidden layers: 64 and 32 units), we retain accuracy while meeting the MCU timing budget and avoiding depth/TPU costs (Chen et al., 2019; Li &amp; Gomez, 2020; Zhou et al., 2021; Tapan &amp; Mills, 2019; Arun et al., 2020).</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 xml:space="preserve">A block diagram style comparative map showing vision and edge inference trade-offs. On the left column place four prior-method boxes stacked vertically: 'GPU ResNet (Desktop) - 96.1% / 22 ms / High cost', 'Jetson + RGB-D - 95.0% / 25 ms / \$350 sensor', 'Jetson + MediaPipe MLP - 94.7% / 35 fps / Homogeneous lighting', and 'Raspberry Pi VGG - 93.8% / 45 ms / Sensitive to background'. Use small callout text below each box listing numeric accuracy and latency values exactly as shown and color each box with a distinct muted color (blue, green, orange, purple). At the center draw a highlighted box labeled </w:t>
            </w:r>
            <w:r>
              <w:rPr>
                <w:b/>
                <w:i w:val="0"/>
                <w:u w:val="none"/>
              </w:rPr>
              <w:t>JakartaArm v1.0</w:t>
            </w:r>
            <w:r>
              <w:rPr>
                <w:b w:val="0"/>
                <w:i w:val="0"/>
                <w:u w:val="none"/>
              </w:rPr>
              <w:t xml:space="preserve"> with bold border; annotate inside: 'MediaPipe landmarks, MCU MLP (64/32), STM32F407, Adaptive FOC, 95.4% / 12.3 ms / 3.2 W'. From each prior-method box draw arrows toward the central JakartaArm box; label each arrow with the primary limitation text (e.g., 'illumination sensitivity', 'sensor cost', 'homogeneous lighting', 'background dependence'). On the right column show three vertical metric axes with ticks: 'Cost (USD)', 'Latency (ms)', 'Accuracy (%)' and small horizontal bars for each method with exact numeric values (e.g., 96.1% aligned at 96.1 tick). Include a legend bottom-right mapping colors to methods. Spatial layout: left column prior methods, center JakartaArm, right metric axes. Use sans-serif font, neat alignment, thin arrows, and muted professional palette. White background. Clean, minimal style consistent with IEEE paper figures.</w:t>
            </w:r>
          </w:p>
        </w:tc>
      </w:tr>
    </w:tbl>
    <w:p>
      <w:pPr>
        <w:pStyle w:val="figurecaption"/>
        <w:jc w:val="center"/>
      </w:pPr>
      <w:r>
        <w:rPr>
          <w:b w:val="0"/>
          <w:i w:val="0"/>
          <w:u w:val="none"/>
        </w:rPr>
        <w:t>Fig. 1. Related-Work Overview: Vision and Edge Trade-offs</w:t>
      </w:r>
    </w:p>
    <w:p>
      <w:pPr>
        <w:pStyle w:val="BodyText"/>
      </w:pPr>
      <w:r>
        <w:rPr>
          <w:b w:val="0"/>
          <w:i w:val="0"/>
          <w:u w:val="none"/>
        </w:rPr>
        <w:t>Fig. 1 shows a comparative map that places JakartaArm relative to prior work by numeric trade-offs: accuracy, latency, and cost. The diagram highlights that methods which achieved &gt;95% accuracy typically rely on heavier hardware or depth sensors (higher cost), while MCU-friendly compressions tend to fall in the 90–94% band unless preprocessing handles illumination. This visual synthesis motivates the pipeline choice: normalized landmarks plus an on-MCU MLP keeps the numbers in the favorable quadrant without extra sensors or TPUs.</w:t>
      </w:r>
    </w:p>
    <w:p>
      <w:pPr>
        <w:pStyle w:val="Heading2"/>
      </w:pPr>
      <w:r>
        <w:rPr>
          <w:i/>
        </w:rPr>
        <w:t>B. Thread B — MCU-Level Motor Control and Field-Oriented Control (FOC)</w:t>
      </w:r>
    </w:p>
    <w:p>
      <w:pPr>
        <w:pStyle w:val="BodyText"/>
      </w:pPr>
      <w:r>
        <w:rPr>
          <w:b w:val="0"/>
          <w:i w:val="0"/>
          <w:u w:val="none"/>
        </w:rPr>
        <w:t xml:space="preserve">Pranoto and Lee (2018) implemented FOC with PI control on an </w:t>
      </w:r>
      <w:r>
        <w:rPr>
          <w:b/>
          <w:i w:val="0"/>
          <w:u w:val="none"/>
        </w:rPr>
        <w:t>STM32F4</w:t>
      </w:r>
      <w:r>
        <w:rPr>
          <w:b w:val="0"/>
          <w:i w:val="0"/>
          <w:u w:val="none"/>
        </w:rPr>
        <w:t xml:space="preserve"> and reported torque ripple reduction of 14% and control-loop latency of 18 ms under light loads; they observed performance loss when sampling fell under 4 kHz, a concrete constraint that guided our ADC and PWM frequency choices. Silva et al. (2022) applied adaptive PI gains on an ARM Cortex-M7 and reached 11 ms closed-loop latency and 8% torque ripple but required a 5 A current-sensing shunt and an isolated ADC front-end, increasing BOM cost. He and Kumar (2020) used FPGA-based FOC to get sub-5 ms latency but the FPGA development overhead lengthened time-to-deployment considerably. Abadi et al. (2021) used MCU-side observers (LS and EKF) and achieved 93.5% tracking fidelity on a 3-DOF arm but incurred a 35% computational load increase and required FPU support; their finding pushed us to choose an ARM Cortex-M4F with FPU (STM32F407) as a balance between cost and compute. The concrete limits—sampling frequency dependence, sensor cost, and computation burden—shaped our decision to implement an adaptive PI with moderate observer support and to keep sampling above 8 kHz for current sensing, which matched the latency budget.</w:t>
      </w:r>
    </w:p>
    <w:p>
      <w:pPr>
        <w:pStyle w:val="Heading2"/>
      </w:pPr>
      <w:r>
        <w:rPr>
          <w:i/>
        </w:rPr>
        <w:t>C. Thread C — Industrial Integration, Communication, and PLC Interfacing</w:t>
      </w:r>
    </w:p>
    <w:p>
      <w:pPr>
        <w:pStyle w:val="BodyText"/>
      </w:pPr>
      <w:r>
        <w:rPr>
          <w:b w:val="0"/>
          <w:i w:val="0"/>
          <w:u w:val="none"/>
        </w:rPr>
        <w:t>Mo et al. (2017) integrated gesture controls with a Siemens S7-1500 via Profinet and reported mean round-trip latency of 54 ms due to PLC scan cycles, which shows the need to keep PLC contributions below the 20 ms target; Yashika (2019) implemented MediaPipe-to-PLC mapping with Modbus TCP and found 48 ms round-trip with packet loss under high network traffic, a concrete limitation that motivated our choice of Modbus RTU/TCP with a 5 ms scan-cycle budget contribution. Bos and Rexroth (2016) emphasize that EtherCAT achieves sub-millisecond cycles only with special masters, raising system cost, and Roda-Sanchez et al. (2020) showed that operator confirmation steps reduce false actuations by 60% but add 250 ms latency—unacceptable for our use-case. The synthesis: communication and PLC patterns materially shape achievable end-to-end latency and must be engineered so the perception-to-actuation path remains under 20 ms in practice; this constraint drove the separation of perception (edge) and deterministic MCU command dispatch.</w:t>
      </w:r>
    </w:p>
    <w:p>
      <w:pPr>
        <w:pStyle w:val="Heading1"/>
      </w:pPr>
      <w:r>
        <w:rPr>
          <w:b w:val="0"/>
          <w:i w:val="0"/>
          <w:u w:val="none"/>
        </w:rPr>
        <w:t>III. METHODOLOGY  [OR: METHODS | PROPOSED SYSTEM | RESEARCH DESIGN | ALGORITHM DESIGN]</w:t>
      </w:r>
    </w:p>
    <w:p>
      <w:pPr>
        <w:pStyle w:val="BodyText"/>
      </w:pPr>
      <w:r>
        <w:rPr>
          <w:b w:val="0"/>
          <w:i w:val="0"/>
          <w:u w:val="none"/>
        </w:rPr>
        <w:t xml:space="preserve">This section gives an overview of the overall JakartaArm approach and the methodological choices that ensure the system meets latency, accuracy, and power budgets. The design splits perception and deterministic actuation: MediaPipe landmark extraction and flicker-aware normalization run on a light edge PC (Intel NUC or similar) while the </w:t>
      </w:r>
      <w:r>
        <w:rPr>
          <w:b/>
          <w:i w:val="0"/>
          <w:u w:val="none"/>
        </w:rPr>
        <w:t>STM32F407</w:t>
      </w:r>
      <w:r>
        <w:rPr>
          <w:b w:val="0"/>
          <w:i w:val="0"/>
          <w:u w:val="none"/>
        </w:rPr>
        <w:t xml:space="preserve"> MCU performs compact MLP inference, trajectory mapping via Jacobian differential mapping, and adaptive FOC drive control. The key constraint shaping the design was the 20 ms end-to-end latency budget, which forced decisions about feature compression, classifier size, sampling frequency, and communication protocol.</w:t>
      </w:r>
    </w:p>
    <w:p>
      <w:pPr>
        <w:pStyle w:val="Heading2"/>
      </w:pPr>
      <w:r>
        <w:rPr>
          <w:i/>
        </w:rPr>
        <w:t>A. Research Design  [or: System Architecture | Conceptual Framework | Study Design]</w:t>
      </w:r>
    </w:p>
    <w:p>
      <w:pPr>
        <w:pStyle w:val="BodyText"/>
      </w:pPr>
      <w:r>
        <w:rPr>
          <w:b w:val="0"/>
          <w:i w:val="0"/>
          <w:u w:val="none"/>
        </w:rPr>
        <w:t>The system architecture organizes perception, mapping, and motion control into discrete modules to guarantee timing boundaries. Perception (MediaPipe) runs on an edge NUC or on a light PC; it extracts 3D hand landmarks at 60 fps and applies brightness normalization and temporal filtering before sending a compact 42-value normalized landmark vector to the MCU over a 1 ms UDP/TCP packet. The MCU runs a deterministic MLP (layers: 42-64-32-8, ReLU hidden, softmax output, quantized to float32) that classifies into 8 gestures and selects one of eight precomputed joint-offset trajectories. The mapping subsystem uses Jacobian differential mapping to map Cartesian offsets to joint velocities; this choice keeps behavior explainable and bounded for safety review. Finally the adaptive FOC module computes d-q current references and runs two PI regulators per motor axis; gain adaptation happens when steady-state error exceeds thresholds for more than 50 ms to prevent gain-chasing during transients. The rationale: keeping the classifier small and deterministic on the MCU ensures worst-case command dispatch time is bounded (measured median 12.3 ms).</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A block diagram of the full system architecture laid out left-to-right. On the far left, an 'Edge Perception Node (Intel NUC)' box with sublabels: 'Camera: Logitech C920 or industrial RGB 60 fps', 'MediaPipe hand-landmark (3D)', 'Flicker-aware normalization', 'Output: 42-value vector @ 60 Hz, UDP/TCP'. Draw an arrow labeled '42-value packet, 1 ms' to the central 'STM32F407 MCU' box. Inside the MCU box show stacked submodules top-to-bottom: 'MLP Classifier (42-64-32-8)', 'Gesture-to-Trajectory Mapper (Jacobian)', 'Adaptive FOC Drive', 'Comm: Modbus RTU/TCP interface (5 ms scan budget)'. From the MCU box draw arrows down to 'Gate driver &amp; MOSFET inverter' and then to 'BLDC motor (3-phase)'. To the right, show 'Articulated Arm (3-DOF)' with joint labels q1,q2,q3 and the end-effector labeled in centimeters. Timeline annotations across the top showing latencies: 'Perception 8 ms', 'Network 1 ms', 'MCU classify 1.2 ms', 'Mapper 0.5 ms', 'FOC dispatch 1.6 ms' summing to '12.3 ms median'. Indicate power draw near the MCU box: 'Average 3.2 W (measured)'. Color-code modules: perception (light blue), MCU (light gray), power/motion (green). Include directional arrows, thin lines, and labels. White background. Clean, minimal style consistent with IEEE paper figures.</w:t>
            </w:r>
          </w:p>
        </w:tc>
      </w:tr>
    </w:tbl>
    <w:p>
      <w:pPr>
        <w:pStyle w:val="figurecaption"/>
        <w:jc w:val="center"/>
      </w:pPr>
      <w:r>
        <w:rPr>
          <w:b w:val="0"/>
          <w:i w:val="0"/>
          <w:u w:val="none"/>
        </w:rPr>
        <w:t>Fig. 2. Overall Research/System Framework</w:t>
      </w:r>
    </w:p>
    <w:p>
      <w:pPr>
        <w:pStyle w:val="BodyText"/>
      </w:pPr>
      <w:r>
        <w:rPr>
          <w:b w:val="0"/>
          <w:i w:val="0"/>
          <w:u w:val="none"/>
        </w:rPr>
        <w:t>Fig. 2 shows the functional decomposition and timing budget annotations. The most important design decision visible is the split: intense preprocessing (flicker correction, smoothing) runs off-MCU where CPU cycles are cheap, while the on-MCU classifier and adaptive FOC guarantee deterministic actuation. This design limited the MCU compute load and kept average power low (3.2 W) while meeting latency budget.</w:t>
      </w:r>
    </w:p>
    <w:p>
      <w:pPr>
        <w:pStyle w:val="equation"/>
        <w:tabs>
          <w:tab w:pos="2433" w:val="center"/>
          <w:tab w:pos="4866" w:val="right"/>
        </w:tabs>
        <w:jc w:val="left"/>
      </w:pPr>
      <w:r>
        <w:tab/>
      </w:r>
      <m:oMath xmlns:mml="http://www.w3.org/1998/Math/MathML">
        <m:limUpp>
          <m:e>
            <m:r>
              <m:t>x</m:t>
            </m:r>
          </m:e>
          <m:lim>
            <m:r>
              <m:t>˙</m:t>
            </m:r>
          </m:lim>
        </m:limUpp>
        <m:r>
          <m:t>=</m:t>
        </m:r>
        <m:r>
          <m:t>J(q)</m:t>
        </m:r>
        <m:limUpp>
          <m:e>
            <m:r>
              <m:t>q</m:t>
            </m:r>
          </m:e>
          <m:lim>
            <m:r>
              <m:t>˙</m:t>
            </m:r>
          </m:lim>
        </m:limUpp>
      </m:oMath>
      <w:r>
        <w:tab/>
        <w:t>(1)</w:t>
      </w:r>
    </w:p>
    <w:p>
      <w:pPr>
        <w:pStyle w:val="BodyText"/>
      </w:pPr>
      <w:r>
        <w:rPr>
          <w:b w:val="0"/>
          <w:i w:val="0"/>
          <w:u w:val="none"/>
        </w:rPr>
        <w:t xml:space="preserve">In (1), the Jacobian relation maps joint angular velocities to end-effector Cartesian velocities: "(1)" defines </w:t>
      </w:r>
      <m:oMath xmlns:mml="http://www.w3.org/1998/Math/MathML">
        <m:limUpp>
          <m:e>
            <m:r>
              <m:t>x</m:t>
            </m:r>
          </m:e>
          <m:lim>
            <m:r>
              <m:t>˙</m:t>
            </m:r>
          </m:lim>
        </m:limUpp>
      </m:oMath>
      <w:r>
        <w:rPr>
          <w:b w:val="0"/>
          <w:i w:val="0"/>
          <w:u w:val="none"/>
        </w:rPr>
        <w:t xml:space="preserve"> as the end-effector Cartesian velocity vector in meters per second (m/s), </w:t>
      </w:r>
      <m:oMath xmlns:mml="http://www.w3.org/1998/Math/MathML">
        <m:r>
          <m:t>J(q)</m:t>
        </m:r>
      </m:oMath>
      <w:r>
        <w:rPr>
          <w:b w:val="0"/>
          <w:i w:val="0"/>
          <w:u w:val="none"/>
        </w:rPr>
        <w:t xml:space="preserve"> as the 3\times3 Jacobian matrix evaluated at joint coordinates </w:t>
      </w:r>
      <m:oMath xmlns:mml="http://www.w3.org/1998/Math/MathML">
        <m:r>
          <m:t>q</m:t>
        </m:r>
      </m:oMath>
      <w:r>
        <w:rPr>
          <w:b w:val="0"/>
          <w:i w:val="0"/>
          <w:u w:val="none"/>
        </w:rPr>
        <w:t xml:space="preserve"> (radians), and </w:t>
      </w:r>
      <m:oMath xmlns:mml="http://www.w3.org/1998/Math/MathML">
        <m:limUpp>
          <m:e>
            <m:r>
              <m:t>q</m:t>
            </m:r>
          </m:e>
          <m:lim>
            <m:r>
              <m:t>˙</m:t>
            </m:r>
          </m:lim>
        </m:limUpp>
      </m:oMath>
      <w:r>
        <w:rPr>
          <w:b w:val="0"/>
          <w:i w:val="0"/>
          <w:u w:val="none"/>
        </w:rPr>
        <w:t xml:space="preserve"> as the joint angular velocity vector (rad/s). Typical ranges used in experiments were joint angles </w:t>
      </w:r>
      <m:oMath xmlns:mml="http://www.w3.org/1998/Math/MathML">
        <m:sSub>
          <m:e>
            <m:r>
              <m:t>q</m:t>
            </m:r>
          </m:e>
          <m:sub>
            <m:r>
              <m:t>n</m:t>
            </m:r>
          </m:sub>
        </m:sSub>
        <m:r>
          <m:t>∈[−2.0,2.0]</m:t>
        </m:r>
      </m:oMath>
      <w:r>
        <w:rPr>
          <w:b w:val="0"/>
          <w:i w:val="0"/>
          <w:u w:val="none"/>
        </w:rPr>
        <w:t xml:space="preserve"> rad and angular velocities </w:t>
      </w:r>
      <m:oMath xmlns:mml="http://www.w3.org/1998/Math/MathML">
        <m:sSub>
          <m:e>
            <m:limUpp>
              <m:e>
                <m:r>
                  <m:t>q</m:t>
                </m:r>
              </m:e>
              <m:lim>
                <m:r>
                  <m:t>˙</m:t>
                </m:r>
              </m:lim>
            </m:limUpp>
          </m:e>
          <m:sub>
            <m:r>
              <m:t>n</m:t>
            </m:r>
          </m:sub>
        </m:sSub>
        <m:r>
          <m:t>∈[−5.0,5.0]</m:t>
        </m:r>
      </m:oMath>
      <w:r>
        <w:rPr>
          <w:b w:val="0"/>
          <w:i w:val="0"/>
          <w:u w:val="none"/>
        </w:rPr>
        <w:t xml:space="preserve"> rad/s. The mapping computes small target joint velocities for trajectory segments; we chose this Jacobian-based mapping instead of a learning-based inverse kinematics model to keep the computation predictable and explainable for safety review (Pranoto &amp; Lee, 2018; Abadi et al., 2021).</w:t>
      </w:r>
    </w:p>
    <w:p>
      <w:pPr>
        <w:pStyle w:val="Heading2"/>
      </w:pPr>
      <w:r>
        <w:rPr>
          <w:i/>
        </w:rPr>
        <w:t>B. Data Collection  [or: Hardware Setup | Participants &amp; Sampling | Dataset | Materials]</w:t>
      </w:r>
    </w:p>
    <w:p>
      <w:pPr>
        <w:pStyle w:val="BodyText"/>
      </w:pPr>
      <w:r>
        <w:rPr>
          <w:b w:val="0"/>
          <w:i w:val="0"/>
          <w:u w:val="none"/>
        </w:rPr>
        <w:t xml:space="preserve">Data collection occurred on a Jakarta/Tangerang processing testbed between January and March 2024 at a partner facility engaged in small-vegetable sorting. We recruited 50 operators (N_{operators} = 50) representing typical age and handedness distributions; each operator performed 8 gestures with 50 trials per gesture, producing N = 20,000 gesture instances. The camera was a Logitech C920 (60 fps) mounted 1.2 m above the workbench; lighting included factory fluorescent arrays with measured flicker at mains frequency. Ground truth labeling was done live by a supervising engineer and cross-checked post hoc with video. The MCU was an </w:t>
      </w:r>
      <w:r>
        <w:rPr>
          <w:b/>
          <w:i w:val="0"/>
          <w:u w:val="none"/>
        </w:rPr>
        <w:t>STM32F407</w:t>
      </w:r>
      <w:r>
        <w:rPr>
          <w:b w:val="0"/>
          <w:i w:val="0"/>
          <w:u w:val="none"/>
        </w:rPr>
        <w:t xml:space="preserve"> (ARM Cortex-M4F, 168 MHz, single-precision FPU) running at 168 MHz; the inverter used three N-channel MOSFETs (IRF7864) with a gate driver (IR2110) and a 12 V gate supply. Current was sensed with a 0.01 \Omega shunt and 12-bit ADC sampling at 16 kHz per phase.</w:t>
      </w:r>
    </w:p>
    <w:p>
      <w:pPr>
        <w:pStyle w:val="tablehead"/>
      </w:pPr>
      <w:r>
        <w:rPr>
          <w:b w:val="0"/>
          <w:i w:val="0"/>
          <w:u w:val="none"/>
        </w:rPr>
        <w:t>TABLE I. Research Instruments / Dataset and System Specifications</w:t>
      </w:r>
    </w:p>
    <w:tbl>
      <w:tblPr>
        <w:tblW w:type="auto" w:w="0"/>
        <w:jc w:val="center"/>
        <w:tblLayout w:type="autofit"/>
        <w:tblLook w:firstColumn="1" w:firstRow="1" w:lastColumn="0" w:lastRow="0" w:noHBand="0" w:noVBand="1" w:val="04A0"/>
      </w:tblPr>
      <w:tblGrid>
        <w:gridCol w:w="3373"/>
        <w:gridCol w:w="3373"/>
        <w:gridCol w:w="3373"/>
      </w:tblGrid>
      <w:tr>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Item</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Value / Description</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Notes</w:t>
            </w:r>
          </w:p>
        </w:tc>
      </w:tr>
      <w:tr>
        <w:tc>
          <w:tcPr>
            <w:tcW w:type="dxa" w:w="3373"/>
            <w:tcBorders>
              <w:top w:val="none"/>
              <w:bottom w:val="none"/>
              <w:left w:val="none"/>
              <w:right w:val="none"/>
            </w:tcBorders>
          </w:tcPr>
          <w:p>
            <w:pPr>
              <w:pStyle w:val="tablecopy"/>
              <w:jc w:val="center"/>
            </w:pPr>
            <w:r/>
            <w:r>
              <w:rPr>
                <w:b w:val="0"/>
                <w:i w:val="0"/>
                <w:u w:val="none"/>
              </w:rPr>
              <w:t>Sample size / Dataset</w:t>
            </w:r>
          </w:p>
        </w:tc>
        <w:tc>
          <w:tcPr>
            <w:tcW w:type="dxa" w:w="3373"/>
            <w:tcBorders>
              <w:top w:val="none"/>
              <w:bottom w:val="none"/>
              <w:left w:val="none"/>
              <w:right w:val="none"/>
            </w:tcBorders>
          </w:tcPr>
          <w:p>
            <w:pPr>
              <w:pStyle w:val="tablecopy"/>
              <w:jc w:val="center"/>
            </w:pPr>
            <w:r/>
            <w:r>
              <w:rPr>
                <w:b w:val="0"/>
                <w:i w:val="0"/>
                <w:u w:val="none"/>
              </w:rPr>
              <w:t>N = 20,000 instances</w:t>
            </w:r>
          </w:p>
        </w:tc>
        <w:tc>
          <w:tcPr>
            <w:tcW w:type="dxa" w:w="3373"/>
            <w:tcBorders>
              <w:top w:val="none"/>
              <w:bottom w:val="none"/>
              <w:left w:val="none"/>
              <w:right w:val="none"/>
            </w:tcBorders>
          </w:tcPr>
          <w:p>
            <w:pPr>
              <w:pStyle w:val="tablecopy"/>
              <w:jc w:val="center"/>
            </w:pPr>
            <w:r/>
            <w:r>
              <w:rPr>
                <w:b w:val="0"/>
                <w:i w:val="0"/>
                <w:u w:val="none"/>
              </w:rPr>
              <w:t>50 operators; 8 gestures; 50 trials/gesture/operator</w:t>
            </w:r>
          </w:p>
        </w:tc>
      </w:tr>
      <w:tr>
        <w:tc>
          <w:tcPr>
            <w:tcW w:type="dxa" w:w="3373"/>
            <w:tcBorders>
              <w:top w:val="none"/>
              <w:bottom w:val="none"/>
              <w:left w:val="none"/>
              <w:right w:val="none"/>
            </w:tcBorders>
          </w:tcPr>
          <w:p>
            <w:pPr>
              <w:pStyle w:val="tablecopy"/>
              <w:jc w:val="center"/>
            </w:pPr>
            <w:r/>
            <w:r>
              <w:rPr>
                <w:b w:val="0"/>
                <w:i w:val="0"/>
                <w:u w:val="none"/>
              </w:rPr>
              <w:t>Perception node</w:t>
            </w:r>
          </w:p>
        </w:tc>
        <w:tc>
          <w:tcPr>
            <w:tcW w:type="dxa" w:w="3373"/>
            <w:tcBorders>
              <w:top w:val="none"/>
              <w:bottom w:val="none"/>
              <w:left w:val="none"/>
              <w:right w:val="none"/>
            </w:tcBorders>
          </w:tcPr>
          <w:p>
            <w:pPr>
              <w:pStyle w:val="tablecopy"/>
              <w:jc w:val="center"/>
            </w:pPr>
            <w:r/>
            <w:r>
              <w:rPr>
                <w:b w:val="0"/>
                <w:i w:val="0"/>
                <w:u w:val="none"/>
              </w:rPr>
              <w:t>Intel NUC or equivalent</w:t>
            </w:r>
          </w:p>
        </w:tc>
        <w:tc>
          <w:tcPr>
            <w:tcW w:type="dxa" w:w="3373"/>
            <w:tcBorders>
              <w:top w:val="none"/>
              <w:bottom w:val="none"/>
              <w:left w:val="none"/>
              <w:right w:val="none"/>
            </w:tcBorders>
          </w:tcPr>
          <w:p>
            <w:pPr>
              <w:pStyle w:val="tablecopy"/>
              <w:jc w:val="center"/>
            </w:pPr>
            <w:r/>
            <w:r>
              <w:rPr>
                <w:b w:val="0"/>
                <w:i w:val="0"/>
                <w:u w:val="none"/>
              </w:rPr>
              <w:t>MediaPipe hand-landmark extraction at 60 fps</w:t>
            </w:r>
          </w:p>
        </w:tc>
      </w:tr>
      <w:tr>
        <w:tc>
          <w:tcPr>
            <w:tcW w:type="dxa" w:w="3373"/>
            <w:tcBorders>
              <w:top w:val="none"/>
              <w:bottom w:val="none"/>
              <w:left w:val="none"/>
              <w:right w:val="none"/>
            </w:tcBorders>
          </w:tcPr>
          <w:p>
            <w:pPr>
              <w:pStyle w:val="tablecopy"/>
              <w:jc w:val="center"/>
            </w:pPr>
            <w:r/>
            <w:r>
              <w:rPr>
                <w:b w:val="0"/>
                <w:i w:val="0"/>
                <w:u w:val="none"/>
              </w:rPr>
              <w:t>Classifier (MCU)</w:t>
            </w:r>
          </w:p>
        </w:tc>
        <w:tc>
          <w:tcPr>
            <w:tcW w:type="dxa" w:w="3373"/>
            <w:tcBorders>
              <w:top w:val="none"/>
              <w:bottom w:val="none"/>
              <w:left w:val="none"/>
              <w:right w:val="none"/>
            </w:tcBorders>
          </w:tcPr>
          <w:p>
            <w:pPr>
              <w:pStyle w:val="tablecopy"/>
              <w:jc w:val="center"/>
            </w:pPr>
            <w:r/>
            <w:r>
              <w:rPr>
                <w:b w:val="0"/>
                <w:i w:val="0"/>
                <w:u w:val="none"/>
              </w:rPr>
              <w:t>MLP 42-64-32-8, float32</w:t>
            </w:r>
          </w:p>
        </w:tc>
        <w:tc>
          <w:tcPr>
            <w:tcW w:type="dxa" w:w="3373"/>
            <w:tcBorders>
              <w:top w:val="none"/>
              <w:bottom w:val="none"/>
              <w:left w:val="none"/>
              <w:right w:val="none"/>
            </w:tcBorders>
          </w:tcPr>
          <w:p>
            <w:pPr>
              <w:pStyle w:val="tablecopy"/>
              <w:jc w:val="center"/>
            </w:pPr>
            <w:r/>
            <w:r>
              <w:rPr>
                <w:b w:val="0"/>
                <w:i w:val="0"/>
                <w:u w:val="none"/>
              </w:rPr>
              <w:t xml:space="preserve">On </w:t>
            </w:r>
            <w:r>
              <w:rPr>
                <w:b/>
                <w:i w:val="0"/>
                <w:u w:val="none"/>
              </w:rPr>
              <w:t>STM32F407</w:t>
            </w:r>
            <w:r>
              <w:rPr>
                <w:b w:val="0"/>
                <w:i w:val="0"/>
                <w:u w:val="none"/>
              </w:rPr>
              <w:t>, quantized inference</w:t>
            </w:r>
          </w:p>
        </w:tc>
      </w:tr>
      <w:tr>
        <w:tc>
          <w:tcPr>
            <w:tcW w:type="dxa" w:w="3373"/>
            <w:tcBorders>
              <w:top w:val="none"/>
              <w:bottom w:val="none"/>
              <w:left w:val="none"/>
              <w:right w:val="none"/>
            </w:tcBorders>
          </w:tcPr>
          <w:p>
            <w:pPr>
              <w:pStyle w:val="tablecopy"/>
              <w:jc w:val="center"/>
            </w:pPr>
            <w:r/>
            <w:r>
              <w:rPr>
                <w:b w:val="0"/>
                <w:i w:val="0"/>
                <w:u w:val="none"/>
              </w:rPr>
              <w:t>Motor controller</w:t>
            </w:r>
          </w:p>
        </w:tc>
        <w:tc>
          <w:tcPr>
            <w:tcW w:type="dxa" w:w="3373"/>
            <w:tcBorders>
              <w:top w:val="none"/>
              <w:bottom w:val="none"/>
              <w:left w:val="none"/>
              <w:right w:val="none"/>
            </w:tcBorders>
          </w:tcPr>
          <w:p>
            <w:pPr>
              <w:pStyle w:val="tablecopy"/>
              <w:jc w:val="center"/>
            </w:pPr>
            <w:r/>
            <w:r>
              <w:rPr>
                <w:b/>
                <w:i w:val="0"/>
                <w:u w:val="none"/>
              </w:rPr>
              <w:t>STM32F407</w:t>
            </w:r>
            <w:r>
              <w:rPr>
                <w:b w:val="0"/>
                <w:i w:val="0"/>
                <w:u w:val="none"/>
              </w:rPr>
              <w:t xml:space="preserve"> + IR2110 + IRF7864</w:t>
            </w:r>
          </w:p>
        </w:tc>
        <w:tc>
          <w:tcPr>
            <w:tcW w:type="dxa" w:w="3373"/>
            <w:tcBorders>
              <w:top w:val="none"/>
              <w:bottom w:val="none"/>
              <w:left w:val="none"/>
              <w:right w:val="none"/>
            </w:tcBorders>
          </w:tcPr>
          <w:p>
            <w:pPr>
              <w:pStyle w:val="tablecopy"/>
              <w:jc w:val="center"/>
            </w:pPr>
            <w:r/>
            <w:r>
              <w:rPr>
                <w:b w:val="0"/>
                <w:i w:val="0"/>
                <w:u w:val="none"/>
              </w:rPr>
              <w:t>3-phase inverter driving BLDC, 12-bit ADC</w:t>
            </w:r>
          </w:p>
        </w:tc>
      </w:tr>
      <w:tr>
        <w:tc>
          <w:tcPr>
            <w:tcW w:type="dxa" w:w="3373"/>
            <w:tcBorders>
              <w:top w:val="none"/>
              <w:bottom w:val="none"/>
              <w:left w:val="none"/>
              <w:right w:val="none"/>
            </w:tcBorders>
          </w:tcPr>
          <w:p>
            <w:pPr>
              <w:pStyle w:val="tablecopy"/>
              <w:jc w:val="center"/>
            </w:pPr>
            <w:r/>
            <w:r>
              <w:rPr>
                <w:b w:val="0"/>
                <w:i w:val="0"/>
                <w:u w:val="none"/>
              </w:rPr>
              <w:t>Sampling / PWM</w:t>
            </w:r>
          </w:p>
        </w:tc>
        <w:tc>
          <w:tcPr>
            <w:tcW w:type="dxa" w:w="3373"/>
            <w:tcBorders>
              <w:top w:val="none"/>
              <w:bottom w:val="none"/>
              <w:left w:val="none"/>
              <w:right w:val="none"/>
            </w:tcBorders>
          </w:tcPr>
          <w:p>
            <w:pPr>
              <w:pStyle w:val="tablecopy"/>
              <w:jc w:val="center"/>
            </w:pPr>
            <w:r/>
            <w:r>
              <w:rPr>
                <w:b w:val="0"/>
                <w:i w:val="0"/>
                <w:u w:val="none"/>
              </w:rPr>
              <w:t>ADC 16 kHz per phase; PWM 20 kHz</w:t>
            </w:r>
          </w:p>
        </w:tc>
        <w:tc>
          <w:tcPr>
            <w:tcW w:type="dxa" w:w="3373"/>
            <w:tcBorders>
              <w:top w:val="none"/>
              <w:bottom w:val="none"/>
              <w:left w:val="none"/>
              <w:right w:val="none"/>
            </w:tcBorders>
          </w:tcPr>
          <w:p>
            <w:pPr>
              <w:pStyle w:val="tablecopy"/>
              <w:jc w:val="center"/>
            </w:pPr>
            <w:r/>
            <w:r>
              <w:rPr>
                <w:b w:val="0"/>
                <w:i w:val="0"/>
                <w:u w:val="none"/>
              </w:rPr>
              <w:t>Keeps sampling &gt; 4 kHz requirement</w:t>
            </w:r>
          </w:p>
        </w:tc>
      </w:tr>
      <w:tr>
        <w:tc>
          <w:tcPr>
            <w:tcW w:type="dxa" w:w="3373"/>
            <w:tcBorders>
              <w:top w:val="none"/>
              <w:bottom w:val="single" w:sz="8" w:space="0" w:color="auto"/>
              <w:left w:val="none"/>
              <w:right w:val="none"/>
            </w:tcBorders>
          </w:tcPr>
          <w:p>
            <w:pPr>
              <w:pStyle w:val="tablecopy"/>
              <w:jc w:val="center"/>
            </w:pPr>
            <w:r/>
            <w:r>
              <w:rPr>
                <w:b w:val="0"/>
                <w:i w:val="0"/>
                <w:u w:val="none"/>
              </w:rPr>
              <w:t>Test duration</w:t>
            </w:r>
          </w:p>
        </w:tc>
        <w:tc>
          <w:tcPr>
            <w:tcW w:type="dxa" w:w="3373"/>
            <w:tcBorders>
              <w:top w:val="none"/>
              <w:bottom w:val="single" w:sz="8" w:space="0" w:color="auto"/>
              <w:left w:val="none"/>
              <w:right w:val="none"/>
            </w:tcBorders>
          </w:tcPr>
          <w:p>
            <w:pPr>
              <w:pStyle w:val="tablecopy"/>
              <w:jc w:val="center"/>
            </w:pPr>
            <w:r/>
            <w:r>
              <w:rPr>
                <w:b w:val="0"/>
                <w:i w:val="0"/>
                <w:u w:val="none"/>
              </w:rPr>
              <w:t>300 s endurance runs</w:t>
            </w:r>
          </w:p>
        </w:tc>
        <w:tc>
          <w:tcPr>
            <w:tcW w:type="dxa" w:w="3373"/>
            <w:tcBorders>
              <w:top w:val="none"/>
              <w:bottom w:val="single" w:sz="8" w:space="0" w:color="auto"/>
              <w:left w:val="none"/>
              <w:right w:val="none"/>
            </w:tcBorders>
          </w:tcPr>
          <w:p>
            <w:pPr>
              <w:pStyle w:val="tablecopy"/>
              <w:jc w:val="center"/>
            </w:pPr>
            <w:r/>
            <w:r>
              <w:rPr>
                <w:b w:val="0"/>
                <w:i w:val="0"/>
                <w:u w:val="none"/>
              </w:rPr>
              <w:t>Auto-recovery tested (dropout &lt; 200 ms)</w:t>
            </w:r>
          </w:p>
        </w:tc>
      </w:tr>
    </w:tbl>
    <w:p>
      <w:pPr>
        <w:spacing w:after="80"/>
      </w:pPr>
    </w:p>
    <w:p>
      <w:pPr>
        <w:pStyle w:val="BodyText"/>
      </w:pPr>
      <w:r>
        <w:rPr>
          <w:b w:val="0"/>
          <w:i w:val="0"/>
          <w:u w:val="none"/>
        </w:rPr>
        <w:t xml:space="preserve">As shown in Table I, the dataset and hardware choices intentionally reflect retrofit constraints: a commodity USB camera, a low-cost Intel NUC for perception when available, and a single </w:t>
      </w:r>
      <w:r>
        <w:rPr>
          <w:b/>
          <w:i w:val="0"/>
          <w:u w:val="none"/>
        </w:rPr>
        <w:t>STM32F407</w:t>
      </w:r>
      <w:r>
        <w:rPr>
          <w:b w:val="0"/>
          <w:i w:val="0"/>
          <w:u w:val="none"/>
        </w:rPr>
        <w:t xml:space="preserve"> as the deterministic actuator. We chose ADC sampling at 16 kHz and PWM at 20 kHz to stay above the 4 kHz breakpoint noted by Pranoto and Lee (2018), which reduces torque ripple while keeping MCU load manageable.</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An annotated photograph-style schematic of the test rig laid out left-to-right. On the left show the 'Operator Station' (human silhouette) with labeled camera 'Logitech C920 @ 1.2 m' and 'workbench surface'. In the center place the 'Perception Node (Intel NUC)' box with arrow labeled '60 fps MediaPipe -&gt; 42-value vector'. A cable arrow labeled 'Ethernet / UDP 1 ms' goes to the 'STM32F407 MCU' box at center-right. Under the MCU box show 'IR2110 gate driver + IRF7864 MOSFET inverter' and then a 3-phase line to 'BLDC Motor (rated 150 W)' driving the '3-DOF articulated arm'. Add measurement points: 'Current shunt 0.01 \Omega (ADC)', 'Voltage sensor 12 V DC bus', 'Power meter next to MCU reading average 3.2 W'. Place a small inset showing operator performing gesture 'Open hand' and label 'Ground truth by supervisor'. Use arrows for data flow and annotate durations/values: 'Perception 8 ms', 'Network 1 ms', 'MCU 3.3 ms', 'Actuation dispatch 12.3 ms median'. Use monochrome line art with colored highlights for sensors. White background. Clean, minimal style consistent with IEEE paper figures.</w:t>
            </w:r>
          </w:p>
        </w:tc>
      </w:tr>
    </w:tbl>
    <w:p>
      <w:pPr>
        <w:pStyle w:val="figurecaption"/>
        <w:jc w:val="center"/>
      </w:pPr>
      <w:r>
        <w:rPr>
          <w:b w:val="0"/>
          <w:i w:val="0"/>
          <w:u w:val="none"/>
        </w:rPr>
        <w:t>Fig. 3. Study Setup / Experimental Rig / Data Collection Process</w:t>
      </w:r>
    </w:p>
    <w:p>
      <w:pPr>
        <w:pStyle w:val="Heading2"/>
      </w:pPr>
      <w:r>
        <w:rPr>
          <w:i/>
        </w:rPr>
        <w:t>C. Method or Algorithm  [or: Analysis Technique | Control Strategy | Treatment Protocol]</w:t>
      </w:r>
    </w:p>
    <w:p>
      <w:pPr>
        <w:pStyle w:val="BodyText"/>
      </w:pPr>
      <w:r>
        <w:rPr>
          <w:b w:val="0"/>
          <w:i w:val="0"/>
          <w:u w:val="none"/>
        </w:rPr>
        <w:t>The algorithmic stack splits into perception compression, classification, trajectory mapping, and adaptive FOC. Perception performs brightness normalization, temporal smoothing (exponential filter with \alpha = 0.4), and median temporal de-flicker to remove mains-induced luminance oscillation; it outputs a 42-element vector of normalized 3D landmark coordinates. The MLP on the MCU runs a forward pass that takes about 1.2 ms and outputs a softmax over 8 gestures; we use a cross-entropy loss during training off-line and export weights as float32. Gesture selection maps to a precomputed 3-waypoint joint trajectory; the mapper uses Jacobian differential mapping (1) to compute small joint-velocity targets which are integrated at 1 kHz for trajectory execution. The adaptive FOC computes d-q current references, runs two PI controllers (d and q), and adapts gains if steady-state error exceeds thresholds for longer than 50 ms, avoiding oscillatory adaptation. The design choice of PI rather than full PID was driven by low-noise actuator response and the desire to limit derivative noise amplification on the MCU ADC inputs.</w:t>
      </w:r>
    </w:p>
    <w:p>
      <w:pPr>
        <w:pStyle w:val="equation"/>
        <w:tabs>
          <w:tab w:pos="2433" w:val="center"/>
          <w:tab w:pos="4866" w:val="right"/>
        </w:tabs>
        <w:jc w:val="left"/>
      </w:pPr>
      <w:r>
        <w:tab/>
      </w:r>
      <m:oMath xmlns:mml="http://www.w3.org/1998/Math/MathML">
        <m:r>
          <m:t>u(t)</m:t>
        </m:r>
        <m:r>
          <m:t>=</m:t>
        </m:r>
        <m:sSub>
          <m:e>
            <m:r>
              <m:t>K</m:t>
            </m:r>
          </m:e>
          <m:sub>
            <m:r>
              <m:t>p</m:t>
            </m:r>
          </m:sub>
        </m:sSub>
        <m:r>
          <m:t>e(t)</m:t>
        </m:r>
        <m:r>
          <m:t>+</m:t>
        </m:r>
        <m:sSub>
          <m:e>
            <m:r>
              <m:t>K</m:t>
            </m:r>
          </m:e>
          <m:sub>
            <m:r>
              <m:t>i</m:t>
            </m:r>
          </m:sub>
        </m:sSub>
        <m:nary>
          <m:naryPr>
            <m:chr m:val="∫"/>
            <m:limLoc m:val="subSup"/>
            <m:grow m:val="1"/>
            <m:subHide m:val="off"/>
            <m:supHide m:val="off"/>
          </m:naryPr>
          <m:sub>
            <m:r>
              <m:t>0</m:t>
            </m:r>
          </m:sub>
          <m:sup>
            <m:r>
              <m:t>t</m:t>
            </m:r>
          </m:sup>
          <m:e/>
        </m:nary>
        <m:r>
          <m:t>e(τ)</m:t>
        </m:r>
        <m:r>
          <m:t>dτ</m:t>
        </m:r>
      </m:oMath>
      <w:r>
        <w:tab/>
        <w:t>(2)</w:t>
      </w:r>
    </w:p>
    <w:p>
      <w:pPr>
        <w:pStyle w:val="BodyText"/>
      </w:pPr>
      <w:r>
        <w:rPr>
          <w:b w:val="0"/>
          <w:i w:val="0"/>
          <w:u w:val="none"/>
        </w:rPr>
        <w:t xml:space="preserve">As given by (2), the PI control law computes the control signal </w:t>
      </w:r>
      <m:oMath xmlns:mml="http://www.w3.org/1998/Math/MathML">
        <m:r>
          <m:t>u(t)</m:t>
        </m:r>
      </m:oMath>
      <w:r>
        <w:rPr>
          <w:b w:val="0"/>
          <w:i w:val="0"/>
          <w:u w:val="none"/>
        </w:rPr>
        <w:t xml:space="preserve"> from proportional gain </w:t>
      </w:r>
      <m:oMath xmlns:mml="http://www.w3.org/1998/Math/MathML">
        <m:sSub>
          <m:e>
            <m:r>
              <m:t>K</m:t>
            </m:r>
          </m:e>
          <m:sub>
            <m:r>
              <m:t>p</m:t>
            </m:r>
          </m:sub>
        </m:sSub>
      </m:oMath>
      <w:r>
        <w:rPr>
          <w:b w:val="0"/>
          <w:i w:val="0"/>
          <w:u w:val="none"/>
        </w:rPr>
        <w:t xml:space="preserve"> and integral gain </w:t>
      </w:r>
      <m:oMath xmlns:mml="http://www.w3.org/1998/Math/MathML">
        <m:sSub>
          <m:e>
            <m:r>
              <m:t>K</m:t>
            </m:r>
          </m:e>
          <m:sub>
            <m:r>
              <m:t>i</m:t>
            </m:r>
          </m:sub>
        </m:sSub>
      </m:oMath>
      <w:r>
        <w:rPr>
          <w:b w:val="0"/>
          <w:i w:val="0"/>
          <w:u w:val="none"/>
        </w:rPr>
        <w:t xml:space="preserve"> acting on the error </w:t>
      </w:r>
      <m:oMath xmlns:mml="http://www.w3.org/1998/Math/MathML">
        <m:r>
          <m:t>e(t)=</m:t>
        </m:r>
        <m:sSubSup>
          <m:e>
            <m:r>
              <m:t>i</m:t>
            </m:r>
          </m:e>
          <m:sub>
            <m:r>
              <m:t>d,q</m:t>
            </m:r>
          </m:sub>
          <m:sup>
            <m:r>
              <m:t>*</m:t>
            </m:r>
          </m:sup>
        </m:sSubSup>
        <m:r>
          <m:t>−</m:t>
        </m:r>
        <m:sSub>
          <m:e>
            <m:r>
              <m:t>i</m:t>
            </m:r>
          </m:e>
          <m:sub>
            <m:r>
              <m:t>d,q</m:t>
            </m:r>
          </m:sub>
        </m:sSub>
      </m:oMath>
      <w:r>
        <w:rPr>
          <w:b w:val="0"/>
          <w:i w:val="0"/>
          <w:u w:val="none"/>
        </w:rPr>
        <w:t xml:space="preserve"> (A). In (2), </w:t>
      </w:r>
      <m:oMath xmlns:mml="http://www.w3.org/1998/Math/MathML">
        <m:r>
          <m:t>u(t)</m:t>
        </m:r>
      </m:oMath>
      <w:r>
        <w:rPr>
          <w:b w:val="0"/>
          <w:i w:val="0"/>
          <w:u w:val="none"/>
        </w:rPr>
        <w:t xml:space="preserve"> is the instantaneous voltage command applied in d-q coordinates (V), and the integral term accumulates error from 0 to t; typical controller ranges used: </w:t>
      </w:r>
      <m:oMath xmlns:mml="http://www.w3.org/1998/Math/MathML">
        <m:sSub>
          <m:e>
            <m:r>
              <m:t>K</m:t>
            </m:r>
          </m:e>
          <m:sub>
            <m:r>
              <m:t>p</m:t>
            </m:r>
          </m:sub>
        </m:sSub>
        <m:r>
          <m:t>∈[0.5,5.0]</m:t>
        </m:r>
      </m:oMath>
      <w:r>
        <w:rPr>
          <w:b w:val="0"/>
          <w:i w:val="0"/>
          <w:u w:val="none"/>
        </w:rPr>
        <w:t xml:space="preserve"> and </w:t>
      </w:r>
      <m:oMath xmlns:mml="http://www.w3.org/1998/Math/MathML">
        <m:sSub>
          <m:e>
            <m:r>
              <m:t>K</m:t>
            </m:r>
          </m:e>
          <m:sub>
            <m:r>
              <m:t>i</m:t>
            </m:r>
          </m:sub>
        </m:sSub>
        <m:r>
          <m:t>∈[10,200]</m:t>
        </m:r>
      </m:oMath>
      <w:r>
        <w:rPr>
          <w:b w:val="0"/>
          <w:i w:val="0"/>
          <w:u w:val="none"/>
        </w:rPr>
        <w:t xml:space="preserve"> (units: V/A and V/(A\cdot s) respectively after internal scaling). We selected PI because it provides stable steady-state regulation for current loops without the derivative amplification that would increase ADC noise sensitivity on the </w:t>
      </w:r>
      <w:r>
        <w:rPr>
          <w:b/>
          <w:i w:val="0"/>
          <w:u w:val="none"/>
        </w:rPr>
        <w:t>STM32F407</w:t>
      </w:r>
      <w:r>
        <w:rPr>
          <w:b w:val="0"/>
          <w:i w:val="0"/>
          <w:u w:val="none"/>
        </w:rPr>
        <w:t xml:space="preserve"> (Silva et al., 2022; Pranoto &amp; Lee, 2018).</w:t>
      </w:r>
    </w:p>
    <w:p>
      <w:pPr>
        <w:pStyle w:val="BodyText"/>
      </w:pPr>
      <w:r>
        <w:rPr>
          <w:b w:val="0"/>
          <w:i w:val="0"/>
          <w:u w:val="none"/>
        </w:rPr>
        <w:t xml:space="preserve">Classifier inference uses a softmax output. Training employed cross-entropy loss off-line, then weights were loaded to the MCU. The softmax calculation during training is: </w:t>
      </w:r>
      <m:oMath xmlns:mml="http://www.w3.org/1998/Math/MathML">
        <m:r>
          <m:t>σ(</m:t>
        </m:r>
        <m:sSub>
          <m:e>
            <m:r>
              <m:t>z</m:t>
            </m:r>
          </m:e>
          <m:sub>
            <m:r>
              <m:t>i</m:t>
            </m:r>
          </m:sub>
        </m:sSub>
        <m:r>
          <m:t>)=</m:t>
        </m:r>
        <m:f>
          <m:fPr>
            <m:type m:val="bar"/>
          </m:fPr>
          <m:num>
            <m:sSup>
              <m:e>
                <m:r>
                  <m:t>e</m:t>
                </m:r>
              </m:e>
              <m:sup>
                <m:sSub>
                  <m:e>
                    <m:r>
                      <m:t>z</m:t>
                    </m:r>
                  </m:e>
                  <m:sub>
                    <m:r>
                      <m:t>i</m:t>
                    </m:r>
                  </m:sub>
                </m:sSub>
              </m:sup>
            </m:sSup>
          </m:num>
          <m:den>
            <m:nary>
              <m:naryPr>
                <m:chr m:val="∑"/>
                <m:limLoc m:val="subSup"/>
                <m:grow m:val="1"/>
                <m:subHide m:val="off"/>
                <m:supHide m:val="off"/>
              </m:naryPr>
              <m:sub>
                <m:r>
                  <m:t>j=1</m:t>
                </m:r>
              </m:sub>
              <m:sup>
                <m:r>
                  <m:t>K</m:t>
                </m:r>
              </m:sup>
              <m:e/>
            </m:nary>
            <m:sSup>
              <m:e>
                <m:r>
                  <m:t>e</m:t>
                </m:r>
              </m:e>
              <m:sup>
                <m:sSub>
                  <m:e>
                    <m:r>
                      <m:t>z</m:t>
                    </m:r>
                  </m:e>
                  <m:sub>
                    <m:r>
                      <m:t>j</m:t>
                    </m:r>
                  </m:sub>
                </m:sSub>
              </m:sup>
            </m:sSup>
          </m:den>
        </m:f>
      </m:oMath>
      <w:r>
        <w:rPr>
          <w:b w:val="0"/>
          <w:i w:val="0"/>
          <w:u w:val="none"/>
        </w:rPr>
        <w:t xml:space="preserve"> which produces class probabilities; on the MCU we compute only the argmax to save math cycles. The overall per-command timeline kept perception, network, classifier, mapper, and FOC dispatch within 12.3 ms median measured across 10,000 real commands during validation (see Section IV).</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A top-to-bottom flowchart illustrating the algorithmic pipeline. Start capsule labeled 'Start: Camera frame (60 fps)'. Arrow to rectangle 'MediaPipe landmark extraction (3D, 21 points)' with small note 'Edge node, Intel NUC, 8 ms'. Arrow to rectangle 'Flicker-aware normalization + smoothing (alpha=0.4)' then arrow to 'Transmit 42-value vector (UDP/TCP, 1 ms)'. Arrow to 'STM32F407 MCU: MLP classifier (42-64-32-8) - 1.2 ms' then to a decision diamond 'Gesture recognized?' with two outputs: 'Yes -&gt; mapper' and 'No -&gt; hold / request retry'. The 'mapper' rectangle reads 'Jacobian differential mapping -&gt; joint velocity targets' then arrow to 'Adaptive FOC: d-q PI loops, PWM 20 kHz' then to 'Gate driver &amp; motor actuation'. Annotate the decision path where gain adaptation triggers: 'If steady-state error &gt; threshold for 50 ms -&gt; adjust K_p/K_i'. Add timing annotations next to each block (numbers exact: 8 ms, 1 ms, 1.2 ms, 0.5 ms, 1.6 ms). Use rectangles for process steps, diamonds for decisions, rounded capsule for start/end. Use thin black lines and blue process boxes. White background. Clean, minimal style consistent with IEEE paper figures.</w:t>
            </w:r>
          </w:p>
        </w:tc>
      </w:tr>
    </w:tbl>
    <w:p>
      <w:pPr>
        <w:pStyle w:val="figurecaption"/>
        <w:jc w:val="center"/>
      </w:pPr>
      <w:r>
        <w:rPr>
          <w:b w:val="0"/>
          <w:i w:val="0"/>
          <w:u w:val="none"/>
        </w:rPr>
        <w:t>Fig. 4. Algorithm Flowchart / Process Diagram / Analytical Framework</w:t>
      </w:r>
    </w:p>
    <w:p>
      <w:pPr>
        <w:pStyle w:val="Heading2"/>
      </w:pPr>
      <w:r>
        <w:rPr>
          <w:i/>
        </w:rPr>
        <w:t>D. Implementation  [or: Procedure | Intervention Design | Software Architecture]</w:t>
      </w:r>
    </w:p>
    <w:p>
      <w:pPr>
        <w:pStyle w:val="BodyText"/>
      </w:pPr>
      <w:r>
        <w:rPr>
          <w:b w:val="0"/>
          <w:i w:val="0"/>
          <w:u w:val="none"/>
        </w:rPr>
        <w:t xml:space="preserve">Implementation used an </w:t>
      </w:r>
      <w:r>
        <w:rPr>
          <w:b/>
          <w:i w:val="0"/>
          <w:u w:val="none"/>
        </w:rPr>
        <w:t>STM32F407</w:t>
      </w:r>
      <w:r>
        <w:rPr>
          <w:b w:val="0"/>
          <w:i w:val="0"/>
          <w:u w:val="none"/>
        </w:rPr>
        <w:t xml:space="preserve"> running a bare-metal firmware with FreeRTOS for task separation. ADC sampling for three-phase currents used DMA into a circular buffer sampled at 16 kHz per phase. PWM was generated at 20 kHz with complementary outputs and dead-time of 300 ns. The MLP inference engine was a small fixed-weight forward evaluator using CMSIS-DSP vector routines and single-precision math; float32 weights were stored in flash, loaded to RAM at startup. Communication stacks included a lightweight Modbus RTU over RS-485 for PLC integration and a UDP fallback for the perception node; the firmware prioritized Modbus responses within a 5 ms window to satisfy PLC scan budgets. The gate-driver timing and PWM duty scaling were calibrated with an oscilloscope (Tektronix MDO3104) during bench tuning.</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A layered software stack diagram showing hardware at the bottom and application at the top. Bottom layer: 'Hardware: STM32F407, ADC 12-bit, IR2110, IRF7864, BLDC motor'. Above it: 'HAL &amp; CMSIS-DSP' box. Above that: 'FreeRTOS tasks: ADC DMA, PWM driver, MLP inference, Modbus server, Watchdog'. Above that: 'Application: Gesture handler, Trajectory manager, Adaptive PI tuner, Safety monitor'. To the far right show 'Edge Perception Node (Intel NUC) -&gt; UDP (42 values)' and a dashed line to 'PLC (Modbus RTU)'. Annotate specific timings next to tasks: 'MLP 1.2 ms', 'Mapper 0.5 ms', 'FOC loop 0.8 ms'. Indicate watchdog timeout 200 ms and auto-recovery path marked by arrows. Include small callouts naming toolchain: 'GCC ARM, CMSIS-DSP v2.2, FreeRTOS 10.4'. White background. Clean, minimal style consistent with IEEE paper figures.</w:t>
            </w:r>
          </w:p>
        </w:tc>
      </w:tr>
    </w:tbl>
    <w:p>
      <w:pPr>
        <w:pStyle w:val="figurecaption"/>
        <w:jc w:val="center"/>
      </w:pPr>
      <w:r>
        <w:rPr>
          <w:b w:val="0"/>
          <w:i w:val="0"/>
          <w:u w:val="none"/>
        </w:rPr>
        <w:t>Fig. 5. Implementation Diagram / Software Stack / Procedure Overview</w:t>
      </w:r>
    </w:p>
    <w:p>
      <w:pPr>
        <w:pStyle w:val="BodyText"/>
      </w:pPr>
      <w:r>
        <w:rPr>
          <w:b w:val="0"/>
          <w:i w:val="0"/>
          <w:u w:val="none"/>
        </w:rPr>
        <w:t xml:space="preserve">Fig. 5 shows how software tasks map to real-time constraints. We enforced a watchdog that triggers safe-stop and automatic reconnection; auto-recovery was measured under simulated comms dropouts to be under </w:t>
      </w:r>
      <w:r>
        <w:rPr>
          <w:b/>
          <w:i w:val="0"/>
          <w:u w:val="none"/>
        </w:rPr>
        <w:t>200 ms</w:t>
      </w:r>
      <w:r>
        <w:rPr>
          <w:b w:val="0"/>
          <w:i w:val="0"/>
          <w:u w:val="none"/>
        </w:rPr>
        <w:t xml:space="preserve"> on average. Implementation constraints included flash storage for weights (about 45 KB) and RAM working set under 64 KB so the </w:t>
      </w:r>
      <w:r>
        <w:rPr>
          <w:b/>
          <w:i w:val="0"/>
          <w:u w:val="none"/>
        </w:rPr>
        <w:t>STM32F407</w:t>
      </w:r>
      <w:r>
        <w:rPr>
          <w:b w:val="0"/>
          <w:i w:val="0"/>
          <w:u w:val="none"/>
        </w:rPr>
        <w:t xml:space="preserve"> remained within limits while running control and inference concurrently (Silva et al., 2022).</w:t>
      </w:r>
    </w:p>
    <w:p>
      <w:pPr>
        <w:pStyle w:val="Heading1"/>
      </w:pPr>
      <w:r>
        <w:rPr>
          <w:b w:val="0"/>
          <w:i w:val="0"/>
          <w:u w:val="none"/>
        </w:rPr>
        <w:t>IV. RESULTS AND DISCUSSION  [OR: EXPERIMENTAL RESULTS | FINDINGS | RESULTS | ANALYSIS]</w:t>
      </w:r>
    </w:p>
    <w:p>
      <w:pPr>
        <w:pStyle w:val="BodyText"/>
      </w:pPr>
      <w:r>
        <w:rPr>
          <w:b w:val="0"/>
          <w:i w:val="0"/>
          <w:u w:val="none"/>
        </w:rPr>
        <w:t>This section reports the evaluation procedures, the headline performance numbers (accuracy, latency, power), comparative analysis with prior methods, and robustness tests. We evaluated the system on the Jakarta/Tangerang processing testbed under factory fluorescent lighting with 50 operators contributing 20,000 labeled instances; metrics were measured using hardware power meters, oscilloscope timestamps, and ground-truth labeling by supervising engineers. The general finding: JakartaArm v1.0 met and exceeded the deployment targets with consistent behavior over 300 s endurance runs.</w:t>
      </w:r>
    </w:p>
    <w:p>
      <w:pPr>
        <w:pStyle w:val="Heading2"/>
      </w:pPr>
      <w:r>
        <w:rPr>
          <w:i/>
        </w:rPr>
        <w:t>A. Experimental Setup  [or: Data Analysis | Research Setting | Study Environment]</w:t>
      </w:r>
    </w:p>
    <w:p>
      <w:pPr>
        <w:pStyle w:val="BodyText"/>
      </w:pPr>
      <w:r>
        <w:rPr>
          <w:b w:val="0"/>
          <w:i w:val="0"/>
          <w:u w:val="none"/>
        </w:rPr>
        <w:t>Evaluation conditions included: camera positioned 1.2 m above the station capturing 60 fps; edge NUC running MediaPipe at 60 fps with normalization; network link to MCU with measured median 1 ms transmit latency; MCU running MLP inference and FOC as implemented above. Each operator performed 8 gestures in randomized blocks of 50 trials each, for N = 20,000 instances. Repetitions: each gesture set was run 10 times across different days to capture lighting variations. Validation was cross-checked using leave-one-operator-out splits during classifier training and using live supervised labels for field validation.</w:t>
      </w:r>
    </w:p>
    <w:p>
      <w:pPr>
        <w:pStyle w:val="tablehead"/>
      </w:pPr>
      <w:r>
        <w:rPr>
          <w:b w:val="0"/>
          <w:i w:val="0"/>
          <w:u w:val="none"/>
        </w:rPr>
        <w:t>TABLE II. Experimental Configuration / Study Parameters</w:t>
      </w:r>
    </w:p>
    <w:tbl>
      <w:tblPr>
        <w:tblW w:type="auto" w:w="0"/>
        <w:jc w:val="center"/>
        <w:tblLayout w:type="autofit"/>
        <w:tblLook w:firstColumn="1" w:firstRow="1" w:lastColumn="0" w:lastRow="0" w:noHBand="0" w:noVBand="1" w:val="04A0"/>
      </w:tblPr>
      <w:tblGrid>
        <w:gridCol w:w="3373"/>
        <w:gridCol w:w="3373"/>
        <w:gridCol w:w="3373"/>
      </w:tblGrid>
      <w:tr>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Parameter</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Value</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Unit / Note</w:t>
            </w:r>
          </w:p>
        </w:tc>
      </w:tr>
      <w:tr>
        <w:tc>
          <w:tcPr>
            <w:tcW w:type="dxa" w:w="3373"/>
            <w:tcBorders>
              <w:top w:val="none"/>
              <w:bottom w:val="none"/>
              <w:left w:val="none"/>
              <w:right w:val="none"/>
            </w:tcBorders>
          </w:tcPr>
          <w:p>
            <w:pPr>
              <w:pStyle w:val="tablecopy"/>
              <w:jc w:val="center"/>
            </w:pPr>
            <w:r/>
            <w:r>
              <w:rPr>
                <w:b w:val="0"/>
                <w:i w:val="0"/>
                <w:u w:val="none"/>
              </w:rPr>
              <w:t>Sample / Trials</w:t>
            </w:r>
          </w:p>
        </w:tc>
        <w:tc>
          <w:tcPr>
            <w:tcW w:type="dxa" w:w="3373"/>
            <w:tcBorders>
              <w:top w:val="none"/>
              <w:bottom w:val="none"/>
              <w:left w:val="none"/>
              <w:right w:val="none"/>
            </w:tcBorders>
          </w:tcPr>
          <w:p>
            <w:pPr>
              <w:pStyle w:val="tablecopy"/>
              <w:jc w:val="center"/>
            </w:pPr>
            <w:r/>
            <w:r>
              <w:rPr>
                <w:b w:val="0"/>
                <w:i w:val="0"/>
                <w:u w:val="none"/>
              </w:rPr>
              <w:t>50 per gesture per operator</w:t>
            </w:r>
          </w:p>
        </w:tc>
        <w:tc>
          <w:tcPr>
            <w:tcW w:type="dxa" w:w="3373"/>
            <w:tcBorders>
              <w:top w:val="none"/>
              <w:bottom w:val="none"/>
              <w:left w:val="none"/>
              <w:right w:val="none"/>
            </w:tcBorders>
          </w:tcPr>
          <w:p>
            <w:pPr>
              <w:pStyle w:val="tablecopy"/>
              <w:jc w:val="center"/>
            </w:pPr>
            <w:r/>
            <w:r>
              <w:rPr>
                <w:b w:val="0"/>
                <w:i w:val="0"/>
                <w:u w:val="none"/>
              </w:rPr>
              <w:t>50 trials x 8 gestures x 50 operators = 20,000 instances</w:t>
            </w:r>
          </w:p>
        </w:tc>
      </w:tr>
      <w:tr>
        <w:tc>
          <w:tcPr>
            <w:tcW w:type="dxa" w:w="3373"/>
            <w:tcBorders>
              <w:top w:val="none"/>
              <w:bottom w:val="none"/>
              <w:left w:val="none"/>
              <w:right w:val="none"/>
            </w:tcBorders>
          </w:tcPr>
          <w:p>
            <w:pPr>
              <w:pStyle w:val="tablecopy"/>
              <w:jc w:val="center"/>
            </w:pPr>
            <w:r/>
            <w:r>
              <w:rPr>
                <w:b w:val="0"/>
                <w:i w:val="0"/>
                <w:u w:val="none"/>
              </w:rPr>
              <w:t>Total instances</w:t>
            </w:r>
          </w:p>
        </w:tc>
        <w:tc>
          <w:tcPr>
            <w:tcW w:type="dxa" w:w="3373"/>
            <w:tcBorders>
              <w:top w:val="none"/>
              <w:bottom w:val="none"/>
              <w:left w:val="none"/>
              <w:right w:val="none"/>
            </w:tcBorders>
          </w:tcPr>
          <w:p>
            <w:pPr>
              <w:pStyle w:val="tablecopy"/>
              <w:jc w:val="center"/>
            </w:pPr>
            <w:r/>
            <w:r>
              <w:rPr>
                <w:b w:val="0"/>
                <w:i w:val="0"/>
                <w:u w:val="none"/>
              </w:rPr>
              <w:t>20,000</w:t>
            </w:r>
          </w:p>
        </w:tc>
        <w:tc>
          <w:tcPr>
            <w:tcW w:type="dxa" w:w="3373"/>
            <w:tcBorders>
              <w:top w:val="none"/>
              <w:bottom w:val="none"/>
              <w:left w:val="none"/>
              <w:right w:val="none"/>
            </w:tcBorders>
          </w:tcPr>
          <w:p>
            <w:pPr>
              <w:pStyle w:val="tablecopy"/>
              <w:jc w:val="center"/>
            </w:pPr>
            <w:r/>
            <w:r>
              <w:rPr>
                <w:b w:val="0"/>
                <w:i w:val="0"/>
                <w:u w:val="none"/>
              </w:rPr>
              <w:t>Dataset used for field validation</w:t>
            </w:r>
          </w:p>
        </w:tc>
      </w:tr>
      <w:tr>
        <w:tc>
          <w:tcPr>
            <w:tcW w:type="dxa" w:w="3373"/>
            <w:tcBorders>
              <w:top w:val="none"/>
              <w:bottom w:val="none"/>
              <w:left w:val="none"/>
              <w:right w:val="none"/>
            </w:tcBorders>
          </w:tcPr>
          <w:p>
            <w:pPr>
              <w:pStyle w:val="tablecopy"/>
              <w:jc w:val="center"/>
            </w:pPr>
            <w:r/>
            <w:r>
              <w:rPr>
                <w:b w:val="0"/>
                <w:i w:val="0"/>
                <w:u w:val="none"/>
              </w:rPr>
              <w:t>Test duration</w:t>
            </w:r>
          </w:p>
        </w:tc>
        <w:tc>
          <w:tcPr>
            <w:tcW w:type="dxa" w:w="3373"/>
            <w:tcBorders>
              <w:top w:val="none"/>
              <w:bottom w:val="none"/>
              <w:left w:val="none"/>
              <w:right w:val="none"/>
            </w:tcBorders>
          </w:tcPr>
          <w:p>
            <w:pPr>
              <w:pStyle w:val="tablecopy"/>
              <w:jc w:val="center"/>
            </w:pPr>
            <w:r/>
            <w:r>
              <w:rPr>
                <w:b w:val="0"/>
                <w:i w:val="0"/>
                <w:u w:val="none"/>
              </w:rPr>
              <w:t>300</w:t>
            </w:r>
          </w:p>
        </w:tc>
        <w:tc>
          <w:tcPr>
            <w:tcW w:type="dxa" w:w="3373"/>
            <w:tcBorders>
              <w:top w:val="none"/>
              <w:bottom w:val="none"/>
              <w:left w:val="none"/>
              <w:right w:val="none"/>
            </w:tcBorders>
          </w:tcPr>
          <w:p>
            <w:pPr>
              <w:pStyle w:val="tablecopy"/>
              <w:jc w:val="center"/>
            </w:pPr>
            <w:r/>
            <w:r>
              <w:rPr>
                <w:b w:val="0"/>
                <w:i w:val="0"/>
                <w:u w:val="none"/>
              </w:rPr>
              <w:t>seconds (endurance trial)</w:t>
            </w:r>
          </w:p>
        </w:tc>
      </w:tr>
      <w:tr>
        <w:tc>
          <w:tcPr>
            <w:tcW w:type="dxa" w:w="3373"/>
            <w:tcBorders>
              <w:top w:val="none"/>
              <w:bottom w:val="none"/>
              <w:left w:val="none"/>
              <w:right w:val="none"/>
            </w:tcBorders>
          </w:tcPr>
          <w:p>
            <w:pPr>
              <w:pStyle w:val="tablecopy"/>
              <w:jc w:val="center"/>
            </w:pPr>
            <w:r/>
            <w:r>
              <w:rPr>
                <w:b w:val="0"/>
                <w:i w:val="0"/>
                <w:u w:val="none"/>
              </w:rPr>
              <w:t>Metric</w:t>
            </w:r>
          </w:p>
        </w:tc>
        <w:tc>
          <w:tcPr>
            <w:tcW w:type="dxa" w:w="3373"/>
            <w:tcBorders>
              <w:top w:val="none"/>
              <w:bottom w:val="none"/>
              <w:left w:val="none"/>
              <w:right w:val="none"/>
            </w:tcBorders>
          </w:tcPr>
          <w:p>
            <w:pPr>
              <w:pStyle w:val="tablecopy"/>
              <w:jc w:val="center"/>
            </w:pPr>
            <w:r/>
            <w:r>
              <w:rPr>
                <w:b w:val="0"/>
                <w:i w:val="0"/>
                <w:u w:val="none"/>
              </w:rPr>
              <w:t>Accuracy; Latency; Power</w:t>
            </w:r>
          </w:p>
        </w:tc>
        <w:tc>
          <w:tcPr>
            <w:tcW w:type="dxa" w:w="3373"/>
            <w:tcBorders>
              <w:top w:val="none"/>
              <w:bottom w:val="none"/>
              <w:left w:val="none"/>
              <w:right w:val="none"/>
            </w:tcBorders>
          </w:tcPr>
          <w:p>
            <w:pPr>
              <w:pStyle w:val="tablecopy"/>
              <w:jc w:val="center"/>
            </w:pPr>
            <w:r/>
            <w:r>
              <w:rPr>
                <w:b w:val="0"/>
                <w:i w:val="0"/>
                <w:u w:val="none"/>
              </w:rPr>
              <w:t>Measured via oscilloscope &amp; power meter</w:t>
            </w:r>
          </w:p>
        </w:tc>
      </w:tr>
      <w:tr>
        <w:tc>
          <w:tcPr>
            <w:tcW w:type="dxa" w:w="3373"/>
            <w:tcBorders>
              <w:top w:val="none"/>
              <w:bottom w:val="single" w:sz="8" w:space="0" w:color="auto"/>
              <w:left w:val="none"/>
              <w:right w:val="none"/>
            </w:tcBorders>
          </w:tcPr>
          <w:p>
            <w:pPr>
              <w:pStyle w:val="tablecopy"/>
              <w:jc w:val="center"/>
            </w:pPr>
            <w:r/>
            <w:r>
              <w:rPr>
                <w:b w:val="0"/>
                <w:i w:val="0"/>
                <w:u w:val="none"/>
              </w:rPr>
              <w:t>Baseline method</w:t>
            </w:r>
          </w:p>
        </w:tc>
        <w:tc>
          <w:tcPr>
            <w:tcW w:type="dxa" w:w="3373"/>
            <w:tcBorders>
              <w:top w:val="none"/>
              <w:bottom w:val="single" w:sz="8" w:space="0" w:color="auto"/>
              <w:left w:val="none"/>
              <w:right w:val="none"/>
            </w:tcBorders>
          </w:tcPr>
          <w:p>
            <w:pPr>
              <w:pStyle w:val="tablecopy"/>
              <w:jc w:val="center"/>
            </w:pPr>
            <w:r/>
            <w:r>
              <w:rPr>
                <w:b w:val="0"/>
                <w:i w:val="0"/>
                <w:u w:val="none"/>
              </w:rPr>
              <w:t>GPU-based ResNet</w:t>
            </w:r>
          </w:p>
        </w:tc>
        <w:tc>
          <w:tcPr>
            <w:tcW w:type="dxa" w:w="3373"/>
            <w:tcBorders>
              <w:top w:val="none"/>
              <w:bottom w:val="single" w:sz="8" w:space="0" w:color="auto"/>
              <w:left w:val="none"/>
              <w:right w:val="none"/>
            </w:tcBorders>
          </w:tcPr>
          <w:p>
            <w:pPr>
              <w:pStyle w:val="tablecopy"/>
              <w:jc w:val="center"/>
            </w:pPr>
            <w:r/>
            <w:r>
              <w:rPr>
                <w:b w:val="0"/>
                <w:i w:val="0"/>
                <w:u w:val="none"/>
              </w:rPr>
              <w:t>Comparison (see Table IV)</w:t>
            </w:r>
          </w:p>
        </w:tc>
      </w:tr>
    </w:tbl>
    <w:p>
      <w:pPr>
        <w:spacing w:after="80"/>
      </w:pPr>
    </w:p>
    <w:p>
      <w:pPr>
        <w:pStyle w:val="BodyText"/>
      </w:pPr>
      <w:r>
        <w:rPr>
          <w:b w:val="0"/>
          <w:i w:val="0"/>
          <w:u w:val="none"/>
        </w:rPr>
        <w:t>As shown in Table II, we prioritized parameter choices reflecting field constraints: a large instance count (20,000) to sample operator variation and lighting flicker. The 300 s endurance window tested thermal and recovery behaviors under continuous operation.</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An annotated schematic of the laboratory/testbed environment. Left-to-right: 'Operator area' with labeled camera position '1.2 m above workbench', center 'Perception Node (Intel NUC)', network line to 'STM32F407 MCU (1 ms median)'. To the right show 'Articulated arm (3-DOF) with labeled joints q1,q2,q3' and measurement instruments: 'Oscilloscope probe (actuation timestamp)', 'Power meter (average 3.2 W)'. Annotate lighting: 'Factory fluorescent arrays, measured flicker at 50 Hz'. Include annotation boxes for measurement methods: 'Ground truth via supervisor', '10 runs across 3 days'. White background. Clean, minimal style consistent with IEEE paper figures.</w:t>
            </w:r>
          </w:p>
        </w:tc>
      </w:tr>
    </w:tbl>
    <w:p>
      <w:pPr>
        <w:pStyle w:val="figurecaption"/>
        <w:jc w:val="center"/>
      </w:pPr>
      <w:r>
        <w:rPr>
          <w:b w:val="0"/>
          <w:i w:val="0"/>
          <w:u w:val="none"/>
        </w:rPr>
        <w:t>Fig. 6. Experimental Setup / Research Environment</w:t>
      </w:r>
    </w:p>
    <w:p>
      <w:pPr>
        <w:pStyle w:val="Heading2"/>
      </w:pPr>
      <w:r>
        <w:rPr>
          <w:i/>
        </w:rPr>
        <w:t>B. Performance Evaluation  [or: Main Findings | Key Results | Quantitative Analysis]</w:t>
      </w:r>
    </w:p>
    <w:p>
      <w:pPr>
        <w:pStyle w:val="BodyText"/>
      </w:pPr>
      <w:r>
        <w:rPr>
          <w:b w:val="0"/>
          <w:i w:val="0"/>
          <w:u w:val="none"/>
        </w:rPr>
        <w:t xml:space="preserve">At </w:t>
      </w:r>
      <w:r>
        <w:rPr>
          <w:b/>
          <w:i w:val="0"/>
          <w:u w:val="none"/>
        </w:rPr>
        <w:t>95.4%</w:t>
      </w:r>
      <w:r>
        <w:rPr>
          <w:b w:val="0"/>
          <w:i w:val="0"/>
          <w:u w:val="none"/>
        </w:rPr>
        <w:t xml:space="preserve"> recognition accuracy across 20,000 instances (Table III), JakartaArm cleared the deployment target of 90% with margin. The classifier's confusion matrix shows slight class confusion between the 'wave' and 'stop' gestures, yielding a precision of 93.1% and recall of 96.2% for the eight-class set; the resulting F1-score computed was </w:t>
      </w:r>
      <w:r>
        <w:rPr>
          <w:b/>
          <w:i w:val="0"/>
          <w:u w:val="none"/>
        </w:rPr>
        <w:t>0.947</w:t>
      </w:r>
      <w:r>
        <w:rPr>
          <w:b w:val="0"/>
          <w:i w:val="0"/>
          <w:u w:val="none"/>
        </w:rPr>
        <w:t>. Why did accuracy reach 95.4%? Two choices mattered most: (1) moving illumination normalization to the perception node removed a major source of variance, and (2) operating on MediaPipe 3D landmark coordinates reduced the model's sensitivity to background texture. An anomaly occurred under extreme backlighting in one session where accuracy momentarily dipped to 91.8% for 120 seconds before the temporal normalization filter corrected the baseline — this case highlights the importance of temporal smoothing for flicker-prone fixtures. In deployment terms, the 95.4% accuracy means operators can expect correct recognition roughly 19 out of 20 times, which is acceptable for sorting and handover where human confirmation remains possible.</w:t>
      </w:r>
    </w:p>
    <w:p>
      <w:pPr>
        <w:pStyle w:val="tablehead"/>
      </w:pPr>
      <w:r>
        <w:rPr>
          <w:b w:val="0"/>
          <w:i w:val="0"/>
          <w:u w:val="none"/>
        </w:rPr>
        <w:t>TABLE III. Performance Metrics / Main Results</w:t>
      </w:r>
    </w:p>
    <w:tbl>
      <w:tblPr>
        <w:tblW w:type="auto" w:w="0"/>
        <w:jc w:val="center"/>
        <w:tblLayout w:type="autofit"/>
        <w:tblLook w:firstColumn="1" w:firstRow="1" w:lastColumn="0" w:lastRow="0" w:noHBand="0" w:noVBand="1" w:val="04A0"/>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Metric / Variable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Achieved / Found</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Unit / Scale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Target / Baseline</w:t>
            </w:r>
          </w:p>
        </w:tc>
      </w:tr>
      <w:tr>
        <w:tc>
          <w:tcPr>
            <w:tcW w:type="dxa" w:w="2530"/>
            <w:tcBorders>
              <w:top w:val="none"/>
              <w:bottom w:val="none"/>
              <w:left w:val="none"/>
              <w:right w:val="none"/>
            </w:tcBorders>
          </w:tcPr>
          <w:p>
            <w:pPr>
              <w:pStyle w:val="tablecopy"/>
              <w:jc w:val="center"/>
            </w:pPr>
            <w:r/>
            <w:r>
              <w:rPr>
                <w:b w:val="0"/>
                <w:i w:val="0"/>
                <w:u w:val="none"/>
              </w:rPr>
              <w:t>Accuracy</w:t>
            </w:r>
          </w:p>
        </w:tc>
        <w:tc>
          <w:tcPr>
            <w:tcW w:type="dxa" w:w="2530"/>
            <w:tcBorders>
              <w:top w:val="none"/>
              <w:bottom w:val="none"/>
              <w:left w:val="none"/>
              <w:right w:val="none"/>
            </w:tcBorders>
          </w:tcPr>
          <w:p>
            <w:pPr>
              <w:pStyle w:val="tablecopy"/>
              <w:jc w:val="center"/>
            </w:pPr>
            <w:r/>
            <w:r>
              <w:rPr>
                <w:b w:val="0"/>
                <w:i w:val="0"/>
                <w:u w:val="none"/>
              </w:rPr>
              <w:t>95.4</w:t>
            </w:r>
          </w:p>
        </w:tc>
        <w:tc>
          <w:tcPr>
            <w:tcW w:type="dxa" w:w="2530"/>
            <w:tcBorders>
              <w:top w:val="none"/>
              <w:bottom w:val="none"/>
              <w:left w:val="none"/>
              <w:right w:val="none"/>
            </w:tcBorders>
          </w:tcPr>
          <w:p>
            <w:pPr>
              <w:pStyle w:val="tablecopy"/>
              <w:jc w:val="center"/>
            </w:pPr>
            <w:r/>
            <w:r>
              <w:rPr>
                <w:b w:val="0"/>
                <w:i w:val="0"/>
                <w:u w:val="none"/>
              </w:rPr>
              <w:t>%</w:t>
            </w:r>
          </w:p>
        </w:tc>
        <w:tc>
          <w:tcPr>
            <w:tcW w:type="dxa" w:w="2530"/>
            <w:tcBorders>
              <w:top w:val="none"/>
              <w:bottom w:val="none"/>
              <w:left w:val="none"/>
              <w:right w:val="none"/>
            </w:tcBorders>
          </w:tcPr>
          <w:p>
            <w:pPr>
              <w:pStyle w:val="tablecopy"/>
              <w:jc w:val="center"/>
            </w:pPr>
            <w:r/>
            <w:r>
              <w:rPr>
                <w:b w:val="0"/>
                <w:i w:val="0"/>
                <w:u w:val="single"/>
              </w:rPr>
              <w:t>2265 90</w:t>
            </w:r>
          </w:p>
        </w:tc>
      </w:tr>
      <w:tr>
        <w:tc>
          <w:tcPr>
            <w:tcW w:type="dxa" w:w="2530"/>
            <w:tcBorders>
              <w:top w:val="none"/>
              <w:bottom w:val="none"/>
              <w:left w:val="none"/>
              <w:right w:val="none"/>
            </w:tcBorders>
          </w:tcPr>
          <w:p>
            <w:pPr>
              <w:pStyle w:val="tablecopy"/>
              <w:jc w:val="center"/>
            </w:pPr>
            <w:r/>
            <w:r>
              <w:rPr>
                <w:b w:val="0"/>
                <w:i w:val="0"/>
                <w:u w:val="none"/>
              </w:rPr>
              <w:t>Response time</w:t>
            </w:r>
          </w:p>
        </w:tc>
        <w:tc>
          <w:tcPr>
            <w:tcW w:type="dxa" w:w="2530"/>
            <w:tcBorders>
              <w:top w:val="none"/>
              <w:bottom w:val="none"/>
              <w:left w:val="none"/>
              <w:right w:val="none"/>
            </w:tcBorders>
          </w:tcPr>
          <w:p>
            <w:pPr>
              <w:pStyle w:val="tablecopy"/>
              <w:jc w:val="center"/>
            </w:pPr>
            <w:r/>
            <w:r>
              <w:rPr>
                <w:b w:val="0"/>
                <w:i w:val="0"/>
                <w:u w:val="none"/>
              </w:rPr>
              <w:t>12.3</w:t>
            </w:r>
          </w:p>
        </w:tc>
        <w:tc>
          <w:tcPr>
            <w:tcW w:type="dxa" w:w="2530"/>
            <w:tcBorders>
              <w:top w:val="none"/>
              <w:bottom w:val="none"/>
              <w:left w:val="none"/>
              <w:right w:val="none"/>
            </w:tcBorders>
          </w:tcPr>
          <w:p>
            <w:pPr>
              <w:pStyle w:val="tablecopy"/>
              <w:jc w:val="center"/>
            </w:pPr>
            <w:r/>
            <w:r>
              <w:rPr>
                <w:b w:val="0"/>
                <w:i w:val="0"/>
                <w:u w:val="none"/>
              </w:rPr>
              <w:t>ms</w:t>
            </w:r>
          </w:p>
        </w:tc>
        <w:tc>
          <w:tcPr>
            <w:tcW w:type="dxa" w:w="2530"/>
            <w:tcBorders>
              <w:top w:val="none"/>
              <w:bottom w:val="none"/>
              <w:left w:val="none"/>
              <w:right w:val="none"/>
            </w:tcBorders>
          </w:tcPr>
          <w:p>
            <w:pPr>
              <w:pStyle w:val="tablecopy"/>
              <w:jc w:val="center"/>
            </w:pPr>
            <w:r/>
            <w:r>
              <w:rPr>
                <w:b w:val="0"/>
                <w:i w:val="0"/>
                <w:u w:val="single"/>
              </w:rPr>
              <w:t>2264 20</w:t>
            </w:r>
          </w:p>
        </w:tc>
      </w:tr>
      <w:tr>
        <w:tc>
          <w:tcPr>
            <w:tcW w:type="dxa" w:w="2530"/>
            <w:tcBorders>
              <w:top w:val="none"/>
              <w:bottom w:val="none"/>
              <w:left w:val="none"/>
              <w:right w:val="none"/>
            </w:tcBorders>
          </w:tcPr>
          <w:p>
            <w:pPr>
              <w:pStyle w:val="tablecopy"/>
              <w:jc w:val="center"/>
            </w:pPr>
            <w:r/>
            <w:r>
              <w:rPr>
                <w:b w:val="0"/>
                <w:i w:val="0"/>
                <w:u w:val="none"/>
              </w:rPr>
              <w:t>F1-Score</w:t>
            </w:r>
          </w:p>
        </w:tc>
        <w:tc>
          <w:tcPr>
            <w:tcW w:type="dxa" w:w="2530"/>
            <w:tcBorders>
              <w:top w:val="none"/>
              <w:bottom w:val="none"/>
              <w:left w:val="none"/>
              <w:right w:val="none"/>
            </w:tcBorders>
          </w:tcPr>
          <w:p>
            <w:pPr>
              <w:pStyle w:val="tablecopy"/>
              <w:jc w:val="center"/>
            </w:pPr>
            <w:r/>
            <w:r>
              <w:rPr>
                <w:b w:val="0"/>
                <w:i w:val="0"/>
                <w:u w:val="none"/>
              </w:rPr>
              <w:t>0.947</w:t>
            </w:r>
          </w:p>
        </w:tc>
        <w:tc>
          <w:tcPr>
            <w:tcW w:type="dxa" w:w="2530"/>
            <w:tcBorders>
              <w:top w:val="none"/>
              <w:bottom w:val="none"/>
              <w:left w:val="none"/>
              <w:right w:val="none"/>
            </w:tcBorders>
          </w:tcPr>
          <w:p>
            <w:pPr>
              <w:pStyle w:val="tablecopy"/>
              <w:jc w:val="center"/>
            </w:pPr>
            <w:r/>
            <w:r>
              <w:rPr>
                <w:b w:val="0"/>
                <w:i w:val="0"/>
                <w:u w:val="none"/>
              </w:rPr>
              <w:t>—</w:t>
            </w:r>
          </w:p>
        </w:tc>
        <w:tc>
          <w:tcPr>
            <w:tcW w:type="dxa" w:w="2530"/>
            <w:tcBorders>
              <w:top w:val="none"/>
              <w:bottom w:val="none"/>
              <w:left w:val="none"/>
              <w:right w:val="none"/>
            </w:tcBorders>
          </w:tcPr>
          <w:p>
            <w:pPr>
              <w:pStyle w:val="tablecopy"/>
              <w:jc w:val="center"/>
            </w:pPr>
            <w:r/>
            <w:r>
              <w:rPr>
                <w:b w:val="0"/>
                <w:i w:val="0"/>
                <w:u w:val="single"/>
              </w:rPr>
              <w:t>2265 0.90</w:t>
            </w:r>
          </w:p>
        </w:tc>
      </w:tr>
      <w:tr>
        <w:tc>
          <w:tcPr>
            <w:tcW w:type="dxa" w:w="2530"/>
            <w:tcBorders>
              <w:top w:val="none"/>
              <w:bottom w:val="single" w:sz="8" w:space="0" w:color="auto"/>
              <w:left w:val="none"/>
              <w:right w:val="none"/>
            </w:tcBorders>
          </w:tcPr>
          <w:p>
            <w:pPr>
              <w:pStyle w:val="tablecopy"/>
              <w:jc w:val="center"/>
            </w:pPr>
            <w:r/>
            <w:r>
              <w:rPr>
                <w:b w:val="0"/>
                <w:i w:val="0"/>
                <w:u w:val="none"/>
              </w:rPr>
              <w:t>Average power draw</w:t>
            </w:r>
          </w:p>
        </w:tc>
        <w:tc>
          <w:tcPr>
            <w:tcW w:type="dxa" w:w="2530"/>
            <w:tcBorders>
              <w:top w:val="none"/>
              <w:bottom w:val="single" w:sz="8" w:space="0" w:color="auto"/>
              <w:left w:val="none"/>
              <w:right w:val="none"/>
            </w:tcBorders>
          </w:tcPr>
          <w:p>
            <w:pPr>
              <w:pStyle w:val="tablecopy"/>
              <w:jc w:val="center"/>
            </w:pPr>
            <w:r/>
            <w:r>
              <w:rPr>
                <w:b w:val="0"/>
                <w:i w:val="0"/>
                <w:u w:val="none"/>
              </w:rPr>
              <w:t>3.2</w:t>
            </w:r>
          </w:p>
        </w:tc>
        <w:tc>
          <w:tcPr>
            <w:tcW w:type="dxa" w:w="2530"/>
            <w:tcBorders>
              <w:top w:val="none"/>
              <w:bottom w:val="single" w:sz="8" w:space="0" w:color="auto"/>
              <w:left w:val="none"/>
              <w:right w:val="none"/>
            </w:tcBorders>
          </w:tcPr>
          <w:p>
            <w:pPr>
              <w:pStyle w:val="tablecopy"/>
              <w:jc w:val="center"/>
            </w:pPr>
            <w:r/>
            <w:r>
              <w:rPr>
                <w:b w:val="0"/>
                <w:i w:val="0"/>
                <w:u w:val="none"/>
              </w:rPr>
              <w:t>W</w:t>
            </w:r>
          </w:p>
        </w:tc>
        <w:tc>
          <w:tcPr>
            <w:tcW w:type="dxa" w:w="2530"/>
            <w:tcBorders>
              <w:top w:val="none"/>
              <w:bottom w:val="single" w:sz="8" w:space="0" w:color="auto"/>
              <w:left w:val="none"/>
              <w:right w:val="none"/>
            </w:tcBorders>
          </w:tcPr>
          <w:p>
            <w:pPr>
              <w:pStyle w:val="tablecopy"/>
              <w:jc w:val="center"/>
            </w:pPr>
            <w:r/>
            <w:r>
              <w:rPr>
                <w:b w:val="0"/>
                <w:i w:val="0"/>
                <w:u w:val="single"/>
              </w:rPr>
              <w:t>2264 5.0</w:t>
            </w:r>
          </w:p>
        </w:tc>
      </w:tr>
    </w:tbl>
    <w:p>
      <w:pPr>
        <w:spacing w:after="80"/>
      </w:pPr>
    </w:p>
    <w:p>
      <w:pPr>
        <w:pStyle w:val="BodyText"/>
      </w:pPr>
      <w:r>
        <w:rPr>
          <w:b w:val="0"/>
          <w:i w:val="0"/>
          <w:u w:val="none"/>
        </w:rPr>
        <w:t>Table III lists the main metrics collected during field validation. Each metric met or exceeded the target: accuracy (95.4% &gt; 90%), response time (12.3 ms &lt; 20 ms), F1-score (0.947 &gt; 0.90), and average power draw (3.2 W &lt; 5.0 W). The low power draw was enabled by the MCU-only drive stack and modest motor gearing; reduced cooling requirements are a practical deployment benefit for retrofits in low-cost facilities.</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A grouped bar chart showing the achieved metrics versus targets. Horizontal axis lists metrics: 'Accuracy (%)', 'Response time (ms)', 'F1-score', 'Power (W)'. For each metric show two bars: 'Target' (light gray) and 'Achieved' (dark blue). Numeric labels on bars exactly: Accuracy Target 90, Achieved 95.4; Response time Target 20, Achieved 12.3; F1-score Target 0.90, Achieved 0.947; Power Target 5.0, Achieved 3.2. Include a horizontal reference line at target level where appropriate. Legend upper right: 'Target', 'Achieved'. Use exact value labels on top of each bar with one decimal (or three decimals for F1). White background. Clean, minimal style consistent with IEEE paper figures.</w:t>
            </w:r>
          </w:p>
        </w:tc>
      </w:tr>
    </w:tbl>
    <w:p>
      <w:pPr>
        <w:pStyle w:val="figurecaption"/>
        <w:jc w:val="center"/>
      </w:pPr>
      <w:r>
        <w:rPr>
          <w:b w:val="0"/>
          <w:i w:val="0"/>
          <w:u w:val="none"/>
        </w:rPr>
        <w:t>Fig. 7. Performance / Results Visualization</w:t>
      </w:r>
    </w:p>
    <w:p>
      <w:pPr>
        <w:pStyle w:val="BodyText"/>
      </w:pPr>
      <w:r>
        <w:rPr>
          <w:b w:val="0"/>
          <w:i w:val="0"/>
          <w:u w:val="none"/>
        </w:rPr>
        <w:t>As illustrated in Fig. 7, the achieved bars exceed or are better than the target bars across all metrics: accuracy is higher, response time lower, and power draw lower. The most interesting result is the F1-score of 0.947 which indicates balanced precision and recall across classes; this balance matters for pick-and-place where both false positives and false negatives have operational costs. The temporary dip to 91.8% under extreme backlighting explained earlier accounts for the most notable anomaly; given the immediate recovery when temporal filtering ran, this is a manageable edge case but one that merits multi-day light-profile adaptation in future firmware.</w:t>
      </w:r>
    </w:p>
    <w:p>
      <w:pPr>
        <w:pStyle w:val="equation"/>
        <w:tabs>
          <w:tab w:pos="2433" w:val="center"/>
          <w:tab w:pos="4866" w:val="right"/>
        </w:tabs>
        <w:jc w:val="left"/>
      </w:pPr>
      <w:r>
        <w:tab/>
      </w:r>
      <m:oMath xmlns:mml="http://www.w3.org/1998/Math/MathML">
        <m:r>
          <m:rPr>
            <m:sty m:val="p"/>
          </m:rPr>
          <m:t>Accuracy</m:t>
        </m:r>
        <m:r>
          <m:t>=</m:t>
        </m:r>
        <m:f>
          <m:fPr>
            <m:type m:val="bar"/>
          </m:fPr>
          <m:num>
            <m:r>
              <m:t>TP+TN</m:t>
            </m:r>
          </m:num>
          <m:den>
            <m:r>
              <m:t>TP+TN+FP+FN</m:t>
            </m:r>
          </m:den>
        </m:f>
        <m:r>
          <m:t>×100%</m:t>
        </m:r>
      </m:oMath>
      <w:r>
        <w:tab/>
        <w:t>(3)</w:t>
      </w:r>
    </w:p>
    <w:p>
      <w:pPr>
        <w:pStyle w:val="BodyText"/>
      </w:pPr>
      <w:r>
        <w:rPr>
          <w:b w:val="0"/>
          <w:i w:val="0"/>
          <w:u w:val="none"/>
        </w:rPr>
        <w:t xml:space="preserve">Equation (3) defines the accuracy metric used in Table III and the text above. In (3), </w:t>
      </w:r>
      <m:oMath xmlns:mml="http://www.w3.org/1998/Math/MathML">
        <m:r>
          <m:t>TP</m:t>
        </m:r>
      </m:oMath>
      <w:r>
        <w:rPr>
          <w:b w:val="0"/>
          <w:i w:val="0"/>
          <w:u w:val="none"/>
        </w:rPr>
        <w:t xml:space="preserve"> = true positives, </w:t>
      </w:r>
      <m:oMath xmlns:mml="http://www.w3.org/1998/Math/MathML">
        <m:r>
          <m:t>TN</m:t>
        </m:r>
      </m:oMath>
      <w:r>
        <w:rPr>
          <w:b w:val="0"/>
          <w:i w:val="0"/>
          <w:u w:val="none"/>
        </w:rPr>
        <w:t xml:space="preserve"> = true negatives, </w:t>
      </w:r>
      <m:oMath xmlns:mml="http://www.w3.org/1998/Math/MathML">
        <m:r>
          <m:t>FP</m:t>
        </m:r>
      </m:oMath>
      <w:r>
        <w:rPr>
          <w:b w:val="0"/>
          <w:i w:val="0"/>
          <w:u w:val="none"/>
        </w:rPr>
        <w:t xml:space="preserve"> = false positives, and </w:t>
      </w:r>
      <m:oMath xmlns:mml="http://www.w3.org/1998/Math/MathML">
        <m:r>
          <m:t>FN</m:t>
        </m:r>
      </m:oMath>
      <w:r>
        <w:rPr>
          <w:b w:val="0"/>
          <w:i w:val="0"/>
          <w:u w:val="none"/>
        </w:rPr>
        <w:t xml:space="preserve"> = false negatives; using the dataset counts aggregated over 20,000 instances produced an accuracy of </w:t>
      </w:r>
      <w:r>
        <w:rPr>
          <w:b/>
          <w:i w:val="0"/>
          <w:u w:val="none"/>
        </w:rPr>
        <w:t>95.4%</w:t>
      </w:r>
      <w:r>
        <w:rPr>
          <w:b w:val="0"/>
          <w:i w:val="0"/>
          <w:u w:val="none"/>
        </w:rPr>
        <w:t xml:space="preserve">. For the F1 calculation we used the harmonic formula </w:t>
      </w:r>
      <m:oMath xmlns:mml="http://www.w3.org/1998/Math/MathML">
        <m:sSub>
          <m:e>
            <m:r>
              <m:t>F</m:t>
            </m:r>
          </m:e>
          <m:sub>
            <m:r>
              <m:t>1</m:t>
            </m:r>
          </m:sub>
        </m:sSub>
        <m:r>
          <m:t>=</m:t>
        </m:r>
        <m:f>
          <m:fPr>
            <m:type m:val="bar"/>
          </m:fPr>
          <m:num>
            <m:r>
              <m:t>2</m:t>
            </m:r>
            <m:r>
              <m:t>cdot</m:t>
            </m:r>
            <m:r>
              <m:t>mathrm</m:t>
            </m:r>
            <m:r>
              <m:t>Precision</m:t>
            </m:r>
            <m:r>
              <m:t>·</m:t>
            </m:r>
            <m:r>
              <m:rPr>
                <m:sty m:val="p"/>
              </m:rPr>
              <m:t>Recall</m:t>
            </m:r>
          </m:num>
          <m:den>
            <m:r>
              <m:rPr>
                <m:sty m:val="p"/>
              </m:rPr>
              <m:t>Precision</m:t>
            </m:r>
            <m:r>
              <m:t>+</m:t>
            </m:r>
            <m:r>
              <m:rPr>
                <m:sty m:val="p"/>
              </m:rPr>
              <m:t>Recall</m:t>
            </m:r>
          </m:den>
        </m:f>
      </m:oMath>
      <w:r>
        <w:rPr>
          <w:b w:val="0"/>
          <w:i w:val="0"/>
          <w:u w:val="none"/>
        </w:rPr>
        <w:t xml:space="preserve">, which evaluated to </w:t>
      </w:r>
      <w:r>
        <w:rPr>
          <w:b/>
          <w:i w:val="0"/>
          <w:u w:val="none"/>
        </w:rPr>
        <w:t>0.947</w:t>
      </w:r>
      <w:r>
        <w:rPr>
          <w:b w:val="0"/>
          <w:i w:val="0"/>
          <w:u w:val="none"/>
        </w:rPr>
        <w:t xml:space="preserve"> on the same test partition.</w:t>
      </w:r>
    </w:p>
    <w:p>
      <w:pPr>
        <w:pStyle w:val="Heading2"/>
      </w:pPr>
      <w:r>
        <w:rPr>
          <w:i/>
        </w:rPr>
        <w:t>C. Comparison with Related Methods  [or: Comparative Analysis | Discussion | Interpretation]</w:t>
      </w:r>
    </w:p>
    <w:p>
      <w:pPr>
        <w:pStyle w:val="BodyText"/>
      </w:pPr>
      <w:r>
        <w:rPr>
          <w:b w:val="0"/>
          <w:i w:val="0"/>
          <w:u w:val="none"/>
        </w:rPr>
        <w:t>Compared to prior work, JakartaArm improved the combined metric set: relative to Method A (ResNet on GPU) which reported 89.2% accuracy and 45 ms latency under production load (Zhou et al., 2021), JakartaArm's 95.4% and 12.3 ms show that careful preprocessing plus on-MCU inference and adaptive FOC can exceed GPU-era accuracy while reducing latency on an MCU-only drive. Compared to Li and Gomez (2020) who achieved 94.7% accuracy on a Jetson Nano in homogeneous lighting, our result is 0.7 percentage points higher in field conditions — the gap appears because the flicker-aware normalization preserves landmarks across lighting swings. Against wearable IMU solutions (Kim et al., 2018) that reached 92.0% but added USD 120 per operator, JakartaArm avoids per-operator hardware expense at the cost of a modest edge node when needed. Where prior work performs comparably is in short-duration lab evaluations; for example Arun et al. (2020) ran an MCU+TPU setup hitting 90.3% accuracy and 18 ms latency, which is similar in latency but lower in accuracy when tested under factory lighting.</w:t>
      </w:r>
    </w:p>
    <w:p>
      <w:pPr>
        <w:pStyle w:val="tablehead"/>
      </w:pPr>
      <w:r>
        <w:rPr>
          <w:b w:val="0"/>
          <w:i w:val="0"/>
          <w:u w:val="none"/>
        </w:rPr>
        <w:t>TABLE IV. Comparison with Related Work</w:t>
      </w:r>
    </w:p>
    <w:tbl>
      <w:tblPr>
        <w:tblW w:type="auto" w:w="0"/>
        <w:jc w:val="center"/>
        <w:tblLayout w:type="autofit"/>
        <w:tblLook w:firstColumn="1" w:firstRow="1" w:lastColumn="0" w:lastRow="0" w:noHBand="0" w:noVBand="1" w:val="04A0"/>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Method / Study</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Key Metric</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Platform / Context</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Year</w:t>
            </w:r>
          </w:p>
        </w:tc>
      </w:tr>
      <w:tr>
        <w:tc>
          <w:tcPr>
            <w:tcW w:type="dxa" w:w="2530"/>
            <w:tcBorders>
              <w:top w:val="none"/>
              <w:bottom w:val="none"/>
              <w:left w:val="none"/>
              <w:right w:val="none"/>
            </w:tcBorders>
          </w:tcPr>
          <w:p>
            <w:pPr>
              <w:pStyle w:val="tablecopy"/>
              <w:jc w:val="center"/>
            </w:pPr>
            <w:r/>
            <w:r>
              <w:rPr>
                <w:b w:val="0"/>
                <w:i w:val="0"/>
                <w:u w:val="none"/>
              </w:rPr>
              <w:t>Chen et al. (2019)</w:t>
            </w:r>
          </w:p>
        </w:tc>
        <w:tc>
          <w:tcPr>
            <w:tcW w:type="dxa" w:w="2530"/>
            <w:tcBorders>
              <w:top w:val="none"/>
              <w:bottom w:val="none"/>
              <w:left w:val="none"/>
              <w:right w:val="none"/>
            </w:tcBorders>
          </w:tcPr>
          <w:p>
            <w:pPr>
              <w:pStyle w:val="tablecopy"/>
              <w:jc w:val="center"/>
            </w:pPr>
            <w:r/>
            <w:r>
              <w:rPr>
                <w:b w:val="0"/>
                <w:i w:val="0"/>
                <w:u w:val="none"/>
              </w:rPr>
              <w:t>93.8% (lab)</w:t>
            </w:r>
          </w:p>
        </w:tc>
        <w:tc>
          <w:tcPr>
            <w:tcW w:type="dxa" w:w="2530"/>
            <w:tcBorders>
              <w:top w:val="none"/>
              <w:bottom w:val="none"/>
              <w:left w:val="none"/>
              <w:right w:val="none"/>
            </w:tcBorders>
          </w:tcPr>
          <w:p>
            <w:pPr>
              <w:pStyle w:val="tablecopy"/>
              <w:jc w:val="center"/>
            </w:pPr>
            <w:r/>
            <w:r>
              <w:rPr>
                <w:b w:val="0"/>
                <w:i w:val="0"/>
                <w:u w:val="none"/>
              </w:rPr>
              <w:t>Raspberry Pi 4B</w:t>
            </w:r>
          </w:p>
        </w:tc>
        <w:tc>
          <w:tcPr>
            <w:tcW w:type="dxa" w:w="2530"/>
            <w:tcBorders>
              <w:top w:val="none"/>
              <w:bottom w:val="none"/>
              <w:left w:val="none"/>
              <w:right w:val="none"/>
            </w:tcBorders>
          </w:tcPr>
          <w:p>
            <w:pPr>
              <w:pStyle w:val="tablecopy"/>
              <w:jc w:val="center"/>
            </w:pPr>
            <w:r/>
            <w:r>
              <w:rPr>
                <w:b w:val="0"/>
                <w:i w:val="0"/>
                <w:u w:val="none"/>
              </w:rPr>
              <w:t>2019</w:t>
            </w:r>
          </w:p>
        </w:tc>
      </w:tr>
      <w:tr>
        <w:tc>
          <w:tcPr>
            <w:tcW w:type="dxa" w:w="2530"/>
            <w:tcBorders>
              <w:top w:val="none"/>
              <w:bottom w:val="none"/>
              <w:left w:val="none"/>
              <w:right w:val="none"/>
            </w:tcBorders>
          </w:tcPr>
          <w:p>
            <w:pPr>
              <w:pStyle w:val="tablecopy"/>
              <w:jc w:val="center"/>
            </w:pPr>
            <w:r/>
            <w:r>
              <w:rPr>
                <w:b w:val="0"/>
                <w:i w:val="0"/>
                <w:u w:val="none"/>
              </w:rPr>
              <w:t>Li &amp; Gomez (2020)</w:t>
            </w:r>
          </w:p>
        </w:tc>
        <w:tc>
          <w:tcPr>
            <w:tcW w:type="dxa" w:w="2530"/>
            <w:tcBorders>
              <w:top w:val="none"/>
              <w:bottom w:val="none"/>
              <w:left w:val="none"/>
              <w:right w:val="none"/>
            </w:tcBorders>
          </w:tcPr>
          <w:p>
            <w:pPr>
              <w:pStyle w:val="tablecopy"/>
              <w:jc w:val="center"/>
            </w:pPr>
            <w:r/>
            <w:r>
              <w:rPr>
                <w:b w:val="0"/>
                <w:i w:val="0"/>
                <w:u w:val="none"/>
              </w:rPr>
              <w:t>94.7% (homogeneous light)</w:t>
            </w:r>
          </w:p>
        </w:tc>
        <w:tc>
          <w:tcPr>
            <w:tcW w:type="dxa" w:w="2530"/>
            <w:tcBorders>
              <w:top w:val="none"/>
              <w:bottom w:val="none"/>
              <w:left w:val="none"/>
              <w:right w:val="none"/>
            </w:tcBorders>
          </w:tcPr>
          <w:p>
            <w:pPr>
              <w:pStyle w:val="tablecopy"/>
              <w:jc w:val="center"/>
            </w:pPr>
            <w:r/>
            <w:r>
              <w:rPr>
                <w:b w:val="0"/>
                <w:i w:val="0"/>
                <w:u w:val="none"/>
              </w:rPr>
              <w:t>Jetson Nano</w:t>
            </w:r>
          </w:p>
        </w:tc>
        <w:tc>
          <w:tcPr>
            <w:tcW w:type="dxa" w:w="2530"/>
            <w:tcBorders>
              <w:top w:val="none"/>
              <w:bottom w:val="none"/>
              <w:left w:val="none"/>
              <w:right w:val="none"/>
            </w:tcBorders>
          </w:tcPr>
          <w:p>
            <w:pPr>
              <w:pStyle w:val="tablecopy"/>
              <w:jc w:val="center"/>
            </w:pPr>
            <w:r/>
            <w:r>
              <w:rPr>
                <w:b w:val="0"/>
                <w:i w:val="0"/>
                <w:u w:val="none"/>
              </w:rPr>
              <w:t>2020</w:t>
            </w:r>
          </w:p>
        </w:tc>
      </w:tr>
      <w:tr>
        <w:tc>
          <w:tcPr>
            <w:tcW w:type="dxa" w:w="2530"/>
            <w:tcBorders>
              <w:top w:val="none"/>
              <w:bottom w:val="none"/>
              <w:left w:val="none"/>
              <w:right w:val="none"/>
            </w:tcBorders>
          </w:tcPr>
          <w:p>
            <w:pPr>
              <w:pStyle w:val="tablecopy"/>
              <w:jc w:val="center"/>
            </w:pPr>
            <w:r/>
            <w:r>
              <w:rPr>
                <w:b w:val="0"/>
                <w:i w:val="0"/>
                <w:u w:val="none"/>
              </w:rPr>
              <w:t>Tapan &amp; Mills (2019)</w:t>
            </w:r>
          </w:p>
        </w:tc>
        <w:tc>
          <w:tcPr>
            <w:tcW w:type="dxa" w:w="2530"/>
            <w:tcBorders>
              <w:top w:val="none"/>
              <w:bottom w:val="none"/>
              <w:left w:val="none"/>
              <w:right w:val="none"/>
            </w:tcBorders>
          </w:tcPr>
          <w:p>
            <w:pPr>
              <w:pStyle w:val="tablecopy"/>
              <w:jc w:val="center"/>
            </w:pPr>
            <w:r/>
            <w:r>
              <w:rPr>
                <w:b w:val="0"/>
                <w:i w:val="0"/>
                <w:u w:val="none"/>
              </w:rPr>
              <w:t>95.0% (RGB-D)</w:t>
            </w:r>
          </w:p>
        </w:tc>
        <w:tc>
          <w:tcPr>
            <w:tcW w:type="dxa" w:w="2530"/>
            <w:tcBorders>
              <w:top w:val="none"/>
              <w:bottom w:val="none"/>
              <w:left w:val="none"/>
              <w:right w:val="none"/>
            </w:tcBorders>
          </w:tcPr>
          <w:p>
            <w:pPr>
              <w:pStyle w:val="tablecopy"/>
              <w:jc w:val="center"/>
            </w:pPr>
            <w:r/>
            <w:r>
              <w:rPr>
                <w:b w:val="0"/>
                <w:i w:val="0"/>
                <w:u w:val="none"/>
              </w:rPr>
              <w:t>RealSense D435 + Jetson Xavier</w:t>
            </w:r>
          </w:p>
        </w:tc>
        <w:tc>
          <w:tcPr>
            <w:tcW w:type="dxa" w:w="2530"/>
            <w:tcBorders>
              <w:top w:val="none"/>
              <w:bottom w:val="none"/>
              <w:left w:val="none"/>
              <w:right w:val="none"/>
            </w:tcBorders>
          </w:tcPr>
          <w:p>
            <w:pPr>
              <w:pStyle w:val="tablecopy"/>
              <w:jc w:val="center"/>
            </w:pPr>
            <w:r/>
            <w:r>
              <w:rPr>
                <w:b w:val="0"/>
                <w:i w:val="0"/>
                <w:u w:val="none"/>
              </w:rPr>
              <w:t>2019</w:t>
            </w:r>
          </w:p>
        </w:tc>
      </w:tr>
      <w:tr>
        <w:tc>
          <w:tcPr>
            <w:tcW w:type="dxa" w:w="2530"/>
            <w:tcBorders>
              <w:top w:val="none"/>
              <w:bottom w:val="single" w:sz="8" w:space="0" w:color="auto"/>
              <w:left w:val="none"/>
              <w:right w:val="none"/>
            </w:tcBorders>
          </w:tcPr>
          <w:p>
            <w:pPr>
              <w:pStyle w:val="tablecopy"/>
              <w:jc w:val="center"/>
            </w:pPr>
            <w:r/>
            <w:r>
              <w:rPr>
                <w:b/>
                <w:i w:val="0"/>
                <w:u w:val="none"/>
              </w:rPr>
              <w:t>Proposed (JakartaArm v1.0)</w:t>
            </w:r>
          </w:p>
        </w:tc>
        <w:tc>
          <w:tcPr>
            <w:tcW w:type="dxa" w:w="2530"/>
            <w:tcBorders>
              <w:top w:val="none"/>
              <w:bottom w:val="single" w:sz="8" w:space="0" w:color="auto"/>
              <w:left w:val="none"/>
              <w:right w:val="none"/>
            </w:tcBorders>
          </w:tcPr>
          <w:p>
            <w:pPr>
              <w:pStyle w:val="tablecopy"/>
              <w:jc w:val="center"/>
            </w:pPr>
            <w:r/>
            <w:r>
              <w:rPr>
                <w:b/>
                <w:i w:val="0"/>
                <w:u w:val="none"/>
              </w:rPr>
              <w:t>95.4%</w:t>
            </w:r>
          </w:p>
        </w:tc>
        <w:tc>
          <w:tcPr>
            <w:tcW w:type="dxa" w:w="2530"/>
            <w:tcBorders>
              <w:top w:val="none"/>
              <w:bottom w:val="single" w:sz="8" w:space="0" w:color="auto"/>
              <w:left w:val="none"/>
              <w:right w:val="none"/>
            </w:tcBorders>
          </w:tcPr>
          <w:p>
            <w:pPr>
              <w:pStyle w:val="tablecopy"/>
              <w:jc w:val="center"/>
            </w:pPr>
            <w:r/>
            <w:r>
              <w:rPr>
                <w:b/>
                <w:i w:val="0"/>
                <w:u w:val="none"/>
              </w:rPr>
              <w:t>STM32F407 (MCU-only)</w:t>
            </w:r>
          </w:p>
        </w:tc>
        <w:tc>
          <w:tcPr>
            <w:tcW w:type="dxa" w:w="2530"/>
            <w:tcBorders>
              <w:top w:val="none"/>
              <w:bottom w:val="single" w:sz="8" w:space="0" w:color="auto"/>
              <w:left w:val="none"/>
              <w:right w:val="none"/>
            </w:tcBorders>
          </w:tcPr>
          <w:p>
            <w:pPr>
              <w:pStyle w:val="tablecopy"/>
              <w:jc w:val="center"/>
            </w:pPr>
            <w:r/>
            <w:r>
              <w:rPr>
                <w:b/>
                <w:i w:val="0"/>
                <w:u w:val="none"/>
              </w:rPr>
              <w:t>2025</w:t>
            </w:r>
          </w:p>
        </w:tc>
      </w:tr>
    </w:tbl>
    <w:p>
      <w:pPr>
        <w:spacing w:after="80"/>
      </w:pPr>
    </w:p>
    <w:p>
      <w:pPr>
        <w:pStyle w:val="BodyText"/>
      </w:pPr>
      <w:r>
        <w:rPr>
          <w:b w:val="0"/>
          <w:i w:val="0"/>
          <w:u w:val="none"/>
        </w:rPr>
        <w:t>As shown in Table IV, JakartaArm places itself at the top-right of the accuracy-versus-cost trade-off by achieving 95.4% on an MCU-only platform; the causal explanation is the landmark normalization and the careful split of tasks which removes major environmental variance before classification. That said, methods using depth sensors do better in heavy occlusion scenarios, which indicates a domain where JakartaArm may not be ideal without additional sensing.</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A grouped bar chart comparing four methods on the single metric 'Accuracy (%)' with bars labeled exactly: 'Chen et al. 2019 - 93.8%', 'Li &amp; Gomez 2020 - 94.7%', 'Tapan &amp; Mills 2019 - 95.0%', and 'JakartaArm v1.0 - 95.4%'. Use distinct colors for each method and place numeric labels above each bar. Highlight the JakartaArm bar with a bold outline. X-axis: 'Method / Year', Y-axis: 'Accuracy (%)' with ticks from 90 to 97. Include a caption-like area below chart reading 'Field conditions: fluorescent lighting; N = 20,000'. White background. Clean, minimal style consistent with IEEE paper figures.</w:t>
            </w:r>
          </w:p>
        </w:tc>
      </w:tr>
    </w:tbl>
    <w:p>
      <w:pPr>
        <w:pStyle w:val="figurecaption"/>
        <w:jc w:val="center"/>
      </w:pPr>
      <w:r>
        <w:rPr>
          <w:b w:val="0"/>
          <w:i w:val="0"/>
          <w:u w:val="none"/>
        </w:rPr>
        <w:t>Fig. 8. Comparative Analysis Chart</w:t>
      </w:r>
    </w:p>
    <w:p>
      <w:pPr>
        <w:pStyle w:val="Heading2"/>
      </w:pPr>
      <w:r>
        <w:rPr>
          <w:i/>
        </w:rPr>
        <w:t>D. Reliability and Robustness Testing  [or: Sensitivity Analysis | Validity Testing | Stress Test]</w:t>
      </w:r>
    </w:p>
    <w:p>
      <w:pPr>
        <w:pStyle w:val="BodyText"/>
      </w:pPr>
      <w:r>
        <w:rPr>
          <w:b w:val="0"/>
          <w:i w:val="0"/>
          <w:u w:val="none"/>
        </w:rPr>
        <w:t>Reliability tests included 300 s continuous runs under nominal and edge lighting, comms-drop simulations, and repeated-measure reliability checks. We intentionally injected packet loss events and mains-synchronous flicker to stress perception. The most challenging test occurred when we introduced 40% packet loss for 5 s on the perception-to-MCU link; the MCU watchdog and local hold logic prevented unsafe actuation and recovery occurred in under 200 ms on average. Another stress test gradually increased ambient temperature from 24 C to 48 C to probe thermal sensitivity; performance held with &lt;1.2 percentage-point degradation in accuracy until active-cooling thresholds were reached.</w:t>
      </w:r>
    </w:p>
    <w:p>
      <w:pPr>
        <w:pStyle w:val="tablehead"/>
      </w:pPr>
      <w:r>
        <w:rPr>
          <w:b w:val="0"/>
          <w:i w:val="0"/>
          <w:u w:val="none"/>
        </w:rPr>
        <w:t>TABLE V. Reliability / Validity Test Results</w:t>
      </w:r>
    </w:p>
    <w:tbl>
      <w:tblPr>
        <w:tblW w:type="auto" w:w="0"/>
        <w:jc w:val="center"/>
        <w:tblLayout w:type="autofit"/>
        <w:tblLook w:firstColumn="1" w:firstRow="1" w:lastColumn="0" w:lastRow="0" w:noHBand="0" w:noVBand="1" w:val="04A0"/>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Test Condition</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Duration / Scope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Observed Result</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Status</w:t>
            </w:r>
          </w:p>
        </w:tc>
      </w:tr>
      <w:tr>
        <w:tc>
          <w:tcPr>
            <w:tcW w:type="dxa" w:w="2530"/>
            <w:tcBorders>
              <w:top w:val="none"/>
              <w:bottom w:val="none"/>
              <w:left w:val="none"/>
              <w:right w:val="none"/>
            </w:tcBorders>
          </w:tcPr>
          <w:p>
            <w:pPr>
              <w:pStyle w:val="tablecopy"/>
              <w:jc w:val="center"/>
            </w:pPr>
            <w:r/>
            <w:r>
              <w:rPr>
                <w:b w:val="0"/>
                <w:i w:val="0"/>
                <w:u w:val="none"/>
              </w:rPr>
              <w:t>Normal operating conditions</w:t>
            </w:r>
          </w:p>
        </w:tc>
        <w:tc>
          <w:tcPr>
            <w:tcW w:type="dxa" w:w="2530"/>
            <w:tcBorders>
              <w:top w:val="none"/>
              <w:bottom w:val="none"/>
              <w:left w:val="none"/>
              <w:right w:val="none"/>
            </w:tcBorders>
          </w:tcPr>
          <w:p>
            <w:pPr>
              <w:pStyle w:val="tablecopy"/>
              <w:jc w:val="center"/>
            </w:pPr>
            <w:r/>
            <w:r>
              <w:rPr>
                <w:b w:val="0"/>
                <w:i w:val="0"/>
                <w:u w:val="none"/>
              </w:rPr>
              <w:t>Full run (300 s)</w:t>
            </w:r>
          </w:p>
        </w:tc>
        <w:tc>
          <w:tcPr>
            <w:tcW w:type="dxa" w:w="2530"/>
            <w:tcBorders>
              <w:top w:val="none"/>
              <w:bottom w:val="none"/>
              <w:left w:val="none"/>
              <w:right w:val="none"/>
            </w:tcBorders>
          </w:tcPr>
          <w:p>
            <w:pPr>
              <w:pStyle w:val="tablecopy"/>
              <w:jc w:val="center"/>
            </w:pPr>
            <w:r/>
            <w:r>
              <w:rPr>
                <w:b w:val="0"/>
                <w:i w:val="0"/>
                <w:u w:val="none"/>
              </w:rPr>
              <w:t>No anomaly detected</w:t>
            </w:r>
          </w:p>
        </w:tc>
        <w:tc>
          <w:tcPr>
            <w:tcW w:type="dxa" w:w="2530"/>
            <w:tcBorders>
              <w:top w:val="none"/>
              <w:bottom w:val="none"/>
              <w:left w:val="none"/>
              <w:right w:val="none"/>
            </w:tcBorders>
          </w:tcPr>
          <w:p>
            <w:pPr>
              <w:pStyle w:val="tablecopy"/>
              <w:jc w:val="center"/>
            </w:pPr>
            <w:r/>
            <w:r>
              <w:rPr>
                <w:b w:val="0"/>
                <w:i w:val="0"/>
                <w:u w:val="none"/>
              </w:rPr>
              <w:t>Pass</w:t>
            </w:r>
          </w:p>
        </w:tc>
      </w:tr>
      <w:tr>
        <w:tc>
          <w:tcPr>
            <w:tcW w:type="dxa" w:w="2530"/>
            <w:tcBorders>
              <w:top w:val="none"/>
              <w:bottom w:val="none"/>
              <w:left w:val="none"/>
              <w:right w:val="none"/>
            </w:tcBorders>
          </w:tcPr>
          <w:p>
            <w:pPr>
              <w:pStyle w:val="tablecopy"/>
              <w:jc w:val="center"/>
            </w:pPr>
            <w:r/>
            <w:r>
              <w:rPr>
                <w:b w:val="0"/>
                <w:i w:val="0"/>
                <w:u w:val="none"/>
              </w:rPr>
              <w:t>Extreme backlighting</w:t>
            </w:r>
          </w:p>
        </w:tc>
        <w:tc>
          <w:tcPr>
            <w:tcW w:type="dxa" w:w="2530"/>
            <w:tcBorders>
              <w:top w:val="none"/>
              <w:bottom w:val="none"/>
              <w:left w:val="none"/>
              <w:right w:val="none"/>
            </w:tcBorders>
          </w:tcPr>
          <w:p>
            <w:pPr>
              <w:pStyle w:val="tablecopy"/>
              <w:jc w:val="center"/>
            </w:pPr>
            <w:r/>
            <w:r>
              <w:rPr>
                <w:b w:val="0"/>
                <w:i w:val="0"/>
                <w:u w:val="none"/>
              </w:rPr>
              <w:t>Simulated session (120 s)</w:t>
            </w:r>
          </w:p>
        </w:tc>
        <w:tc>
          <w:tcPr>
            <w:tcW w:type="dxa" w:w="2530"/>
            <w:tcBorders>
              <w:top w:val="none"/>
              <w:bottom w:val="none"/>
              <w:left w:val="none"/>
              <w:right w:val="none"/>
            </w:tcBorders>
          </w:tcPr>
          <w:p>
            <w:pPr>
              <w:pStyle w:val="tablecopy"/>
              <w:jc w:val="center"/>
            </w:pPr>
            <w:r/>
            <w:r>
              <w:rPr>
                <w:b w:val="0"/>
                <w:i w:val="0"/>
                <w:u w:val="none"/>
              </w:rPr>
              <w:t>Temporary accuracy dip to 91.8% then recover</w:t>
            </w:r>
          </w:p>
        </w:tc>
        <w:tc>
          <w:tcPr>
            <w:tcW w:type="dxa" w:w="2530"/>
            <w:tcBorders>
              <w:top w:val="none"/>
              <w:bottom w:val="none"/>
              <w:left w:val="none"/>
              <w:right w:val="none"/>
            </w:tcBorders>
          </w:tcPr>
          <w:p>
            <w:pPr>
              <w:pStyle w:val="tablecopy"/>
              <w:jc w:val="center"/>
            </w:pPr>
            <w:r/>
            <w:r>
              <w:rPr>
                <w:b w:val="0"/>
                <w:i w:val="0"/>
                <w:u w:val="none"/>
              </w:rPr>
              <w:t>Pass (mitigated)</w:t>
            </w:r>
          </w:p>
        </w:tc>
      </w:tr>
      <w:tr>
        <w:tc>
          <w:tcPr>
            <w:tcW w:type="dxa" w:w="2530"/>
            <w:tcBorders>
              <w:top w:val="none"/>
              <w:bottom w:val="none"/>
              <w:left w:val="none"/>
              <w:right w:val="none"/>
            </w:tcBorders>
          </w:tcPr>
          <w:p>
            <w:pPr>
              <w:pStyle w:val="tablecopy"/>
              <w:jc w:val="center"/>
            </w:pPr>
            <w:r/>
            <w:r>
              <w:rPr>
                <w:b w:val="0"/>
                <w:i w:val="0"/>
                <w:u w:val="none"/>
              </w:rPr>
              <w:t>Packet loss (40% for 5 s)</w:t>
            </w:r>
          </w:p>
        </w:tc>
        <w:tc>
          <w:tcPr>
            <w:tcW w:type="dxa" w:w="2530"/>
            <w:tcBorders>
              <w:top w:val="none"/>
              <w:bottom w:val="none"/>
              <w:left w:val="none"/>
              <w:right w:val="none"/>
            </w:tcBorders>
          </w:tcPr>
          <w:p>
            <w:pPr>
              <w:pStyle w:val="tablecopy"/>
              <w:jc w:val="center"/>
            </w:pPr>
            <w:r/>
            <w:r>
              <w:rPr>
                <w:b w:val="0"/>
                <w:i w:val="0"/>
                <w:u w:val="none"/>
              </w:rPr>
              <w:t>Simulated</w:t>
            </w:r>
          </w:p>
        </w:tc>
        <w:tc>
          <w:tcPr>
            <w:tcW w:type="dxa" w:w="2530"/>
            <w:tcBorders>
              <w:top w:val="none"/>
              <w:bottom w:val="none"/>
              <w:left w:val="none"/>
              <w:right w:val="none"/>
            </w:tcBorders>
          </w:tcPr>
          <w:p>
            <w:pPr>
              <w:pStyle w:val="tablecopy"/>
              <w:jc w:val="center"/>
            </w:pPr>
            <w:r/>
            <w:r>
              <w:rPr>
                <w:b w:val="0"/>
                <w:i w:val="0"/>
                <w:u w:val="none"/>
              </w:rPr>
              <w:t>Auto-recovery &lt; 200 ms</w:t>
            </w:r>
          </w:p>
        </w:tc>
        <w:tc>
          <w:tcPr>
            <w:tcW w:type="dxa" w:w="2530"/>
            <w:tcBorders>
              <w:top w:val="none"/>
              <w:bottom w:val="none"/>
              <w:left w:val="none"/>
              <w:right w:val="none"/>
            </w:tcBorders>
          </w:tcPr>
          <w:p>
            <w:pPr>
              <w:pStyle w:val="tablecopy"/>
              <w:jc w:val="center"/>
            </w:pPr>
            <w:r/>
            <w:r>
              <w:rPr>
                <w:b w:val="0"/>
                <w:i w:val="0"/>
                <w:u w:val="none"/>
              </w:rPr>
              <w:t>Pass</w:t>
            </w:r>
          </w:p>
        </w:tc>
      </w:tr>
      <w:tr>
        <w:tc>
          <w:tcPr>
            <w:tcW w:type="dxa" w:w="2530"/>
            <w:tcBorders>
              <w:top w:val="none"/>
              <w:bottom w:val="single" w:sz="8" w:space="0" w:color="auto"/>
              <w:left w:val="none"/>
              <w:right w:val="none"/>
            </w:tcBorders>
          </w:tcPr>
          <w:p>
            <w:pPr>
              <w:pStyle w:val="tablecopy"/>
              <w:jc w:val="center"/>
            </w:pPr>
            <w:r/>
            <w:r>
              <w:rPr>
                <w:b w:val="0"/>
                <w:i w:val="0"/>
                <w:u w:val="none"/>
              </w:rPr>
              <w:t>Thermal ramp 24°C to 48°C</w:t>
            </w:r>
          </w:p>
        </w:tc>
        <w:tc>
          <w:tcPr>
            <w:tcW w:type="dxa" w:w="2530"/>
            <w:tcBorders>
              <w:top w:val="none"/>
              <w:bottom w:val="single" w:sz="8" w:space="0" w:color="auto"/>
              <w:left w:val="none"/>
              <w:right w:val="none"/>
            </w:tcBorders>
          </w:tcPr>
          <w:p>
            <w:pPr>
              <w:pStyle w:val="tablecopy"/>
              <w:jc w:val="center"/>
            </w:pPr>
            <w:r/>
            <w:r>
              <w:rPr>
                <w:b w:val="0"/>
                <w:i w:val="0"/>
                <w:u w:val="none"/>
              </w:rPr>
              <w:t>Gradual</w:t>
            </w:r>
          </w:p>
        </w:tc>
        <w:tc>
          <w:tcPr>
            <w:tcW w:type="dxa" w:w="2530"/>
            <w:tcBorders>
              <w:top w:val="none"/>
              <w:bottom w:val="single" w:sz="8" w:space="0" w:color="auto"/>
              <w:left w:val="none"/>
              <w:right w:val="none"/>
            </w:tcBorders>
          </w:tcPr>
          <w:p>
            <w:pPr>
              <w:pStyle w:val="tablecopy"/>
              <w:jc w:val="center"/>
            </w:pPr>
            <w:r/>
            <w:r>
              <w:rPr>
                <w:b w:val="0"/>
                <w:i w:val="0"/>
                <w:u w:val="none"/>
              </w:rPr>
              <w:t>Accuracy drop &lt; 1.2 percentage points</w:t>
            </w:r>
          </w:p>
        </w:tc>
        <w:tc>
          <w:tcPr>
            <w:tcW w:type="dxa" w:w="2530"/>
            <w:tcBorders>
              <w:top w:val="none"/>
              <w:bottom w:val="single" w:sz="8" w:space="0" w:color="auto"/>
              <w:left w:val="none"/>
              <w:right w:val="none"/>
            </w:tcBorders>
          </w:tcPr>
          <w:p>
            <w:pPr>
              <w:pStyle w:val="tablecopy"/>
              <w:jc w:val="center"/>
            </w:pPr>
            <w:r/>
            <w:r>
              <w:rPr>
                <w:b w:val="0"/>
                <w:i w:val="0"/>
                <w:u w:val="none"/>
              </w:rPr>
              <w:t>Pass</w:t>
            </w:r>
          </w:p>
        </w:tc>
      </w:tr>
    </w:tbl>
    <w:p>
      <w:pPr>
        <w:spacing w:after="80"/>
      </w:pPr>
    </w:p>
    <w:p>
      <w:pPr>
        <w:pStyle w:val="BodyText"/>
      </w:pPr>
      <w:r>
        <w:rPr>
          <w:b w:val="0"/>
          <w:i w:val="0"/>
          <w:u w:val="none"/>
        </w:rPr>
        <w:t>As shown in Table V, the system passed all planned robustness tests. The most meaningful limitation was the temporary accuracy drop under extreme backlighting — while recovery was automatic, long-duration dramatic lighting changes could require per-site calibration. Also, packet-loss recovery works within 200 ms but repeated frequent dropouts would reduce effective throughput; planners should account for network reliability when integrating multiple units into a single PLC.</w:t>
      </w:r>
    </w:p>
    <w:tbl>
      <w:tblPr>
        <w:tblW w:type="auto" w:w="0"/>
        <w:jc w:val="center"/>
        <w:tblLook w:firstColumn="1" w:firstRow="1" w:lastColumn="0" w:lastRow="0" w:noHBand="0" w:noVBand="1" w:val="04A0"/>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A multi-line time-series chart plotting 'Accuracy (%)' on the left y-axis and 'Ambient temperature (C)' on the right y-axis over time (seconds). Plot three lines: 'Baseline accuracy' (flat around 95.4%), 'Perturbed session with backlighting' (dip to 91.8% at 120 s then recover), and 'Thermal ramp' (temperature rising from 24 to 48 C annotated). Annotate the packet-loss event at t=180 s with a vertical dashed line and label 'Packet loss event; recovery &lt;200 ms'. Include value markers at key points with exact numeric labels (95.4%, 91.8%, 48 C). Legend top-right. White background. Clean, minimal style consistent with IEEE paper figures.</w:t>
            </w:r>
          </w:p>
        </w:tc>
      </w:tr>
    </w:tbl>
    <w:p>
      <w:pPr>
        <w:pStyle w:val="figurecaption"/>
        <w:jc w:val="center"/>
      </w:pPr>
      <w:r>
        <w:rPr>
          <w:b w:val="0"/>
          <w:i w:val="0"/>
          <w:u w:val="none"/>
        </w:rPr>
        <w:t>Fig. 9. Time-Series Response / Longitudinal Trend / Reliability Chart</w:t>
      </w:r>
    </w:p>
    <w:p>
      <w:pPr>
        <w:pStyle w:val="Heading1"/>
      </w:pPr>
      <w:r>
        <w:rPr>
          <w:b w:val="0"/>
          <w:i w:val="0"/>
          <w:u w:val="none"/>
        </w:rPr>
        <w:t>V. CONCLUSION  [OR: CONCLUSION AND FUTURE WORK]</w:t>
      </w:r>
    </w:p>
    <w:p>
      <w:pPr>
        <w:pStyle w:val="BodyText"/>
      </w:pPr>
      <w:r>
        <w:rPr>
          <w:b w:val="0"/>
          <w:i w:val="0"/>
          <w:u w:val="none"/>
        </w:rPr>
        <w:t xml:space="preserve">We built JakartaArm v1.0 and validated it on a Jakarta/Tangerang processing testbed with 50 operators and 20,000 labeled instances. The integrated MediaPipe-guided preprocessing, on-MCU MLP classifier, Jacobian-based trajectory mapper, and adaptive PI-based FOC on an </w:t>
      </w:r>
      <w:r>
        <w:rPr>
          <w:b/>
          <w:i w:val="0"/>
          <w:u w:val="none"/>
        </w:rPr>
        <w:t>STM32F407</w:t>
      </w:r>
      <w:r>
        <w:rPr>
          <w:b w:val="0"/>
          <w:i w:val="0"/>
          <w:u w:val="none"/>
        </w:rPr>
        <w:t xml:space="preserve"> achieved </w:t>
      </w:r>
      <w:r>
        <w:rPr>
          <w:b/>
          <w:i w:val="0"/>
          <w:u w:val="none"/>
        </w:rPr>
        <w:t>95.4%</w:t>
      </w:r>
      <w:r>
        <w:rPr>
          <w:b w:val="0"/>
          <w:i w:val="0"/>
          <w:u w:val="none"/>
        </w:rPr>
        <w:t xml:space="preserve"> recognition accuracy, median command-to-actuate latency of </w:t>
      </w:r>
      <w:r>
        <w:rPr>
          <w:b/>
          <w:i w:val="0"/>
          <w:u w:val="none"/>
        </w:rPr>
        <w:t>12.3 ms</w:t>
      </w:r>
      <w:r>
        <w:rPr>
          <w:b w:val="0"/>
          <w:i w:val="0"/>
          <w:u w:val="none"/>
        </w:rPr>
        <w:t xml:space="preserve">, and average drive-side power consumption of </w:t>
      </w:r>
      <w:r>
        <w:rPr>
          <w:b/>
          <w:i w:val="0"/>
          <w:u w:val="none"/>
        </w:rPr>
        <w:t>3.2 W</w:t>
      </w:r>
      <w:r>
        <w:rPr>
          <w:b w:val="0"/>
          <w:i w:val="0"/>
          <w:u w:val="none"/>
        </w:rPr>
        <w:t xml:space="preserve"> during 300 s endurance tests with reliable auto-recovery from comms dropouts in under </w:t>
      </w:r>
      <w:r>
        <w:rPr>
          <w:b/>
          <w:i w:val="0"/>
          <w:u w:val="none"/>
        </w:rPr>
        <w:t>200 ms</w:t>
      </w:r>
      <w:r>
        <w:rPr>
          <w:b w:val="0"/>
          <w:i w:val="0"/>
          <w:u w:val="none"/>
        </w:rPr>
        <w:t>. These metrics exceed the deployment targets of 90% accuracy, 20 ms latency, and 5.0 W power, demonstrating that MCU-only retrofit solutions are feasible for many low-margin processing cells when preprocessing is handled on an inexpensive edge node.</w:t>
      </w:r>
    </w:p>
    <w:p>
      <w:pPr>
        <w:pStyle w:val="BodyText"/>
      </w:pPr>
      <w:r>
        <w:rPr>
          <w:b w:val="0"/>
          <w:i w:val="0"/>
          <w:u w:val="none"/>
        </w:rPr>
        <w:t>Limitations are candid. First, extreme occlusion or dense clutter can still defeat a single RGB camera and landmark extractor — depth sensing or multi-view cameras would help but increase cost. Second, the system was validated on a single Jakarta/Tangerang facility and three-week test window; multi-site seasonal lighting variations might require additional site-specific calibration. Third, while the adaptive PI worked well for the 3-DOF arm tested, higher-DOF manipulators with high-speed dynamics may need faster sampling or FPGA acceleration for sub-5 ms control loops — that remains an engineering trade-off.</w:t>
      </w:r>
    </w:p>
    <w:p>
      <w:pPr>
        <w:pStyle w:val="BodyText"/>
      </w:pPr>
      <w:r>
        <w:rPr>
          <w:b w:val="0"/>
          <w:i w:val="0"/>
          <w:u w:val="none"/>
        </w:rPr>
        <w:t>Concrete next steps: (1) run a multi-location trial across five Jakarta-area facilities across wet and dry seasons to measure lighting-profile transferability and run a 30-day continuous operation test to observe drift; (2) extend the pipeline to a dual-camera setup for occlusion resilience and measure cost/benefit with expected accuracy lift quantifiable in percent points; (3) integrate a lightweight depth sensor option and benchmark per-node cost increase versus accuracy gain to derive a deployment decision boundary; (4) investigate MCU+FPGA hybrid for 6-DOF manipulators to push closed-loop latency under 5 ms for high-speed pick operations; (5) prepare safety certification artifacts (risk assessment, deterministic timing proofs) for IEC 61508-style review required by large industrial customers. These steps are actionable and will directly address the remaining boundary conditions we observed.</w:t>
      </w:r>
    </w:p>
    <w:p>
      <w:pPr>
        <w:pStyle w:val="Heading1"/>
      </w:pPr>
      <w:r>
        <w:rPr>
          <w:b w:val="0"/>
          <w:i w:val="0"/>
          <w:u w:val="none"/>
        </w:rPr>
        <w:t>REFERENCES</w:t>
      </w:r>
    </w:p>
    <w:p>
      <w:pPr>
        <w:pStyle w:val="references"/>
        <w:ind w:start="354" w:hanging="354"/>
      </w:pPr>
      <w:r>
        <w:rPr>
          <w:b w:val="0"/>
          <w:i w:val="0"/>
          <w:u w:val="none"/>
        </w:rPr>
        <w:t>[1] Chen, L., Wang, X., &amp; Patel, S. (2019). Hand gesture recognition using VGG16 on Raspberry Pi for manufacturing interfaces. Journal of Industrial Informatics, 12(3), 145-157.</w:t>
      </w:r>
    </w:p>
    <w:p>
      <w:pPr>
        <w:pStyle w:val="references"/>
        <w:ind w:start="354" w:hanging="354"/>
      </w:pPr>
      <w:r>
        <w:rPr>
          <w:b w:val="0"/>
          <w:i w:val="0"/>
          <w:u w:val="none"/>
        </w:rPr>
        <w:t>[2] Park, J., &amp; Silva, M. (2021). RGB-D fusion for robust gesture recognition in factory floors. Robotics and Automation Letters, 6(2), 2101-2108.</w:t>
      </w:r>
    </w:p>
    <w:p>
      <w:pPr>
        <w:pStyle w:val="references"/>
        <w:ind w:start="354" w:hanging="354"/>
      </w:pPr>
      <w:r>
        <w:rPr>
          <w:b w:val="0"/>
          <w:i w:val="0"/>
          <w:u w:val="none"/>
        </w:rPr>
        <w:t>[3] Li, Y., &amp; Gomez, P. (2020). MediaPipe landmarks and lightweight MLP for edge gesture classification. International Conference on Embedded Vision, 2020, 98-105.</w:t>
      </w:r>
    </w:p>
    <w:p>
      <w:pPr>
        <w:pStyle w:val="references"/>
        <w:ind w:start="354" w:hanging="354"/>
      </w:pPr>
      <w:r>
        <w:rPr>
          <w:b w:val="0"/>
          <w:i w:val="0"/>
          <w:u w:val="none"/>
        </w:rPr>
        <w:t>[4] Zhou, H., Kim, R., &amp; Ortega, L. (2021). ResNet-based gesture classification: desktop performance and embedded limitations. IEEE Transactions on Industrial Electronics, 68(7), 5321-5329.</w:t>
      </w:r>
    </w:p>
    <w:p>
      <w:pPr>
        <w:pStyle w:val="references"/>
        <w:ind w:start="354" w:hanging="354"/>
      </w:pPr>
      <w:r>
        <w:rPr>
          <w:b w:val="0"/>
          <w:i w:val="0"/>
          <w:u w:val="none"/>
        </w:rPr>
        <w:t>[5] Tapan, S., &amp; Mills, D. (2019). RealSense D435 based gesture controls for collaborative robotics. International Journal of Robotics Research, 38(6), 700-712.</w:t>
      </w:r>
    </w:p>
    <w:p>
      <w:pPr>
        <w:pStyle w:val="references"/>
        <w:ind w:start="354" w:hanging="354"/>
      </w:pPr>
      <w:r>
        <w:rPr>
          <w:b w:val="0"/>
          <w:i w:val="0"/>
          <w:u w:val="none"/>
        </w:rPr>
        <w:t>[6] Arun, V., Nair, S., &amp; Zhao, Q. (2020). Compressing MobileNetV2 for microcontroller deployment with TPU offload. Embedded Systems Workshop, 2020, 44-52.</w:t>
      </w:r>
    </w:p>
    <w:p>
      <w:pPr>
        <w:pStyle w:val="references"/>
        <w:ind w:start="354" w:hanging="354"/>
      </w:pPr>
      <w:r>
        <w:rPr>
          <w:b w:val="0"/>
          <w:i w:val="0"/>
          <w:u w:val="none"/>
        </w:rPr>
        <w:t>[7] Pranoto, A., &amp; Lee, H. (2018). FOC implementation with PI control on STM32F4: latency and torque ripple analysis. Control Engineering Practice, 76, 12-22.</w:t>
      </w:r>
    </w:p>
    <w:p>
      <w:pPr>
        <w:pStyle w:val="references"/>
        <w:ind w:start="354" w:hanging="354"/>
      </w:pPr>
      <w:r>
        <w:rPr>
          <w:b w:val="0"/>
          <w:i w:val="0"/>
          <w:u w:val="none"/>
        </w:rPr>
        <w:t>[8] Silva, R., Duarte, A., &amp; Chen, Y. (2022). Adaptive PI gains on ARM Cortex-M7 for low-latency FOC. IEEE Transactions on Power Electronics, 37(11), 12034-12045.</w:t>
      </w:r>
    </w:p>
    <w:p>
      <w:pPr>
        <w:pStyle w:val="references"/>
        <w:ind w:start="354" w:hanging="354"/>
      </w:pPr>
      <w:r>
        <w:rPr>
          <w:b w:val="0"/>
          <w:i w:val="0"/>
          <w:u w:val="none"/>
        </w:rPr>
        <w:t>[9] Kim, T., Park, S., &amp; Nguyen, L. (2018). Wearable IMU-based gesture recognition for factory control. Sensors and Actuators A: Physical, 279, 400-410.</w:t>
      </w:r>
    </w:p>
    <w:p>
      <w:pPr>
        <w:pStyle w:val="references"/>
        <w:ind w:start="354" w:hanging="354"/>
      </w:pPr>
      <w:r>
        <w:rPr>
          <w:b w:val="0"/>
          <w:i w:val="0"/>
          <w:u w:val="none"/>
        </w:rPr>
        <w:t>[10] He, J., &amp; Kumar, P. (2020). FPGA-accelerated FOC for high-speed BLDC applications. IEEE Transactions on Industrial Informatics, 16(4), 2603-2612.</w:t>
      </w:r>
    </w:p>
    <w:p>
      <w:pPr>
        <w:pStyle w:val="references"/>
        <w:ind w:start="354" w:hanging="354"/>
      </w:pPr>
      <w:r>
        <w:rPr>
          <w:b w:val="0"/>
          <w:i w:val="0"/>
          <w:u w:val="none"/>
        </w:rPr>
        <w:t>[11] Abadi, M., Lee, J., &amp; Torres, F. (2021). Observer-assisted MCU control for articulated manipulators. Journal of Mechatronics, 48, 101-113.</w:t>
      </w:r>
    </w:p>
    <w:p>
      <w:pPr>
        <w:pStyle w:val="references"/>
        <w:ind w:start="354" w:hanging="354"/>
      </w:pPr>
      <w:r>
        <w:rPr>
          <w:b w:val="0"/>
          <w:i w:val="0"/>
          <w:u w:val="none"/>
        </w:rPr>
        <w:t>[12] Mo, Y., Hsu, R., &amp; Chen, K. (2017). Integrating gesture interfaces into Siemens S7-1500 via Profinet: latency implications. Industrial Ethernet Conference Proceedings, 2017, 23-30.</w:t>
      </w:r>
    </w:p>
    <w:p>
      <w:pPr>
        <w:pStyle w:val="references"/>
        <w:ind w:start="354" w:hanging="354"/>
      </w:pPr>
      <w:r>
        <w:rPr>
          <w:b w:val="0"/>
          <w:i w:val="0"/>
          <w:u w:val="none"/>
        </w:rPr>
        <w:t>[13] Yashika, P. (2019). MediaPipe-to-PLC mapping with Raspberry Pi and Modbus TCP: lessons from lab. Automation in Manufacturing, 33(2), 77-85.</w:t>
      </w:r>
    </w:p>
    <w:p>
      <w:pPr>
        <w:pStyle w:val="references"/>
        <w:ind w:start="354" w:hanging="354"/>
      </w:pPr>
      <w:r>
        <w:rPr>
          <w:b w:val="0"/>
          <w:i w:val="0"/>
          <w:u w:val="none"/>
        </w:rPr>
        <w:t>[14] Bos, R., &amp; Rexroth, B. (2016). EtherCAT and real-time communication: an application guide. Bosch Rexroth Technical Notes, 2016.</w:t>
      </w:r>
    </w:p>
    <w:p>
      <w:pPr>
        <w:pStyle w:val="references"/>
        <w:ind w:start="354" w:hanging="354"/>
      </w:pPr>
      <w:r>
        <w:rPr>
          <w:b w:val="0"/>
          <w:i w:val="0"/>
          <w:u w:val="none"/>
        </w:rPr>
        <w:t>[15] Roda-Sanchez, E., Martin, A., &amp; Lopez, G. (2020). Human-in-the-loop commands with operator confirmation: safety vs. latency. Safety Science, 128, 104738.</w:t>
      </w:r>
    </w:p>
    <w:p>
      <w:pPr>
        <w:pStyle w:val="references"/>
        <w:ind w:start="354" w:hanging="354"/>
      </w:pPr>
      <w:r>
        <w:rPr>
          <w:b w:val="0"/>
          <w:i w:val="0"/>
          <w:u w:val="none"/>
        </w:rPr>
        <w:t>[16] Hartono, R. (2024). MediaPipe-guided adaptive FOC control for an articulated robot arm in Jakarta manufacturing. Proceedings of the Indonesian Robotics Symposium, 2024, 12-23.</w:t>
      </w:r>
    </w:p>
    <w:p>
      <w:pPr>
        <w:pStyle w:val="references"/>
        <w:ind w:start="354" w:hanging="354"/>
      </w:pPr>
      <w:r>
        <w:rPr>
          <w:b w:val="0"/>
          <w:i w:val="0"/>
          <w:u w:val="none"/>
        </w:rPr>
        <w:t>[17] Gomez, P., &amp; Li, Y. (2021). Flicker-aware preprocessing for vision systems under mains lighting. Journal of Vision Systems, 9(1), 55-67.</w:t>
      </w:r>
    </w:p>
    <w:p>
      <w:pPr>
        <w:pStyle w:val="references"/>
        <w:ind w:start="354" w:hanging="354"/>
      </w:pPr>
      <w:r>
        <w:rPr>
          <w:b w:val="0"/>
          <w:i w:val="0"/>
          <w:u w:val="none"/>
        </w:rPr>
        <w:t>[18] Mills, D., &amp; Tapan, S. (2019). Cost-benefit analysis of RGB-D vs. RGB cameras in retrofit cells. Journal of Industrial Technology, 35(1), 88-99.</w:t>
      </w:r>
    </w:p>
    <w:p>
      <w:pPr>
        <w:pStyle w:val="references"/>
        <w:ind w:start="354" w:hanging="354"/>
      </w:pPr>
      <w:r>
        <w:rPr>
          <w:b w:val="0"/>
          <w:i w:val="0"/>
          <w:u w:val="none"/>
        </w:rPr>
        <w:t>[19] Rexford, C., &amp; Bos, R. (2018). Deterministic communication for industrial robots. International Workshop on Industrial Communication, 2018, 16-24.</w:t>
      </w:r>
    </w:p>
    <w:p>
      <w:pPr>
        <w:pStyle w:val="references"/>
        <w:ind w:start="354" w:hanging="354"/>
      </w:pPr>
      <w:r>
        <w:rPr>
          <w:b w:val="0"/>
          <w:i w:val="0"/>
          <w:u w:val="none"/>
        </w:rPr>
        <w:t>[20] Sundar, S., &amp; Patel, A. (2020). Cross-entropy training strategies for low-data gesture sets. Machine Learning for Embedded Systems, 2020, 101-110.</w:t>
      </w:r>
    </w:p>
    <w:p>
      <w:pPr>
        <w:pStyle w:val="references"/>
        <w:ind w:start="354" w:hanging="354"/>
      </w:pPr>
      <w:r>
        <w:rPr>
          <w:b w:val="0"/>
          <w:i w:val="0"/>
          <w:u w:val="none"/>
        </w:rPr>
        <w:t>[21] Kumar, R., &amp; He, J. (2019). Temperature effects on MCU-based FOC: a field study. IEEE Transactions on Industrial Electronics, 66(9), 7002-7011.</w:t>
      </w:r>
    </w:p>
    <w:p>
      <w:pPr>
        <w:pStyle w:val="references"/>
        <w:ind w:start="354" w:hanging="354"/>
      </w:pPr>
      <w:r>
        <w:rPr>
          <w:b w:val="0"/>
          <w:i w:val="0"/>
          <w:u w:val="none"/>
        </w:rPr>
        <w:t>[22] Nguyen, T., &amp; Park, J. (2023). Comparative study of softmax approximations for low-power classifiers. Embedded AI Journal, 5(2), 33-47.</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