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b/>
          <w:sz w:val="28"/>
        </w:rPr>
        <w:t>Machine Learning Applications in Healthcare: A Comprehensive Review</w:t>
      </w:r>
    </w:p>
    <w:p>
      <w:pPr>
        <w:pStyle w:val="Author"/>
        <w:jc w:val="center"/>
      </w:pPr>
      <w:r>
        <w:rPr>
          <w:sz w:val="24"/>
        </w:rPr>
        <w:t>John Smith</w:t>
      </w:r>
    </w:p>
    <w:p>
      <w:pPr>
        <w:pStyle w:val="Author"/>
        <w:jc w:val="center"/>
      </w:pPr>
      <w:r>
        <w:rPr>
          <w:sz w:val="24"/>
        </w:rPr>
        <w:t>Jane Doe</w:t>
      </w:r>
    </w:p>
    <w:p>
      <w:pPr>
        <w:pStyle w:val="Affiliation"/>
        <w:jc w:val="center"/>
      </w:pPr>
      <w:r>
        <w:rPr>
          <w:sz w:val="24"/>
        </w:rPr>
        <w:t>Department of Computer Science, University of Technology</w:t>
      </w:r>
    </w:p>
    <w:p>
      <w:pPr>
        <w:pStyle w:val="Affiliation"/>
        <w:jc w:val="center"/>
      </w:pPr>
      <w:r>
        <w:rPr>
          <w:sz w:val="24"/>
        </w:rPr>
        <w:t>School of Medicine, Medical University</w:t>
      </w:r>
    </w:p>
    <w:p>
      <w:pPr>
        <w:spacing w:after="240"/>
      </w:pPr>
    </w:p>
    <w:p>
      <w:pPr>
        <w:pStyle w:val="AbstractHeading"/>
        <w:spacing w:before="240"/>
        <w:jc w:val="center"/>
      </w:pPr>
      <w:r>
        <w:rPr>
          <w:b/>
          <w:sz w:val="24"/>
        </w:rPr>
        <w:t>Abstract</w:t>
      </w:r>
    </w:p>
    <w:p>
      <w:pPr>
        <w:pStyle w:val="Abstract"/>
        <w:jc w:val="left"/>
      </w:pP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spacing w:before="120"/>
      </w:pPr>
      <w:r>
        <w:rPr>
          <w:i/>
        </w:rPr>
        <w:t xml:space="preserve">Keywords: </w:t>
      </w:r>
      <w:r>
        <w:rPr>
          <w:b w:val="0"/>
          <w:i w:val="0"/>
          <w:u w:val="none"/>
        </w:rPr>
        <w:t>machine learning, healthcare, deep learning, medical imaging, predictive analytics, clinical decision support</w:t>
      </w:r>
    </w:p>
    <w:p>
      <w:pPr>
        <w:spacing w:after="240"/>
      </w:pPr>
    </w:p>
    <w:p>
      <w:pPr>
        <w:pStyle w:val="Heading1"/>
      </w:pPr>
      <w:r>
        <w:t>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A. 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B. 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A. 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B. 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t>A. Medical Imaging</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TABLE I.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340"/>
        <w:gridCol w:w="2340"/>
        <w:gridCol w:w="2340"/>
        <w:gridCol w:w="2340"/>
      </w:tblGrid>
      <w:tr>
        <w:tc>
          <w:tcPr>
            <w:tcW w:type="dxa" w:w="2340"/>
          </w:tcPr>
          <w:p>
            <w:pPr>
              <w:pStyle w:val="TableColHead"/>
              <w:jc w:val="center"/>
            </w:pPr>
            <w:r>
              <w:rPr>
                <w:b/>
              </w:rPr>
            </w:r>
            <w:r>
              <w:rPr>
                <w:b/>
                <w:i w:val="0"/>
                <w:u w:val="none"/>
              </w:rPr>
              <w:t>Task</w:t>
            </w:r>
          </w:p>
        </w:tc>
        <w:tc>
          <w:tcPr>
            <w:tcW w:type="dxa" w:w="2340"/>
          </w:tcPr>
          <w:p>
            <w:pPr>
              <w:pStyle w:val="TableColHead"/>
              <w:jc w:val="center"/>
            </w:pPr>
            <w:r>
              <w:rPr>
                <w:b/>
              </w:rPr>
            </w:r>
            <w:r>
              <w:rPr>
                <w:b/>
                <w:i w:val="0"/>
                <w:u w:val="none"/>
              </w:rPr>
              <w:t>Model</w:t>
            </w:r>
          </w:p>
        </w:tc>
        <w:tc>
          <w:tcPr>
            <w:tcW w:type="dxa" w:w="2340"/>
          </w:tcPr>
          <w:p>
            <w:pPr>
              <w:pStyle w:val="TableColHead"/>
              <w:jc w:val="center"/>
            </w:pPr>
            <w:r>
              <w:rPr>
                <w:b/>
              </w:rPr>
            </w:r>
            <w:r>
              <w:rPr>
                <w:b/>
                <w:i w:val="0"/>
                <w:u w:val="none"/>
              </w:rPr>
              <w:t>Accuracy</w:t>
            </w:r>
          </w:p>
        </w:tc>
        <w:tc>
          <w:tcPr>
            <w:tcW w:type="dxa" w:w="2340"/>
          </w:tcPr>
          <w:p>
            <w:pPr>
              <w:pStyle w:val="TableColHead"/>
              <w:jc w:val="center"/>
            </w:pPr>
            <w:r>
              <w:rPr>
                <w:b/>
              </w:rPr>
            </w:r>
            <w:r>
              <w:rPr>
                <w:b/>
                <w:i w:val="0"/>
                <w:u w:val="none"/>
              </w:rPr>
              <w:t>Dataset Size</w:t>
            </w:r>
          </w:p>
        </w:tc>
      </w:tr>
      <w:tr>
        <w:tc>
          <w:tcPr>
            <w:tcW w:type="dxa" w:w="2340"/>
          </w:tcPr>
          <w:p>
            <w:pPr>
              <w:pStyle w:val="TableText"/>
              <w:jc w:val="center"/>
            </w:pPr>
            <w:r/>
            <w:r>
              <w:rPr>
                <w:b w:val="0"/>
                <w:i w:val="0"/>
                <w:u w:val="none"/>
              </w:rPr>
              <w:t>Diabetic Retinopathy</w:t>
            </w:r>
          </w:p>
        </w:tc>
        <w:tc>
          <w:tcPr>
            <w:tcW w:type="dxa" w:w="2340"/>
          </w:tcPr>
          <w:p>
            <w:pPr>
              <w:pStyle w:val="TableText"/>
              <w:jc w:val="center"/>
            </w:pPr>
            <w:r/>
            <w:r>
              <w:rPr>
                <w:b w:val="0"/>
                <w:i w:val="0"/>
                <w:u w:val="none"/>
              </w:rPr>
              <w:t>ResNet-50</w:t>
            </w:r>
          </w:p>
        </w:tc>
        <w:tc>
          <w:tcPr>
            <w:tcW w:type="dxa" w:w="2340"/>
          </w:tcPr>
          <w:p>
            <w:pPr>
              <w:pStyle w:val="TableText"/>
              <w:jc w:val="center"/>
            </w:pPr>
            <w:r/>
            <w:r>
              <w:rPr>
                <w:b w:val="0"/>
                <w:i w:val="0"/>
                <w:u w:val="none"/>
              </w:rPr>
              <w:t>95.2%</w:t>
            </w:r>
          </w:p>
        </w:tc>
        <w:tc>
          <w:tcPr>
            <w:tcW w:type="dxa" w:w="2340"/>
          </w:tcPr>
          <w:p>
            <w:pPr>
              <w:pStyle w:val="TableText"/>
              <w:jc w:val="center"/>
            </w:pPr>
            <w:r/>
            <w:r>
              <w:rPr>
                <w:b w:val="0"/>
                <w:i w:val="0"/>
                <w:u w:val="none"/>
              </w:rPr>
              <w:t>128,000</w:t>
            </w:r>
          </w:p>
        </w:tc>
      </w:tr>
      <w:tr>
        <w:tc>
          <w:tcPr>
            <w:tcW w:type="dxa" w:w="2340"/>
          </w:tcPr>
          <w:p>
            <w:pPr>
              <w:pStyle w:val="TableText"/>
              <w:jc w:val="center"/>
            </w:pPr>
            <w:r/>
            <w:r>
              <w:rPr>
                <w:b w:val="0"/>
                <w:i w:val="0"/>
                <w:u w:val="none"/>
              </w:rPr>
              <w:t>Lung Nodule Detection</w:t>
            </w:r>
          </w:p>
        </w:tc>
        <w:tc>
          <w:tcPr>
            <w:tcW w:type="dxa" w:w="2340"/>
          </w:tcPr>
          <w:p>
            <w:pPr>
              <w:pStyle w:val="TableText"/>
              <w:jc w:val="center"/>
            </w:pPr>
            <w:r/>
            <w:r>
              <w:rPr>
                <w:b w:val="0"/>
                <w:i w:val="0"/>
                <w:u w:val="none"/>
              </w:rPr>
              <w:t>3D CNN</w:t>
            </w:r>
          </w:p>
        </w:tc>
        <w:tc>
          <w:tcPr>
            <w:tcW w:type="dxa" w:w="2340"/>
          </w:tcPr>
          <w:p>
            <w:pPr>
              <w:pStyle w:val="TableText"/>
              <w:jc w:val="center"/>
            </w:pPr>
            <w:r/>
            <w:r>
              <w:rPr>
                <w:b w:val="0"/>
                <w:i w:val="0"/>
                <w:u w:val="none"/>
              </w:rPr>
              <w:t>92.8%</w:t>
            </w:r>
          </w:p>
        </w:tc>
        <w:tc>
          <w:tcPr>
            <w:tcW w:type="dxa" w:w="2340"/>
          </w:tcPr>
          <w:p>
            <w:pPr>
              <w:pStyle w:val="TableText"/>
              <w:jc w:val="center"/>
            </w:pPr>
            <w:r/>
            <w:r>
              <w:rPr>
                <w:b w:val="0"/>
                <w:i w:val="0"/>
                <w:u w:val="none"/>
              </w:rPr>
              <w:t>45,000</w:t>
            </w:r>
          </w:p>
        </w:tc>
      </w:tr>
      <w:tr>
        <w:tc>
          <w:tcPr>
            <w:tcW w:type="dxa" w:w="2340"/>
          </w:tcPr>
          <w:p>
            <w:pPr>
              <w:pStyle w:val="TableText"/>
              <w:jc w:val="center"/>
            </w:pPr>
            <w:r/>
            <w:r>
              <w:rPr>
                <w:b w:val="0"/>
                <w:i w:val="0"/>
                <w:u w:val="none"/>
              </w:rPr>
              <w:t>Breast Cancer</w:t>
            </w:r>
          </w:p>
        </w:tc>
        <w:tc>
          <w:tcPr>
            <w:tcW w:type="dxa" w:w="2340"/>
          </w:tcPr>
          <w:p>
            <w:pPr>
              <w:pStyle w:val="TableText"/>
              <w:jc w:val="center"/>
            </w:pPr>
            <w:r/>
            <w:r>
              <w:rPr>
                <w:b w:val="0"/>
                <w:i w:val="0"/>
                <w:u w:val="none"/>
              </w:rPr>
              <w:t>DenseNet</w:t>
            </w:r>
          </w:p>
        </w:tc>
        <w:tc>
          <w:tcPr>
            <w:tcW w:type="dxa" w:w="2340"/>
          </w:tcPr>
          <w:p>
            <w:pPr>
              <w:pStyle w:val="TableText"/>
              <w:jc w:val="center"/>
            </w:pPr>
            <w:r/>
            <w:r>
              <w:rPr>
                <w:b w:val="0"/>
                <w:i w:val="0"/>
                <w:u w:val="none"/>
              </w:rPr>
              <w:t>94.5%</w:t>
            </w:r>
          </w:p>
        </w:tc>
        <w:tc>
          <w:tcPr>
            <w:tcW w:type="dxa" w:w="2340"/>
          </w:tcPr>
          <w:p>
            <w:pPr>
              <w:pStyle w:val="TableText"/>
              <w:jc w:val="center"/>
            </w:pPr>
            <w:r/>
            <w:r>
              <w:rPr>
                <w:b w:val="0"/>
                <w:i w:val="0"/>
                <w:u w:val="none"/>
              </w:rPr>
              <w:t>60,000</w:t>
            </w:r>
          </w:p>
        </w:tc>
      </w:tr>
      <w:tr>
        <w:tc>
          <w:tcPr>
            <w:tcW w:type="dxa" w:w="2340"/>
          </w:tcPr>
          <w:p>
            <w:pPr>
              <w:pStyle w:val="TableText"/>
              <w:jc w:val="center"/>
            </w:pPr>
            <w:r/>
            <w:r>
              <w:rPr>
                <w:b w:val="0"/>
                <w:i w:val="0"/>
                <w:u w:val="none"/>
              </w:rPr>
              <w:t>Brain Tumor Segmentation</w:t>
            </w:r>
          </w:p>
        </w:tc>
        <w:tc>
          <w:tcPr>
            <w:tcW w:type="dxa" w:w="2340"/>
          </w:tcPr>
          <w:p>
            <w:pPr>
              <w:pStyle w:val="TableText"/>
              <w:jc w:val="center"/>
            </w:pPr>
            <w:r/>
            <w:r>
              <w:rPr>
                <w:b w:val="0"/>
                <w:i w:val="0"/>
                <w:u w:val="none"/>
              </w:rPr>
              <w:t>U-Net</w:t>
            </w:r>
          </w:p>
        </w:tc>
        <w:tc>
          <w:tcPr>
            <w:tcW w:type="dxa" w:w="2340"/>
          </w:tcPr>
          <w:p>
            <w:pPr>
              <w:pStyle w:val="TableText"/>
              <w:jc w:val="center"/>
            </w:pPr>
            <w:r/>
            <w:r>
              <w:rPr>
                <w:b w:val="0"/>
                <w:i w:val="0"/>
                <w:u w:val="none"/>
              </w:rPr>
              <w:t>91.3%</w:t>
            </w:r>
          </w:p>
        </w:tc>
        <w:tc>
          <w:tcPr>
            <w:tcW w:type="dxa" w:w="2340"/>
          </w:tcPr>
          <w:p>
            <w:pPr>
              <w:pStyle w:val="TableText"/>
              <w:jc w:val="center"/>
            </w:pPr>
            <w:r/>
            <w:r>
              <w:rPr>
                <w:b w:val="0"/>
                <w:i w:val="0"/>
                <w:u w:val="none"/>
              </w:rPr>
              <w:t>35,000</w:t>
            </w:r>
          </w:p>
        </w:tc>
      </w:tr>
    </w:tbl>
    <w:p>
      <w:pPr>
        <w:spacing w:after="80"/>
      </w:pPr>
    </w:p>
    <w:p>
      <w:pPr>
        <w:pStyle w:val="Heading2"/>
      </w:pPr>
      <w:r>
        <w:t>B. 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t>C. 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t>CHALLENGES AND LIMITATIONS</w:t>
      </w:r>
    </w:p>
    <w:p>
      <w:pPr>
        <w:pStyle w:val="BodyText"/>
      </w:pPr>
      <w:r>
        <w:rPr>
          <w:b w:val="0"/>
          <w:i w:val="0"/>
          <w:u w:val="none"/>
        </w:rPr>
        <w:t>Despite significant progress, several challenges hinder widespread adoption of ML in healthcare.</w:t>
      </w:r>
    </w:p>
    <w:p>
      <w:pPr>
        <w:pStyle w:val="Heading2"/>
      </w:pPr>
      <w:r>
        <w:t>A. 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B. 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 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t>FUTURE DIRECTIONS</w:t>
      </w:r>
    </w:p>
    <w:p>
      <w:pPr>
        <w:pStyle w:val="BodyText"/>
      </w:pPr>
      <w:r>
        <w:rPr>
          <w:b w:val="0"/>
          <w:i w:val="0"/>
          <w:u w:val="none"/>
        </w:rPr>
        <w:t>The future of ML in healthcare is promising, with several emerging trends and research directions.</w:t>
      </w:r>
    </w:p>
    <w:p>
      <w:pPr>
        <w:pStyle w:val="Heading2"/>
      </w:pPr>
      <w:r>
        <w:t>A. 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t>B. 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t>C. 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t>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after="240"/>
      </w:pPr>
    </w:p>
    <w:p>
      <w:pPr>
        <w:pStyle w:val="Heading1"/>
        <w:spacing w:before="360"/>
        <w:jc w:val="center"/>
      </w:pPr>
      <w:r>
        <w:rPr>
          <w:b/>
        </w:rPr>
        <w:t>References</w:t>
      </w:r>
    </w:p>
    <w:p>
      <w:pPr>
        <w:pStyle w:val="Reference"/>
        <w:ind w:hanging="720" w:left="720"/>
      </w:pPr>
      <w:r>
        <w:rPr>
          <w:b w:val="0"/>
          <w:i w:val="0"/>
          <w:u w:val="none"/>
        </w:rPr>
        <w:t>Esteva, A., Kuprel, B., Novoa, R. A., Ko, J., Swetter, S. M., Blau, H. M., &amp; Thrun, S. (2017). Dermatologist-level classification of skin cancer with deep neural networks. Nature, 542(7639), 115-118.</w:t>
      </w:r>
    </w:p>
    <w:p>
      <w:pPr>
        <w:pStyle w:val="Reference"/>
        <w:ind w:hanging="720" w:left="720"/>
      </w:pPr>
      <w:r>
        <w:rPr>
          <w:b w:val="0"/>
          <w:i w:val="0"/>
          <w:u w:val="none"/>
        </w:rPr>
        <w:t>Rajkomar, A., Dean, J., &amp; Kohane, I. (2019). Machine learning in medicine. New England Journal of Medicine, 380(14), 1347-1358.</w:t>
      </w:r>
    </w:p>
    <w:p>
      <w:pPr>
        <w:pStyle w:val="Reference"/>
        <w:ind w:hanging="720" w:left="720"/>
      </w:pPr>
      <w:r>
        <w:rPr>
          <w:b w:val="0"/>
          <w:i w:val="0"/>
          <w:u w:val="none"/>
        </w:rPr>
        <w:t>Topol, E. J. (2019). High-performance medicine: the convergence of human and artificial intelligence. Nature Medicine, 25(1), 44-56.</w:t>
      </w:r>
    </w:p>
    <w:p>
      <w:pPr>
        <w:pStyle w:val="Reference"/>
        <w:ind w:hanging="720" w:left="720"/>
      </w:pPr>
      <w:r>
        <w:rPr>
          <w:b w:val="0"/>
          <w:i w:val="0"/>
          <w:u w:val="none"/>
        </w:rPr>
        <w:t>Beam, A. L., &amp; Kohane, I. S. (2018). Big data and machine learning in health care. JAMA, 319(13), 1317-1318.</w:t>
      </w:r>
    </w:p>
    <w:p>
      <w:pPr>
        <w:pStyle w:val="Reference"/>
        <w:ind w:hanging="720" w:left="720"/>
      </w:pPr>
      <w:r>
        <w:rPr>
          <w:b w:val="0"/>
          <w:i w:val="0"/>
          <w:u w:val="none"/>
        </w:rPr>
        <w:t>Ching, T., Himmelstein, D. S., Beaulieu-Jones, B. K., Kalinin, A. A., Do, B. T., Way, G. P., ... &amp; Greene, C. S. (2018). Opportunities and obstacles for deep learning in biology and medicine. Journal of The Royal Society Interface, 15(141), 20170387.</w:t>
      </w:r>
    </w:p>
    <w:sectPr w:rsidR="00FC693F" w:rsidRPr="0006063C" w:rsidSect="00034616">
      <w:docGrid w:linePitch="360"/>
      <w:pgSz w:w="12240" w:h="15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