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t xml:space="preserve"/>
      </w:r>
    </w:p>
    <w:p>
      <w:pPr>
        <w:spacing w:after="60"/>
      </w:pPr>
      <w:r>
        <w:t xml:space="preserve"/>
      </w:r>
    </w:p>
    <w:p>
      <w:pPr>
        <w:spacing w:after="60"/>
      </w:pPr>
      <w:r>
        <w:t xml:space="preserve"/>
      </w:r>
    </w:p>
    <w:p>
      <w:pPr>
        <w:spacing w:after="240"/>
        <w:jc w:val="center"/>
      </w:pPr>
      <w:r>
        <w:rPr>
          <w:rFonts w:ascii="Segoe UI Emoji" w:cs="Segoe UI Emoji" w:eastAsia="Segoe UI Emoji" w:hAnsi="Segoe UI Emoji"/>
          <w:sz w:val="144"/>
          <w:szCs w:val="144"/>
        </w:rPr>
        <w:t xml:space="preserve">🍄</w:t>
      </w:r>
    </w:p>
    <w:p>
      <w:pPr>
        <w:spacing w:after="200"/>
        <w:jc w:val="center"/>
      </w:pPr>
      <w:r>
        <w:rPr>
          <w:rFonts w:ascii="Arial" w:cs="Arial" w:eastAsia="Arial" w:hAnsi="Arial"/>
          <w:b/>
          <w:bCs/>
          <w:color w:val="1B4332"/>
          <w:sz w:val="64"/>
          <w:szCs w:val="64"/>
        </w:rPr>
        <w:t xml:space="preserve">Psilocybin (Magic Mushrooms)</w:t>
      </w:r>
    </w:p>
    <w:p>
      <w:pPr>
        <w:spacing w:after="120"/>
        <w:jc w:val="center"/>
      </w:pPr>
      <w:r>
        <w:rPr>
          <w:rFonts w:ascii="Arial" w:cs="Arial" w:eastAsia="Arial" w:hAnsi="Arial"/>
          <w:i/>
          <w:iCs/>
          <w:color w:val="2D6A4F"/>
          <w:sz w:val="32"/>
          <w:szCs w:val="32"/>
        </w:rPr>
        <w:t xml:space="preserve">A Scientific Research Reference on Dosing, Protocols, Safety &amp; Classification</w:t>
      </w:r>
    </w:p>
    <w:p>
      <w:pPr>
        <w:spacing w:after="60"/>
      </w:pPr>
      <w:r>
        <w:t xml:space="preserve"/>
      </w:r>
    </w:p>
    <w:tbl>
      <w:tblPr>
        <w:tblW w:type="dxa" w:w="6000"/>
        <w:tblBorders>
          <w:top w:val="single" w:color="auto" w:sz="4"/>
          <w:left w:val="single" w:color="auto" w:sz="4"/>
          <w:bottom w:val="single" w:color="auto" w:sz="4"/>
          <w:right w:val="single" w:color="auto" w:sz="4"/>
          <w:insideH w:val="single" w:color="auto" w:sz="4"/>
          <w:insideV w:val="single" w:color="auto" w:sz="4"/>
        </w:tblBorders>
      </w:tblPr>
      <w:tblGrid>
        <w:gridCol w:w="6000"/>
      </w:tblGrid>
      <w:tr>
        <w:tc>
          <w:tcPr>
            <w:tcW w:type="dxa" w:w="6000"/>
            <w:tcBorders>
              <w:top w:val="single" w:color="52B788" w:sz="1"/>
              <w:left w:val="single" w:color="52B788" w:sz="1"/>
              <w:bottom w:val="single" w:color="52B788" w:sz="1"/>
              <w:right w:val="single" w:color="52B788" w:sz="1"/>
            </w:tcBorders>
            <w:shd w:fill="D8F3DC" w:val="clear"/>
            <w:tcMar>
              <w:top w:type="dxa" w:w="160"/>
              <w:left w:type="dxa" w:w="240"/>
              <w:bottom w:type="dxa" w:w="160"/>
              <w:right w:type="dxa" w:w="240"/>
            </w:tcMar>
          </w:tcPr>
          <w:p>
            <w:pPr>
              <w:jc w:val="center"/>
            </w:pPr>
            <w:r>
              <w:rPr>
                <w:rFonts w:ascii="Arial" w:cs="Arial" w:eastAsia="Arial" w:hAnsi="Arial"/>
                <w:b/>
                <w:bCs/>
                <w:color w:val="1B4332"/>
                <w:sz w:val="20"/>
                <w:szCs w:val="20"/>
              </w:rPr>
              <w:t xml:space="preserve">Research Purposes Only  •  Not Medical Advice</w:t>
            </w:r>
          </w:p>
          <w:p>
            <w:pPr>
              <w:jc w:val="center"/>
            </w:pPr>
            <w:r>
              <w:rPr>
                <w:rFonts w:ascii="Arial" w:cs="Arial" w:eastAsia="Arial" w:hAnsi="Arial"/>
                <w:color w:val="666666"/>
                <w:sz w:val="18"/>
                <w:szCs w:val="18"/>
              </w:rPr>
              <w:t xml:space="preserve">Confidence Level: 85–92%  •  Based on Peer-Reviewed Literature</w:t>
            </w:r>
          </w:p>
        </w:tc>
      </w:tr>
    </w:tbl>
    <w:p>
      <w:pPr>
        <w:spacing w:after="60"/>
      </w:pPr>
      <w:r>
        <w:t xml:space="preserve"/>
      </w:r>
    </w:p>
    <w:p>
      <w:pPr>
        <w:spacing w:after="60"/>
      </w:pPr>
      <w:r>
        <w:t xml:space="preserve"/>
      </w:r>
    </w:p>
    <w:p>
      <w:pPr>
        <w:jc w:val="center"/>
      </w:pPr>
      <w:r>
        <w:rPr>
          <w:rFonts w:ascii="Arial" w:cs="Arial" w:eastAsia="Arial" w:hAnsi="Arial"/>
          <w:color w:val="666666"/>
          <w:sz w:val="18"/>
          <w:szCs w:val="18"/>
        </w:rPr>
        <w:t xml:space="preserve">Compiled from: Johns Hopkins University, Imperial College London, Nature Scientific Reports,</w:t>
      </w:r>
    </w:p>
    <w:p>
      <w:pPr>
        <w:jc w:val="center"/>
      </w:pPr>
      <w:r>
        <w:rPr>
          <w:rFonts w:ascii="Arial" w:cs="Arial" w:eastAsia="Arial" w:hAnsi="Arial"/>
          <w:color w:val="666666"/>
          <w:sz w:val="18"/>
          <w:szCs w:val="18"/>
        </w:rPr>
        <w:t xml:space="preserve">Frontiers in Psychiatry, PubMed/NCBI, Wikipedia Psilocybin, Global Drug Survey 2017</w:t>
      </w:r>
    </w:p>
    <w:p>
      <w:pPr>
        <w:spacing w:after="60"/>
      </w:pPr>
      <w:r>
        <w:t xml:space="preserve"/>
      </w:r>
    </w:p>
    <w:p>
      <w:pPr>
        <w:jc w:val="center"/>
      </w:pPr>
      <w:r>
        <w:rPr>
          <w:rFonts w:ascii="Arial" w:cs="Arial" w:eastAsia="Arial" w:hAnsi="Arial"/>
          <w:i/>
          <w:iCs/>
          <w:color w:val="666666"/>
          <w:sz w:val="20"/>
          <w:szCs w:val="20"/>
        </w:rPr>
        <w:t xml:space="preserve">April 2026</w:t>
      </w:r>
    </w:p>
    <w:p>
      <w:pPr>
        <w:spacing w:after="60"/>
      </w:pPr>
      <w:r>
        <w:t xml:space="preserve"/>
      </w:r>
    </w:p>
    <w:p>
      <w:pPr>
        <w:spacing w:after="60"/>
      </w:pPr>
      <w:r>
        <w:t xml:space="preserve"/>
      </w:r>
    </w:p>
    <w:p>
      <w:pPr>
        <w:spacing w:after="60"/>
      </w:pPr>
      <w:r>
        <w:t xml:space="preserve"/>
      </w:r>
    </w:p>
    <w:p>
      <w:pPr>
        <w:pBdr>
          <w:top w:val="single" w:color="CCCCCC" w:sz="4" w:space="4"/>
        </w:pBdr>
        <w:spacing w:after="80" w:before="120"/>
      </w:pPr>
      <w:r>
        <w:t xml:space="preserve"/>
      </w:r>
    </w:p>
    <w:p>
      <w:pPr>
        <w:spacing w:after="60"/>
      </w:pPr>
      <w:r>
        <w:rPr>
          <w:rFonts w:ascii="Arial" w:cs="Arial" w:eastAsia="Arial" w:hAnsi="Arial"/>
          <w:b/>
          <w:bCs/>
          <w:color w:val="666666"/>
          <w:sz w:val="16"/>
          <w:szCs w:val="16"/>
        </w:rPr>
        <w:t xml:space="preserve">1 </w:t>
      </w:r>
      <w:r>
        <w:rPr>
          <w:rFonts w:ascii="Arial" w:cs="Arial" w:eastAsia="Arial" w:hAnsi="Arial"/>
          <w:i/>
          <w:iCs/>
          <w:color w:val="666666"/>
          <w:sz w:val="16"/>
          <w:szCs w:val="16"/>
        </w:rPr>
        <w:t xml:space="preserve">Research compiled by </w:t>
      </w:r>
      <w:r>
        <w:rPr>
          <w:rFonts w:ascii="Arial" w:cs="Arial" w:eastAsia="Arial" w:hAnsi="Arial"/>
          <w:b/>
          <w:bCs/>
          <w:i/>
          <w:iCs/>
          <w:color w:val="1B4332"/>
          <w:sz w:val="16"/>
          <w:szCs w:val="16"/>
        </w:rPr>
        <w:t xml:space="preserve">Odimar Tomazeli</w:t>
      </w:r>
      <w:r>
        <w:rPr>
          <w:rFonts w:ascii="Arial" w:cs="Arial" w:eastAsia="Arial" w:hAnsi="Arial"/>
          <w:i/>
          <w:iCs/>
          <w:color w:val="666666"/>
          <w:sz w:val="16"/>
          <w:szCs w:val="16"/>
        </w:rPr>
        <w:t xml:space="preserve"> with AI assistance (Claude, Anthropic) to gather, synthesize and structure information from peer-reviewed scientific literature, clinical trial data, and published academic sources. All primary sources are cited within the document.</w:t>
      </w:r>
    </w:p>
    <w:p>
      <w:pPr>
        <w:spacing w:after="0"/>
      </w:pPr>
      <w:r>
        <w:br w:type="page"/>
      </w:r>
    </w:p>
    <w:p>
      <w:pPr>
        <w:pStyle w:val="Heading1"/>
        <w:pBdr>
          <w:bottom w:val="single" w:color="2D6A4F" w:sz="8" w:space="4"/>
        </w:pBdr>
        <w:spacing w:after="180" w:before="360"/>
      </w:pPr>
      <w:r>
        <w:rPr>
          <w:rFonts w:ascii="Arial" w:cs="Arial" w:eastAsia="Arial" w:hAnsi="Arial"/>
          <w:b/>
          <w:bCs/>
          <w:color w:val="1B4332"/>
          <w:sz w:val="36"/>
          <w:szCs w:val="36"/>
        </w:rPr>
        <w:t xml:space="preserve">Table of Contents</w:t>
      </w:r>
    </w:p>
    <w:sdt>
      <w:sdtPr>
        <w:alias w:val="Table of Contents"/>
      </w:sdtPr>
      <w:sdtContent>
        <w:p>
          <w:r>
            <w:fldChar w:fldCharType="begin" w:dirty="true"/>
            <w:instrText xml:space="preserve">TOC \h \o "1-3" \t "Heading 1,1,Heading 2,2"</w:instrText>
            <w:fldChar w:fldCharType="separate"/>
          </w:r>
        </w:p>
        <w:p>
          <w:r>
            <w:fldChar w:fldCharType="end"/>
          </w:r>
        </w:p>
      </w:sdtContent>
    </w:sdt>
    <w:p>
      <w:pPr>
        <w:spacing w:after="0"/>
      </w:pPr>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FC107" w:sz="4"/>
              <w:left w:val="thick" w:color="DC3545" w:sz="12"/>
              <w:bottom w:val="single" w:color="FFC107" w:sz="4"/>
              <w:right w:val="single" w:color="FFC107" w:sz="4"/>
            </w:tcBorders>
            <w:shd w:fill="FFF3CD" w:val="clear"/>
            <w:tcMar>
              <w:top w:type="dxa" w:w="120"/>
              <w:left w:type="dxa" w:w="200"/>
              <w:bottom w:type="dxa" w:w="120"/>
              <w:right w:type="dxa" w:w="120"/>
            </w:tcMar>
          </w:tcPr>
          <w:p>
            <w:r>
              <w:rPr>
                <w:rFonts w:ascii="Arial" w:cs="Arial" w:eastAsia="Arial" w:hAnsi="Arial"/>
                <w:b/>
                <w:bCs/>
                <w:color w:val="DC3545"/>
                <w:sz w:val="20"/>
                <w:szCs w:val="20"/>
              </w:rPr>
              <w:t xml:space="preserve">⚠  DISCLAIMER: </w:t>
            </w:r>
            <w:r>
              <w:rPr>
                <w:rFonts w:ascii="Arial" w:cs="Arial" w:eastAsia="Arial" w:hAnsi="Arial"/>
                <w:color w:val="000000"/>
                <w:sz w:val="20"/>
                <w:szCs w:val="20"/>
              </w:rPr>
              <w:t xml:space="preserve">For research and educational purposes only. Psilocybin is a Schedule I controlled substance in most jurisdictions. Unauthorized possession or use is illegal. This document does not constitute medical advice. Confidence Level: 85–92% based on peer-reviewed studies.</w:t>
            </w:r>
          </w:p>
        </w:tc>
      </w:tr>
    </w:tbl>
    <w:p>
      <w:pPr>
        <w:spacing w:after="60"/>
      </w:pPr>
      <w:r>
        <w:t xml:space="preserve"/>
      </w:r>
    </w:p>
    <w:p>
      <w:pPr>
        <w:pStyle w:val="Heading1"/>
        <w:pBdr>
          <w:bottom w:val="single" w:color="2D6A4F" w:sz="8" w:space="4"/>
        </w:pBdr>
        <w:spacing w:after="180" w:before="360"/>
      </w:pPr>
      <w:r>
        <w:rPr>
          <w:rFonts w:ascii="Arial" w:cs="Arial" w:eastAsia="Arial" w:hAnsi="Arial"/>
          <w:b/>
          <w:bCs/>
          <w:color w:val="1B4332"/>
          <w:sz w:val="36"/>
          <w:szCs w:val="36"/>
        </w:rPr>
        <w:t xml:space="preserve">1. What Is Magic Mushroom Dosing?</w:t>
      </w:r>
    </w:p>
    <w:p>
      <w:pPr>
        <w:spacing w:after="160"/>
      </w:pPr>
      <w:r>
        <w:rPr>
          <w:rFonts w:ascii="Arial" w:cs="Arial" w:eastAsia="Arial" w:hAnsi="Arial"/>
          <w:color w:val="000000"/>
          <w:sz w:val="20"/>
          <w:szCs w:val="20"/>
        </w:rPr>
        <w:t xml:space="preserve">Dosing refers to the measured quantity of psilocybin-containing mushrooms or pure psilocybin consumed to achieve a specific neurological and psychological effect. It is not a single number — it is a spectrum that produces dramatically different experiences based on quantity.</w:t>
      </w:r>
    </w:p>
    <w:p>
      <w:pPr>
        <w:spacing w:after="160"/>
      </w:pPr>
      <w:r>
        <w:rPr>
          <w:rFonts w:ascii="Arial" w:cs="Arial" w:eastAsia="Arial" w:hAnsi="Arial"/>
          <w:color w:val="000000"/>
          <w:sz w:val="20"/>
          <w:szCs w:val="20"/>
        </w:rPr>
        <w:t xml:space="preserve">Psilocybin is used as a psychedelic at doses of 5 to 40 mg orally. Low doses are 5 to 10 mg, an intermediate 'good effect' dose is 20 mg, and high or ego-dissolution doses are 30 to 40 mg. Psilocybin's effects can be subjectively perceived at a dose as low as 3 mg per 70 kg body weight.</w:t>
      </w:r>
    </w:p>
    <w:p>
      <w:pPr>
        <w:spacing w:after="160"/>
      </w:pPr>
      <w:r>
        <w:rPr>
          <w:rFonts w:ascii="Arial" w:cs="Arial" w:eastAsia="Arial" w:hAnsi="Arial"/>
          <w:color w:val="000000"/>
          <w:sz w:val="20"/>
          <w:szCs w:val="20"/>
        </w:rPr>
        <w:t xml:space="preserve">Based on several studies, the average psilocybin content is approximately 1% psilocybin per one gram of dried Psilocybe cubensis mushroom; therefore, a 25 mg psilocybin fixed dose is approximately 2.5 grams of dried Psilocybe cubensis mushroom.</w:t>
      </w:r>
    </w:p>
    <w:p>
      <w:pPr>
        <w:pStyle w:val="Heading2"/>
        <w:spacing w:after="120" w:before="240"/>
      </w:pPr>
      <w:r>
        <w:rPr>
          <w:rFonts w:ascii="Arial" w:cs="Arial" w:eastAsia="Arial" w:hAnsi="Arial"/>
          <w:b/>
          <w:bCs/>
          <w:color w:val="2D6A4F"/>
          <w:sz w:val="28"/>
          <w:szCs w:val="28"/>
        </w:rPr>
        <w:t xml:space="preserve">The Complete Dose Spectrum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80"/>
        <w:gridCol w:w="1800"/>
        <w:gridCol w:w="2100"/>
        <w:gridCol w:w="3780"/>
      </w:tblGrid>
      <w:tr>
        <w:trPr>
          <w:tblHeader/>
        </w:trPr>
        <w:tc>
          <w:tcPr>
            <w:tcW w:type="dxa" w:w="1680"/>
            <w:tcBorders>
              <w:top w:val="single" w:color="2D6A4F" w:sz="1"/>
              <w:left w:val="single" w:color="2D6A4F" w:sz="1"/>
              <w:bottom w:val="single" w:color="2D6A4F" w:sz="1"/>
              <w:right w:val="single" w:color="2D6A4F" w:sz="1"/>
            </w:tcBorders>
            <w:shd w:fill="1B4332"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Dose Level</w:t>
            </w:r>
          </w:p>
        </w:tc>
        <w:tc>
          <w:tcPr>
            <w:tcW w:type="dxa" w:w="1800"/>
            <w:tcBorders>
              <w:top w:val="single" w:color="2D6A4F" w:sz="1"/>
              <w:left w:val="single" w:color="2D6A4F" w:sz="1"/>
              <w:bottom w:val="single" w:color="2D6A4F" w:sz="1"/>
              <w:right w:val="single" w:color="2D6A4F" w:sz="1"/>
            </w:tcBorders>
            <w:shd w:fill="1B4332"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Dried Mushroom (P. cubensis)</w:t>
            </w:r>
          </w:p>
        </w:tc>
        <w:tc>
          <w:tcPr>
            <w:tcW w:type="dxa" w:w="2100"/>
            <w:tcBorders>
              <w:top w:val="single" w:color="2D6A4F" w:sz="1"/>
              <w:left w:val="single" w:color="2D6A4F" w:sz="1"/>
              <w:bottom w:val="single" w:color="2D6A4F" w:sz="1"/>
              <w:right w:val="single" w:color="2D6A4F" w:sz="1"/>
            </w:tcBorders>
            <w:shd w:fill="1B4332"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Pure Psilocybin Equivalent</w:t>
            </w:r>
          </w:p>
        </w:tc>
        <w:tc>
          <w:tcPr>
            <w:tcW w:type="dxa" w:w="3780"/>
            <w:tcBorders>
              <w:top w:val="single" w:color="2D6A4F" w:sz="1"/>
              <w:left w:val="single" w:color="2D6A4F" w:sz="1"/>
              <w:bottom w:val="single" w:color="2D6A4F" w:sz="1"/>
              <w:right w:val="single" w:color="2D6A4F" w:sz="1"/>
            </w:tcBorders>
            <w:shd w:fill="1B4332"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Primary Effects</w:t>
            </w:r>
          </w:p>
        </w:tc>
      </w:tr>
      <w:tr>
        <w:tc>
          <w:tcPr>
            <w:tcW w:type="dxa" w:w="1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2D6A4F"/>
                <w:sz w:val="18"/>
                <w:szCs w:val="18"/>
              </w:rPr>
              <w:t xml:space="preserve">Microdose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0.1 – 0.3 g</w:t>
            </w:r>
          </w:p>
        </w:tc>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1 – 3 mg</w:t>
            </w:r>
          </w:p>
        </w:tc>
        <w:tc>
          <w:tcPr>
            <w:tcW w:type="dxa" w:w="37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Sub-perceptual, mood lift, focus</w:t>
            </w:r>
          </w:p>
        </w:tc>
      </w:tr>
      <w:tr>
        <w:tc>
          <w:tcPr>
            <w:tcW w:type="dxa" w:w="1680"/>
            <w:tcBorders>
              <w:top w:val="single" w:color="CCCCCC" w:sz="1"/>
              <w:left w:val="single" w:color="CCCCCC" w:sz="1"/>
              <w:bottom w:val="single" w:color="CCCCCC" w:sz="1"/>
              <w:right w:val="single" w:color="CCCCCC" w:sz="1"/>
            </w:tcBorders>
            <w:shd w:fill="F0FAF4" w:val="clear"/>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Mini-dose</w:t>
            </w:r>
          </w:p>
        </w:tc>
        <w:tc>
          <w:tcPr>
            <w:tcW w:type="dxa" w:w="1800"/>
            <w:tcBorders>
              <w:top w:val="single" w:color="CCCCCC" w:sz="1"/>
              <w:left w:val="single" w:color="CCCCCC" w:sz="1"/>
              <w:bottom w:val="single" w:color="CCCCCC" w:sz="1"/>
              <w:right w:val="single" w:color="CCCCCC" w:sz="1"/>
            </w:tcBorders>
            <w:shd w:fill="F0FAF4"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0.3 – 0.5 g</w:t>
            </w:r>
          </w:p>
        </w:tc>
        <w:tc>
          <w:tcPr>
            <w:tcW w:type="dxa" w:w="2100"/>
            <w:tcBorders>
              <w:top w:val="single" w:color="CCCCCC" w:sz="1"/>
              <w:left w:val="single" w:color="CCCCCC" w:sz="1"/>
              <w:bottom w:val="single" w:color="CCCCCC" w:sz="1"/>
              <w:right w:val="single" w:color="CCCCCC" w:sz="1"/>
            </w:tcBorders>
            <w:shd w:fill="F0FAF4"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3 – 5 mg</w:t>
            </w:r>
          </w:p>
        </w:tc>
        <w:tc>
          <w:tcPr>
            <w:tcW w:type="dxa" w:w="3780"/>
            <w:tcBorders>
              <w:top w:val="single" w:color="CCCCCC" w:sz="1"/>
              <w:left w:val="single" w:color="CCCCCC" w:sz="1"/>
              <w:bottom w:val="single" w:color="CCCCCC" w:sz="1"/>
              <w:right w:val="single" w:color="CCCCCC" w:sz="1"/>
            </w:tcBorders>
            <w:shd w:fill="F0FAF4"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Slight euphoria, light sensory enhancement</w:t>
            </w:r>
          </w:p>
        </w:tc>
      </w:tr>
      <w:tr>
        <w:tc>
          <w:tcPr>
            <w:tcW w:type="dxa" w:w="1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Low Dose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0.5 – 1.0 g</w:t>
            </w:r>
          </w:p>
        </w:tc>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5 – 10 mg</w:t>
            </w:r>
          </w:p>
        </w:tc>
        <w:tc>
          <w:tcPr>
            <w:tcW w:type="dxa" w:w="37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Mild visuals, enhanced senses, euphoria</w:t>
            </w:r>
          </w:p>
        </w:tc>
      </w:tr>
      <w:tr>
        <w:tc>
          <w:tcPr>
            <w:tcW w:type="dxa" w:w="1680"/>
            <w:tcBorders>
              <w:top w:val="single" w:color="CCCCCC" w:sz="1"/>
              <w:left w:val="single" w:color="CCCCCC" w:sz="1"/>
              <w:bottom w:val="single" w:color="CCCCCC" w:sz="1"/>
              <w:right w:val="single" w:color="CCCCCC" w:sz="1"/>
            </w:tcBorders>
            <w:shd w:fill="F0FAF4" w:val="clear"/>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Medium Dose</w:t>
            </w:r>
          </w:p>
        </w:tc>
        <w:tc>
          <w:tcPr>
            <w:tcW w:type="dxa" w:w="1800"/>
            <w:tcBorders>
              <w:top w:val="single" w:color="CCCCCC" w:sz="1"/>
              <w:left w:val="single" w:color="CCCCCC" w:sz="1"/>
              <w:bottom w:val="single" w:color="CCCCCC" w:sz="1"/>
              <w:right w:val="single" w:color="CCCCCC" w:sz="1"/>
            </w:tcBorders>
            <w:shd w:fill="F0FAF4"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1.0 – 2.5 g</w:t>
            </w:r>
          </w:p>
        </w:tc>
        <w:tc>
          <w:tcPr>
            <w:tcW w:type="dxa" w:w="2100"/>
            <w:tcBorders>
              <w:top w:val="single" w:color="CCCCCC" w:sz="1"/>
              <w:left w:val="single" w:color="CCCCCC" w:sz="1"/>
              <w:bottom w:val="single" w:color="CCCCCC" w:sz="1"/>
              <w:right w:val="single" w:color="CCCCCC" w:sz="1"/>
            </w:tcBorders>
            <w:shd w:fill="F0FAF4"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10 – 25 mg</w:t>
            </w:r>
          </w:p>
        </w:tc>
        <w:tc>
          <w:tcPr>
            <w:tcW w:type="dxa" w:w="3780"/>
            <w:tcBorders>
              <w:top w:val="single" w:color="CCCCCC" w:sz="1"/>
              <w:left w:val="single" w:color="CCCCCC" w:sz="1"/>
              <w:bottom w:val="single" w:color="CCCCCC" w:sz="1"/>
              <w:right w:val="single" w:color="CCCCCC" w:sz="1"/>
            </w:tcBorders>
            <w:shd w:fill="F0FAF4"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Hallucinations (mostly visual), emotional depth</w:t>
            </w:r>
          </w:p>
        </w:tc>
      </w:tr>
      <w:tr>
        <w:tc>
          <w:tcPr>
            <w:tcW w:type="dxa" w:w="1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DC3545"/>
                <w:sz w:val="18"/>
                <w:szCs w:val="18"/>
              </w:rPr>
              <w:t xml:space="preserve">High Dose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DC3545"/>
                <w:sz w:val="18"/>
                <w:szCs w:val="18"/>
              </w:rPr>
              <w:t xml:space="preserve">2.5 – 5.0 g</w:t>
            </w:r>
          </w:p>
        </w:tc>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DC3545"/>
                <w:sz w:val="18"/>
                <w:szCs w:val="18"/>
              </w:rPr>
              <w:t xml:space="preserve">25 – 50 mg</w:t>
            </w:r>
          </w:p>
        </w:tc>
        <w:tc>
          <w:tcPr>
            <w:tcW w:type="dxa" w:w="37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Strong visual/sensory distortion, ego softening</w:t>
            </w:r>
          </w:p>
        </w:tc>
      </w:tr>
      <w:tr>
        <w:tc>
          <w:tcPr>
            <w:tcW w:type="dxa" w:w="1680"/>
            <w:tcBorders>
              <w:top w:val="single" w:color="CCCCCC" w:sz="1"/>
              <w:left w:val="single" w:color="CCCCCC" w:sz="1"/>
              <w:bottom w:val="single" w:color="CCCCCC" w:sz="1"/>
              <w:right w:val="single" w:color="CCCCCC" w:sz="1"/>
            </w:tcBorders>
            <w:shd w:fill="F0FAF4" w:val="clear"/>
            <w:tcMar>
              <w:top w:type="dxa" w:w="80"/>
              <w:left w:type="dxa" w:w="120"/>
              <w:bottom w:type="dxa" w:w="80"/>
              <w:right w:type="dxa" w:w="120"/>
            </w:tcMar>
            <w:vAlign w:val="center"/>
          </w:tcPr>
          <w:p>
            <w:pPr>
              <w:jc w:val="left"/>
            </w:pPr>
            <w:r>
              <w:rPr>
                <w:rFonts w:ascii="Arial" w:cs="Arial" w:eastAsia="Arial" w:hAnsi="Arial"/>
                <w:b/>
                <w:bCs/>
                <w:color w:val="DC3545"/>
                <w:sz w:val="18"/>
                <w:szCs w:val="18"/>
              </w:rPr>
              <w:t xml:space="preserve">Heroic Dose</w:t>
            </w:r>
          </w:p>
        </w:tc>
        <w:tc>
          <w:tcPr>
            <w:tcW w:type="dxa" w:w="1800"/>
            <w:tcBorders>
              <w:top w:val="single" w:color="CCCCCC" w:sz="1"/>
              <w:left w:val="single" w:color="CCCCCC" w:sz="1"/>
              <w:bottom w:val="single" w:color="CCCCCC" w:sz="1"/>
              <w:right w:val="single" w:color="CCCCCC" w:sz="1"/>
            </w:tcBorders>
            <w:shd w:fill="F0FAF4" w:val="clear"/>
            <w:tcMar>
              <w:top w:type="dxa" w:w="80"/>
              <w:left w:type="dxa" w:w="120"/>
              <w:bottom w:type="dxa" w:w="80"/>
              <w:right w:type="dxa" w:w="120"/>
            </w:tcMar>
            <w:vAlign w:val="center"/>
          </w:tcPr>
          <w:p>
            <w:pPr>
              <w:jc w:val="left"/>
            </w:pPr>
            <w:r>
              <w:rPr>
                <w:rFonts w:ascii="Arial" w:cs="Arial" w:eastAsia="Arial" w:hAnsi="Arial"/>
                <w:b w:val="false"/>
                <w:bCs w:val="false"/>
                <w:color w:val="DC3545"/>
                <w:sz w:val="18"/>
                <w:szCs w:val="18"/>
              </w:rPr>
              <w:t xml:space="preserve">5.0 g+</w:t>
            </w:r>
          </w:p>
        </w:tc>
        <w:tc>
          <w:tcPr>
            <w:tcW w:type="dxa" w:w="2100"/>
            <w:tcBorders>
              <w:top w:val="single" w:color="CCCCCC" w:sz="1"/>
              <w:left w:val="single" w:color="CCCCCC" w:sz="1"/>
              <w:bottom w:val="single" w:color="CCCCCC" w:sz="1"/>
              <w:right w:val="single" w:color="CCCCCC" w:sz="1"/>
            </w:tcBorders>
            <w:shd w:fill="F0FAF4" w:val="clear"/>
            <w:tcMar>
              <w:top w:type="dxa" w:w="80"/>
              <w:left w:type="dxa" w:w="120"/>
              <w:bottom w:type="dxa" w:w="80"/>
              <w:right w:type="dxa" w:w="120"/>
            </w:tcMar>
            <w:vAlign w:val="center"/>
          </w:tcPr>
          <w:p>
            <w:pPr>
              <w:jc w:val="left"/>
            </w:pPr>
            <w:r>
              <w:rPr>
                <w:rFonts w:ascii="Arial" w:cs="Arial" w:eastAsia="Arial" w:hAnsi="Arial"/>
                <w:b w:val="false"/>
                <w:bCs w:val="false"/>
                <w:color w:val="DC3545"/>
                <w:sz w:val="18"/>
                <w:szCs w:val="18"/>
              </w:rPr>
              <w:t xml:space="preserve">50 mg+</w:t>
            </w:r>
          </w:p>
        </w:tc>
        <w:tc>
          <w:tcPr>
            <w:tcW w:type="dxa" w:w="3780"/>
            <w:tcBorders>
              <w:top w:val="single" w:color="CCCCCC" w:sz="1"/>
              <w:left w:val="single" w:color="CCCCCC" w:sz="1"/>
              <w:bottom w:val="single" w:color="CCCCCC" w:sz="1"/>
              <w:right w:val="single" w:color="CCCCCC" w:sz="1"/>
            </w:tcBorders>
            <w:shd w:fill="F0FAF4"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Ego dissolution, mystical experiences</w:t>
            </w:r>
          </w:p>
        </w:tc>
      </w:tr>
    </w:tbl>
    <w:p>
      <w:pPr>
        <w:spacing w:after="60"/>
      </w:pPr>
      <w:r>
        <w:t xml:space="preserve"/>
      </w:r>
    </w:p>
    <w:p>
      <w:pPr>
        <w:spacing w:after="80"/>
      </w:pPr>
      <w:r>
        <w:rPr>
          <w:rFonts w:ascii="Arial" w:cs="Arial" w:eastAsia="Arial" w:hAnsi="Arial"/>
          <w:b/>
          <w:bCs/>
          <w:color w:val="2D6A4F"/>
          <w:sz w:val="18"/>
          <w:szCs w:val="18"/>
        </w:rPr>
        <w:t xml:space="preserve">📎 Source: </w:t>
      </w:r>
      <w:r>
        <w:rPr>
          <w:rFonts w:ascii="Arial" w:cs="Arial" w:eastAsia="Arial" w:hAnsi="Arial"/>
          <w:i/>
          <w:iCs/>
          <w:color w:val="666666"/>
          <w:sz w:val="18"/>
          <w:szCs w:val="18"/>
        </w:rPr>
        <w:t xml:space="preserve">Frontiers in Psychiatry — Therapeutic Dosing — https://pmc.ncbi.nlm.nih.gov/articles/PMC9751063/</w:t>
      </w:r>
    </w:p>
    <w:p>
      <w:pPr>
        <w:spacing w:after="120"/>
      </w:pPr>
      <w:r>
        <w:rPr>
          <w:rFonts w:ascii="Arial" w:cs="Arial" w:eastAsia="Arial" w:hAnsi="Arial"/>
          <w:b/>
          <w:bCs/>
          <w:color w:val="1B4332"/>
          <w:sz w:val="20"/>
          <w:szCs w:val="20"/>
        </w:rPr>
        <w:t xml:space="preserve">Onset: </w:t>
      </w:r>
      <w:r>
        <w:rPr>
          <w:rFonts w:ascii="Arial" w:cs="Arial" w:eastAsia="Arial" w:hAnsi="Arial"/>
          <w:color w:val="000000"/>
          <w:sz w:val="20"/>
          <w:szCs w:val="20"/>
        </w:rPr>
        <w:t xml:space="preserve">20–40 minutes   |   Peak effects: 60–90 minutes   |   Active duration: 4–6 hours</w:t>
      </w:r>
    </w:p>
    <w:p>
      <w:pPr>
        <w:spacing w:after="60"/>
      </w:pPr>
      <w:r>
        <w:t xml:space="preserve"/>
      </w:r>
    </w:p>
    <w:p>
      <w:pPr>
        <w:pStyle w:val="Heading1"/>
        <w:pBdr>
          <w:bottom w:val="single" w:color="2D6A4F" w:sz="8" w:space="4"/>
        </w:pBdr>
        <w:spacing w:after="180" w:before="360"/>
      </w:pPr>
      <w:r>
        <w:rPr>
          <w:rFonts w:ascii="Arial" w:cs="Arial" w:eastAsia="Arial" w:hAnsi="Arial"/>
          <w:b/>
          <w:bCs/>
          <w:color w:val="1B4332"/>
          <w:sz w:val="36"/>
          <w:szCs w:val="36"/>
        </w:rPr>
        <w:t xml:space="preserve">2. Why Dosing Dried Magic Mushrooms Correctly Matters</w:t>
      </w:r>
    </w:p>
    <w:p>
      <w:pPr>
        <w:spacing w:after="160"/>
      </w:pPr>
      <w:r>
        <w:rPr>
          <w:rFonts w:ascii="Arial" w:cs="Arial" w:eastAsia="Arial" w:hAnsi="Arial"/>
          <w:color w:val="000000"/>
          <w:sz w:val="20"/>
          <w:szCs w:val="20"/>
        </w:rPr>
        <w:t xml:space="preserve">The variability in psilocybin content can range on average from 0.5–2% dried mushroom weight based on species. This means a 'standard' 2.5 g dose of one batch could be functionally equivalent to 5 g of a weaker batch, or 1.5 g of a hyper-potent strain. Precision is not optional — it is protective.</w:t>
      </w:r>
    </w:p>
    <w:p>
      <w:pPr>
        <w:spacing w:after="160"/>
      </w:pPr>
      <w:r>
        <w:rPr>
          <w:rFonts w:ascii="Arial" w:cs="Arial" w:eastAsia="Arial" w:hAnsi="Arial"/>
          <w:color w:val="000000"/>
          <w:sz w:val="20"/>
          <w:szCs w:val="20"/>
        </w:rPr>
        <w:t xml:space="preserve">Underlying causes for varying sensitivities to psilocybin effects are not fully understood. Lab research in cells points to differences in 5-HT2A receptors through single nucleotide polymorphism variants as one factor.</w:t>
      </w:r>
    </w:p>
    <w:p>
      <w:pPr>
        <w:pStyle w:val="Heading2"/>
        <w:spacing w:after="120" w:before="240"/>
      </w:pPr>
      <w:r>
        <w:rPr>
          <w:rFonts w:ascii="Arial" w:cs="Arial" w:eastAsia="Arial" w:hAnsi="Arial"/>
          <w:b/>
          <w:bCs/>
          <w:color w:val="2D6A4F"/>
          <w:sz w:val="28"/>
          <w:szCs w:val="28"/>
        </w:rPr>
        <w:t xml:space="preserve">Risk Matrix: Under-Dosing vs. Over-Dosing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3510"/>
        <w:gridCol w:w="3510"/>
      </w:tblGrid>
      <w:tr>
        <w:trPr>
          <w:tblHeader/>
        </w:trPr>
        <w:tc>
          <w:tcPr>
            <w:tcW w:type="dxa" w:w="2340"/>
            <w:tcBorders>
              <w:top w:val="single" w:color="2D6A4F" w:sz="1"/>
              <w:left w:val="single" w:color="2D6A4F" w:sz="1"/>
              <w:bottom w:val="single" w:color="2D6A4F" w:sz="1"/>
              <w:right w:val="single" w:color="2D6A4F" w:sz="1"/>
            </w:tcBorders>
            <w:shd w:fill="1B4332"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Factor</w:t>
            </w:r>
          </w:p>
        </w:tc>
        <w:tc>
          <w:tcPr>
            <w:tcW w:type="dxa" w:w="3510"/>
            <w:tcBorders>
              <w:top w:val="single" w:color="2D6A4F" w:sz="1"/>
              <w:left w:val="single" w:color="2D6A4F" w:sz="1"/>
              <w:bottom w:val="single" w:color="2D6A4F" w:sz="1"/>
              <w:right w:val="single" w:color="2D6A4F" w:sz="1"/>
            </w:tcBorders>
            <w:shd w:fill="1B4332"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Risk of Under-Dosing</w:t>
            </w:r>
          </w:p>
        </w:tc>
        <w:tc>
          <w:tcPr>
            <w:tcW w:type="dxa" w:w="3510"/>
            <w:tcBorders>
              <w:top w:val="single" w:color="2D6A4F" w:sz="1"/>
              <w:left w:val="single" w:color="2D6A4F" w:sz="1"/>
              <w:bottom w:val="single" w:color="2D6A4F" w:sz="1"/>
              <w:right w:val="single" w:color="2D6A4F" w:sz="1"/>
            </w:tcBorders>
            <w:shd w:fill="1B4332"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Risk of Over-Dosing</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Therapeutic Context</w:t>
            </w:r>
          </w:p>
        </w:tc>
        <w:tc>
          <w:tcPr>
            <w:tcW w:type="dxa" w:w="351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No benefit, wasted session</w:t>
            </w:r>
          </w:p>
        </w:tc>
        <w:tc>
          <w:tcPr>
            <w:tcW w:type="dxa" w:w="351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Psychological crisis, trauma</w:t>
            </w:r>
          </w:p>
        </w:tc>
      </w:tr>
      <w:tr>
        <w:tc>
          <w:tcPr>
            <w:tcW w:type="dxa" w:w="2340"/>
            <w:tcBorders>
              <w:top w:val="single" w:color="CCCCCC" w:sz="1"/>
              <w:left w:val="single" w:color="CCCCCC" w:sz="1"/>
              <w:bottom w:val="single" w:color="CCCCCC" w:sz="1"/>
              <w:right w:val="single" w:color="CCCCCC" w:sz="1"/>
            </w:tcBorders>
            <w:shd w:fill="F0FAF4" w:val="clear"/>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Recreational Context</w:t>
            </w:r>
          </w:p>
        </w:tc>
        <w:tc>
          <w:tcPr>
            <w:tcW w:type="dxa" w:w="3510"/>
            <w:tcBorders>
              <w:top w:val="single" w:color="CCCCCC" w:sz="1"/>
              <w:left w:val="single" w:color="CCCCCC" w:sz="1"/>
              <w:bottom w:val="single" w:color="CCCCCC" w:sz="1"/>
              <w:right w:val="single" w:color="CCCCCC" w:sz="1"/>
            </w:tcBorders>
            <w:shd w:fill="F0FAF4"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Disappointing, waste</w:t>
            </w:r>
          </w:p>
        </w:tc>
        <w:tc>
          <w:tcPr>
            <w:tcW w:type="dxa" w:w="3510"/>
            <w:tcBorders>
              <w:top w:val="single" w:color="CCCCCC" w:sz="1"/>
              <w:left w:val="single" w:color="CCCCCC" w:sz="1"/>
              <w:bottom w:val="single" w:color="CCCCCC" w:sz="1"/>
              <w:right w:val="single" w:color="CCCCCC" w:sz="1"/>
            </w:tcBorders>
            <w:shd w:fill="F0FAF4"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Bad trip, dangerous behavior</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Medical Research</w:t>
            </w:r>
          </w:p>
        </w:tc>
        <w:tc>
          <w:tcPr>
            <w:tcW w:type="dxa" w:w="351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Invalid data</w:t>
            </w:r>
          </w:p>
        </w:tc>
        <w:tc>
          <w:tcPr>
            <w:tcW w:type="dxa" w:w="351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Participant harm</w:t>
            </w:r>
          </w:p>
        </w:tc>
      </w:tr>
      <w:tr>
        <w:tc>
          <w:tcPr>
            <w:tcW w:type="dxa" w:w="2340"/>
            <w:tcBorders>
              <w:top w:val="single" w:color="CCCCCC" w:sz="1"/>
              <w:left w:val="single" w:color="CCCCCC" w:sz="1"/>
              <w:bottom w:val="single" w:color="CCCCCC" w:sz="1"/>
              <w:right w:val="single" w:color="CCCCCC" w:sz="1"/>
            </w:tcBorders>
            <w:shd w:fill="F0FAF4" w:val="clear"/>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Species Variability</w:t>
            </w:r>
          </w:p>
        </w:tc>
        <w:tc>
          <w:tcPr>
            <w:tcW w:type="dxa" w:w="3510"/>
            <w:tcBorders>
              <w:top w:val="single" w:color="CCCCCC" w:sz="1"/>
              <w:left w:val="single" w:color="CCCCCC" w:sz="1"/>
              <w:bottom w:val="single" w:color="CCCCCC" w:sz="1"/>
              <w:right w:val="single" w:color="CCCCCC" w:sz="1"/>
            </w:tcBorders>
            <w:shd w:fill="F0FAF4"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Insufficient psilocybin</w:t>
            </w:r>
          </w:p>
        </w:tc>
        <w:tc>
          <w:tcPr>
            <w:tcW w:type="dxa" w:w="3510"/>
            <w:tcBorders>
              <w:top w:val="single" w:color="CCCCCC" w:sz="1"/>
              <w:left w:val="single" w:color="CCCCCC" w:sz="1"/>
              <w:bottom w:val="single" w:color="CCCCCC" w:sz="1"/>
              <w:right w:val="single" w:color="CCCCCC" w:sz="1"/>
            </w:tcBorders>
            <w:shd w:fill="F0FAF4"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Unexpected intensity</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DC3545"/>
                <w:sz w:val="18"/>
                <w:szCs w:val="18"/>
              </w:rPr>
              <w:t xml:space="preserve">Drug Interactions</w:t>
            </w:r>
          </w:p>
        </w:tc>
        <w:tc>
          <w:tcPr>
            <w:tcW w:type="dxa" w:w="351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Attenuated effect</w:t>
            </w:r>
          </w:p>
        </w:tc>
        <w:tc>
          <w:tcPr>
            <w:tcW w:type="dxa" w:w="351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DC3545"/>
                <w:sz w:val="18"/>
                <w:szCs w:val="18"/>
              </w:rPr>
              <w:t xml:space="preserve">Serotonin syndrome (SSRIs + MAOIs)</w:t>
            </w:r>
          </w:p>
        </w:tc>
      </w:tr>
    </w:tbl>
    <w:p>
      <w:pPr>
        <w:spacing w:after="60"/>
      </w:pPr>
      <w:r>
        <w:t xml:space="preserve"/>
      </w:r>
    </w:p>
    <w:p>
      <w:pPr>
        <w:spacing w:after="160"/>
      </w:pPr>
      <w:r>
        <w:rPr>
          <w:rFonts w:ascii="Arial" w:cs="Arial" w:eastAsia="Arial" w:hAnsi="Arial"/>
          <w:color w:val="000000"/>
          <w:sz w:val="20"/>
          <w:szCs w:val="20"/>
        </w:rPr>
        <w:t xml:space="preserve">Out of 9,233 past-year magic mushroom users in the Global Drug Survey 2017, only 19 (0.2%) reported seeking emergency medical treatment. The most common symptoms were psychological — anxiety/panic and paranoia.</w:t>
      </w:r>
    </w:p>
    <w:p>
      <w:pPr>
        <w:spacing w:after="80"/>
      </w:pPr>
      <w:r>
        <w:rPr>
          <w:rFonts w:ascii="Arial" w:cs="Arial" w:eastAsia="Arial" w:hAnsi="Arial"/>
          <w:b/>
          <w:bCs/>
          <w:color w:val="2D6A4F"/>
          <w:sz w:val="18"/>
          <w:szCs w:val="18"/>
        </w:rPr>
        <w:t xml:space="preserve">📎 Source: </w:t>
      </w:r>
      <w:r>
        <w:rPr>
          <w:rFonts w:ascii="Arial" w:cs="Arial" w:eastAsia="Arial" w:hAnsi="Arial"/>
          <w:i/>
          <w:iCs/>
          <w:color w:val="666666"/>
          <w:sz w:val="18"/>
          <w:szCs w:val="18"/>
        </w:rPr>
        <w:t xml:space="preserve">Global Drug Survey EMT Study — https://pmc.ncbi.nlm.nih.gov/articles/PMC9353971/</w:t>
      </w:r>
    </w:p>
    <w:p>
      <w:pPr>
        <w:spacing w:after="60"/>
      </w:pPr>
      <w:r>
        <w:t xml:space="preserve"/>
      </w:r>
    </w:p>
    <w:p>
      <w:pPr>
        <w:pStyle w:val="Heading1"/>
        <w:pBdr>
          <w:bottom w:val="single" w:color="2D6A4F" w:sz="8" w:space="4"/>
        </w:pBdr>
        <w:spacing w:after="180" w:before="360"/>
      </w:pPr>
      <w:r>
        <w:rPr>
          <w:rFonts w:ascii="Arial" w:cs="Arial" w:eastAsia="Arial" w:hAnsi="Arial"/>
          <w:b/>
          <w:bCs/>
          <w:color w:val="1B4332"/>
          <w:sz w:val="36"/>
          <w:szCs w:val="36"/>
        </w:rPr>
        <w:t xml:space="preserve">3. Paul Stamets' Microdosing Protocol (The Stamets Stack)</w:t>
      </w:r>
    </w:p>
    <w:p>
      <w:pPr>
        <w:spacing w:after="160"/>
      </w:pPr>
      <w:r>
        <w:rPr>
          <w:rFonts w:ascii="Arial" w:cs="Arial" w:eastAsia="Arial" w:hAnsi="Arial"/>
          <w:color w:val="000000"/>
          <w:sz w:val="20"/>
          <w:szCs w:val="20"/>
        </w:rPr>
        <w:t xml:space="preserve">Paul Stamets introduced the idea of stacking psilocybin, lion's mane, and niacin as a way to promote 'epigenetic neurogenesis' — suggesting it could help the brain grow new cells and pathways. He was motivated by the rise of neurodegenerative conditions like Alzheimer's, theorizing that pairing psilocybin microdoses with lion's mane and niacin might synergistically enhance brain function.</w:t>
      </w:r>
    </w:p>
    <w:p>
      <w:pPr>
        <w:pStyle w:val="Heading2"/>
        <w:spacing w:after="120" w:before="240"/>
      </w:pPr>
      <w:r>
        <w:rPr>
          <w:rFonts w:ascii="Arial" w:cs="Arial" w:eastAsia="Arial" w:hAnsi="Arial"/>
          <w:b/>
          <w:bCs/>
          <w:color w:val="2D6A4F"/>
          <w:sz w:val="28"/>
          <w:szCs w:val="28"/>
        </w:rPr>
        <w:t xml:space="preserve">The Stack Formula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1560"/>
        <w:gridCol w:w="1560"/>
        <w:gridCol w:w="3900"/>
      </w:tblGrid>
      <w:tr>
        <w:trPr>
          <w:tblHeader/>
        </w:trPr>
        <w:tc>
          <w:tcPr>
            <w:tcW w:type="dxa" w:w="2340"/>
            <w:tcBorders>
              <w:top w:val="single" w:color="2D6A4F" w:sz="1"/>
              <w:left w:val="single" w:color="2D6A4F" w:sz="1"/>
              <w:bottom w:val="single" w:color="2D6A4F" w:sz="1"/>
              <w:right w:val="single" w:color="2D6A4F" w:sz="1"/>
            </w:tcBorders>
            <w:shd w:fill="1B4332"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Ingredient</w:t>
            </w:r>
          </w:p>
        </w:tc>
        <w:tc>
          <w:tcPr>
            <w:tcW w:type="dxa" w:w="1560"/>
            <w:tcBorders>
              <w:top w:val="single" w:color="2D6A4F" w:sz="1"/>
              <w:left w:val="single" w:color="2D6A4F" w:sz="1"/>
              <w:bottom w:val="single" w:color="2D6A4F" w:sz="1"/>
              <w:right w:val="single" w:color="2D6A4F" w:sz="1"/>
            </w:tcBorders>
            <w:shd w:fill="1B4332"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Min Dose</w:t>
            </w:r>
          </w:p>
        </w:tc>
        <w:tc>
          <w:tcPr>
            <w:tcW w:type="dxa" w:w="1560"/>
            <w:tcBorders>
              <w:top w:val="single" w:color="2D6A4F" w:sz="1"/>
              <w:left w:val="single" w:color="2D6A4F" w:sz="1"/>
              <w:bottom w:val="single" w:color="2D6A4F" w:sz="1"/>
              <w:right w:val="single" w:color="2D6A4F" w:sz="1"/>
            </w:tcBorders>
            <w:shd w:fill="1B4332"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Max Dose</w:t>
            </w:r>
          </w:p>
        </w:tc>
        <w:tc>
          <w:tcPr>
            <w:tcW w:type="dxa" w:w="3900"/>
            <w:tcBorders>
              <w:top w:val="single" w:color="2D6A4F" w:sz="1"/>
              <w:left w:val="single" w:color="2D6A4F" w:sz="1"/>
              <w:bottom w:val="single" w:color="2D6A4F" w:sz="1"/>
              <w:right w:val="single" w:color="2D6A4F" w:sz="1"/>
            </w:tcBorders>
            <w:shd w:fill="1B4332"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Role</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1B4332"/>
                <w:sz w:val="18"/>
                <w:szCs w:val="18"/>
              </w:rPr>
              <w:t xml:space="preserve">Psilocybin Mushrooms</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0.1 g dried</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0.3 g dried</w:t>
            </w:r>
          </w:p>
        </w:tc>
        <w:tc>
          <w:tcPr>
            <w:tcW w:type="dxa" w:w="3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Neuroplasticity trigger (5-HT2A agonism)</w:t>
            </w:r>
          </w:p>
        </w:tc>
      </w:tr>
      <w:tr>
        <w:tc>
          <w:tcPr>
            <w:tcW w:type="dxa" w:w="2340"/>
            <w:tcBorders>
              <w:top w:val="single" w:color="CCCCCC" w:sz="1"/>
              <w:left w:val="single" w:color="CCCCCC" w:sz="1"/>
              <w:bottom w:val="single" w:color="CCCCCC" w:sz="1"/>
              <w:right w:val="single" w:color="CCCCCC" w:sz="1"/>
            </w:tcBorders>
            <w:shd w:fill="F0FAF4" w:val="clear"/>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Lion's Mane (Hericium erinaceus)</w:t>
            </w:r>
          </w:p>
        </w:tc>
        <w:tc>
          <w:tcPr>
            <w:tcW w:type="dxa" w:w="1560"/>
            <w:tcBorders>
              <w:top w:val="single" w:color="CCCCCC" w:sz="1"/>
              <w:left w:val="single" w:color="CCCCCC" w:sz="1"/>
              <w:bottom w:val="single" w:color="CCCCCC" w:sz="1"/>
              <w:right w:val="single" w:color="CCCCCC" w:sz="1"/>
            </w:tcBorders>
            <w:shd w:fill="F0FAF4"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50 mg powder</w:t>
            </w:r>
          </w:p>
        </w:tc>
        <w:tc>
          <w:tcPr>
            <w:tcW w:type="dxa" w:w="1560"/>
            <w:tcBorders>
              <w:top w:val="single" w:color="CCCCCC" w:sz="1"/>
              <w:left w:val="single" w:color="CCCCCC" w:sz="1"/>
              <w:bottom w:val="single" w:color="CCCCCC" w:sz="1"/>
              <w:right w:val="single" w:color="CCCCCC" w:sz="1"/>
            </w:tcBorders>
            <w:shd w:fill="F0FAF4"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200 mg powder</w:t>
            </w:r>
          </w:p>
        </w:tc>
        <w:tc>
          <w:tcPr>
            <w:tcW w:type="dxa" w:w="3900"/>
            <w:tcBorders>
              <w:top w:val="single" w:color="CCCCCC" w:sz="1"/>
              <w:left w:val="single" w:color="CCCCCC" w:sz="1"/>
              <w:bottom w:val="single" w:color="CCCCCC" w:sz="1"/>
              <w:right w:val="single" w:color="CCCCCC" w:sz="1"/>
            </w:tcBorders>
            <w:shd w:fill="F0FAF4"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NGF stimulation, neurogenesis</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Niacin — Vitamin B3 (flushing type only)</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101 mg</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200 mg</w:t>
            </w:r>
          </w:p>
        </w:tc>
        <w:tc>
          <w:tcPr>
            <w:tcW w:type="dxa" w:w="3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Vasodilation, blood-brain barrier delivery</w:t>
            </w:r>
          </w:p>
        </w:tc>
      </w:tr>
    </w:tbl>
    <w:p>
      <w:pPr>
        <w:spacing w:after="60"/>
      </w:pPr>
      <w:r>
        <w:t xml:space="preserve"/>
      </w:r>
    </w:p>
    <w:p>
      <w:pPr>
        <w:spacing w:after="120"/>
      </w:pPr>
      <w:r>
        <w:rPr>
          <w:rFonts w:ascii="Arial" w:cs="Arial" w:eastAsia="Arial" w:hAnsi="Arial"/>
          <w:b/>
          <w:bCs/>
          <w:color w:val="DC3545"/>
          <w:sz w:val="20"/>
          <w:szCs w:val="20"/>
        </w:rPr>
        <w:t xml:space="preserve">⚠  Important: </w:t>
      </w:r>
      <w:r>
        <w:rPr>
          <w:rFonts w:ascii="Arial" w:cs="Arial" w:eastAsia="Arial" w:hAnsi="Arial"/>
          <w:color w:val="000000"/>
          <w:sz w:val="20"/>
          <w:szCs w:val="20"/>
        </w:rPr>
        <w:t xml:space="preserve">Stamets explicitly insists on the flushing form of Niacin (nicotinic acid), NOT no-flush niacinamide. The flush effect is the functional mechanism.</w:t>
      </w:r>
    </w:p>
    <w:p>
      <w:pPr>
        <w:pStyle w:val="Heading2"/>
        <w:spacing w:after="120" w:before="240"/>
      </w:pPr>
      <w:r>
        <w:rPr>
          <w:rFonts w:ascii="Arial" w:cs="Arial" w:eastAsia="Arial" w:hAnsi="Arial"/>
          <w:b/>
          <w:bCs/>
          <w:color w:val="2D6A4F"/>
          <w:sz w:val="28"/>
          <w:szCs w:val="28"/>
        </w:rPr>
        <w:t xml:space="preserve">Protocol Schedule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1300"/>
        <w:gridCol w:w="1300"/>
        <w:gridCol w:w="1300"/>
        <w:gridCol w:w="1300"/>
        <w:gridCol w:w="1300"/>
        <w:gridCol w:w="1560"/>
      </w:tblGrid>
      <w:tr>
        <w:trPr>
          <w:tblHeader/>
        </w:trPr>
        <w:tc>
          <w:tcPr>
            <w:tcW w:type="dxa" w:w="1300"/>
            <w:tcBorders>
              <w:top w:val="single" w:color="2D6A4F" w:sz="1"/>
              <w:left w:val="single" w:color="2D6A4F" w:sz="1"/>
              <w:bottom w:val="single" w:color="2D6A4F" w:sz="1"/>
              <w:right w:val="single" w:color="2D6A4F" w:sz="1"/>
            </w:tcBorders>
            <w:shd w:fill="1B4332"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Day 1</w:t>
            </w:r>
          </w:p>
        </w:tc>
        <w:tc>
          <w:tcPr>
            <w:tcW w:type="dxa" w:w="1300"/>
            <w:tcBorders>
              <w:top w:val="single" w:color="2D6A4F" w:sz="1"/>
              <w:left w:val="single" w:color="2D6A4F" w:sz="1"/>
              <w:bottom w:val="single" w:color="2D6A4F" w:sz="1"/>
              <w:right w:val="single" w:color="2D6A4F" w:sz="1"/>
            </w:tcBorders>
            <w:shd w:fill="1B4332"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Day 2</w:t>
            </w:r>
          </w:p>
        </w:tc>
        <w:tc>
          <w:tcPr>
            <w:tcW w:type="dxa" w:w="1300"/>
            <w:tcBorders>
              <w:top w:val="single" w:color="2D6A4F" w:sz="1"/>
              <w:left w:val="single" w:color="2D6A4F" w:sz="1"/>
              <w:bottom w:val="single" w:color="2D6A4F" w:sz="1"/>
              <w:right w:val="single" w:color="2D6A4F" w:sz="1"/>
            </w:tcBorders>
            <w:shd w:fill="1B4332"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Day 3</w:t>
            </w:r>
          </w:p>
        </w:tc>
        <w:tc>
          <w:tcPr>
            <w:tcW w:type="dxa" w:w="1300"/>
            <w:tcBorders>
              <w:top w:val="single" w:color="2D6A4F" w:sz="1"/>
              <w:left w:val="single" w:color="2D6A4F" w:sz="1"/>
              <w:bottom w:val="single" w:color="2D6A4F" w:sz="1"/>
              <w:right w:val="single" w:color="2D6A4F" w:sz="1"/>
            </w:tcBorders>
            <w:shd w:fill="1B4332"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Day 4</w:t>
            </w:r>
          </w:p>
        </w:tc>
        <w:tc>
          <w:tcPr>
            <w:tcW w:type="dxa" w:w="1300"/>
            <w:tcBorders>
              <w:top w:val="single" w:color="2D6A4F" w:sz="1"/>
              <w:left w:val="single" w:color="2D6A4F" w:sz="1"/>
              <w:bottom w:val="single" w:color="2D6A4F" w:sz="1"/>
              <w:right w:val="single" w:color="2D6A4F" w:sz="1"/>
            </w:tcBorders>
            <w:shd w:fill="1B4332"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Day 5</w:t>
            </w:r>
          </w:p>
        </w:tc>
        <w:tc>
          <w:tcPr>
            <w:tcW w:type="dxa" w:w="1300"/>
            <w:tcBorders>
              <w:top w:val="single" w:color="2D6A4F" w:sz="1"/>
              <w:left w:val="single" w:color="2D6A4F" w:sz="1"/>
              <w:bottom w:val="single" w:color="2D6A4F" w:sz="1"/>
              <w:right w:val="single" w:color="2D6A4F" w:sz="1"/>
            </w:tcBorders>
            <w:shd w:fill="1B4332"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Day 6</w:t>
            </w:r>
          </w:p>
        </w:tc>
        <w:tc>
          <w:tcPr>
            <w:tcW w:type="dxa" w:w="1560"/>
            <w:tcBorders>
              <w:top w:val="single" w:color="2D6A4F" w:sz="1"/>
              <w:left w:val="single" w:color="2D6A4F" w:sz="1"/>
              <w:bottom w:val="single" w:color="2D6A4F" w:sz="1"/>
              <w:right w:val="single" w:color="2D6A4F" w:sz="1"/>
            </w:tcBorders>
            <w:shd w:fill="1B4332"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Day 7</w:t>
            </w:r>
          </w:p>
        </w:tc>
      </w:tr>
      <w:tr>
        <w:tc>
          <w:tcPr>
            <w:tcW w:type="dxa" w:w="1300"/>
            <w:tcBorders>
              <w:top w:val="single" w:color="2D6A4F" w:sz="1"/>
              <w:left w:val="single" w:color="2D6A4F" w:sz="1"/>
              <w:bottom w:val="single" w:color="2D6A4F" w:sz="1"/>
              <w:right w:val="single" w:color="2D6A4F" w:sz="1"/>
            </w:tcBorders>
            <w:shd w:fill="D8F3DC" w:val="clear"/>
            <w:tcMar>
              <w:top w:type="dxa" w:w="80"/>
              <w:left w:type="dxa" w:w="80"/>
              <w:bottom w:type="dxa" w:w="80"/>
              <w:right w:type="dxa" w:w="80"/>
            </w:tcMar>
          </w:tcPr>
          <w:p>
            <w:pPr>
              <w:jc w:val="center"/>
            </w:pPr>
            <w:r>
              <w:rPr>
                <w:rFonts w:ascii="Arial" w:cs="Arial" w:eastAsia="Arial" w:hAnsi="Arial"/>
                <w:b/>
                <w:bCs/>
                <w:color w:val="1B4332"/>
                <w:sz w:val="18"/>
                <w:szCs w:val="18"/>
              </w:rPr>
              <w:t xml:space="preserve">✅ DOSE</w:t>
            </w:r>
          </w:p>
        </w:tc>
        <w:tc>
          <w:tcPr>
            <w:tcW w:type="dxa" w:w="1300"/>
            <w:tcBorders>
              <w:top w:val="single" w:color="2D6A4F" w:sz="1"/>
              <w:left w:val="single" w:color="2D6A4F" w:sz="1"/>
              <w:bottom w:val="single" w:color="2D6A4F" w:sz="1"/>
              <w:right w:val="single" w:color="2D6A4F" w:sz="1"/>
            </w:tcBorders>
            <w:shd w:fill="D8F3DC" w:val="clear"/>
            <w:tcMar>
              <w:top w:type="dxa" w:w="80"/>
              <w:left w:type="dxa" w:w="80"/>
              <w:bottom w:type="dxa" w:w="80"/>
              <w:right w:type="dxa" w:w="80"/>
            </w:tcMar>
          </w:tcPr>
          <w:p>
            <w:pPr>
              <w:jc w:val="center"/>
            </w:pPr>
            <w:r>
              <w:rPr>
                <w:rFonts w:ascii="Arial" w:cs="Arial" w:eastAsia="Arial" w:hAnsi="Arial"/>
                <w:b/>
                <w:bCs/>
                <w:color w:val="1B4332"/>
                <w:sz w:val="18"/>
                <w:szCs w:val="18"/>
              </w:rPr>
              <w:t xml:space="preserve">✅ DOSE</w:t>
            </w:r>
          </w:p>
        </w:tc>
        <w:tc>
          <w:tcPr>
            <w:tcW w:type="dxa" w:w="1300"/>
            <w:tcBorders>
              <w:top w:val="single" w:color="2D6A4F" w:sz="1"/>
              <w:left w:val="single" w:color="2D6A4F" w:sz="1"/>
              <w:bottom w:val="single" w:color="2D6A4F" w:sz="1"/>
              <w:right w:val="single" w:color="2D6A4F" w:sz="1"/>
            </w:tcBorders>
            <w:shd w:fill="D8F3DC" w:val="clear"/>
            <w:tcMar>
              <w:top w:type="dxa" w:w="80"/>
              <w:left w:type="dxa" w:w="80"/>
              <w:bottom w:type="dxa" w:w="80"/>
              <w:right w:type="dxa" w:w="80"/>
            </w:tcMar>
          </w:tcPr>
          <w:p>
            <w:pPr>
              <w:jc w:val="center"/>
            </w:pPr>
            <w:r>
              <w:rPr>
                <w:rFonts w:ascii="Arial" w:cs="Arial" w:eastAsia="Arial" w:hAnsi="Arial"/>
                <w:b/>
                <w:bCs/>
                <w:color w:val="1B4332"/>
                <w:sz w:val="18"/>
                <w:szCs w:val="18"/>
              </w:rPr>
              <w:t xml:space="preserve">✅ DOSE</w:t>
            </w:r>
          </w:p>
        </w:tc>
        <w:tc>
          <w:tcPr>
            <w:tcW w:type="dxa" w:w="1300"/>
            <w:tcBorders>
              <w:top w:val="single" w:color="2D6A4F" w:sz="1"/>
              <w:left w:val="single" w:color="2D6A4F" w:sz="1"/>
              <w:bottom w:val="single" w:color="2D6A4F" w:sz="1"/>
              <w:right w:val="single" w:color="2D6A4F" w:sz="1"/>
            </w:tcBorders>
            <w:shd w:fill="D8F3DC" w:val="clear"/>
            <w:tcMar>
              <w:top w:type="dxa" w:w="80"/>
              <w:left w:type="dxa" w:w="80"/>
              <w:bottom w:type="dxa" w:w="80"/>
              <w:right w:type="dxa" w:w="80"/>
            </w:tcMar>
          </w:tcPr>
          <w:p>
            <w:pPr>
              <w:jc w:val="center"/>
            </w:pPr>
            <w:r>
              <w:rPr>
                <w:rFonts w:ascii="Arial" w:cs="Arial" w:eastAsia="Arial" w:hAnsi="Arial"/>
                <w:b/>
                <w:bCs/>
                <w:color w:val="1B4332"/>
                <w:sz w:val="18"/>
                <w:szCs w:val="18"/>
              </w:rPr>
              <w:t xml:space="preserve">✅ DOSE</w:t>
            </w:r>
          </w:p>
        </w:tc>
        <w:tc>
          <w:tcPr>
            <w:tcW w:type="dxa" w:w="1300"/>
            <w:tcBorders>
              <w:top w:val="single" w:color="CCCCCC" w:sz="1"/>
              <w:left w:val="single" w:color="CCCCCC" w:sz="1"/>
              <w:bottom w:val="single" w:color="CCCCCC" w:sz="1"/>
              <w:right w:val="single" w:color="CCCCCC" w:sz="1"/>
            </w:tcBorders>
            <w:shd w:fill="F5F5F5" w:val="clear"/>
            <w:tcMar>
              <w:top w:type="dxa" w:w="80"/>
              <w:left w:type="dxa" w:w="80"/>
              <w:bottom w:type="dxa" w:w="80"/>
              <w:right w:type="dxa" w:w="80"/>
            </w:tcMar>
          </w:tcPr>
          <w:p>
            <w:pPr>
              <w:jc w:val="center"/>
            </w:pPr>
            <w:r>
              <w:rPr>
                <w:rFonts w:ascii="Arial" w:cs="Arial" w:eastAsia="Arial" w:hAnsi="Arial"/>
                <w:color w:val="666666"/>
                <w:sz w:val="18"/>
                <w:szCs w:val="18"/>
              </w:rPr>
              <w:t xml:space="preserve">🔄 REST</w:t>
            </w:r>
          </w:p>
        </w:tc>
        <w:tc>
          <w:tcPr>
            <w:tcW w:type="dxa" w:w="1300"/>
            <w:tcBorders>
              <w:top w:val="single" w:color="CCCCCC" w:sz="1"/>
              <w:left w:val="single" w:color="CCCCCC" w:sz="1"/>
              <w:bottom w:val="single" w:color="CCCCCC" w:sz="1"/>
              <w:right w:val="single" w:color="CCCCCC" w:sz="1"/>
            </w:tcBorders>
            <w:shd w:fill="F5F5F5" w:val="clear"/>
            <w:tcMar>
              <w:top w:type="dxa" w:w="80"/>
              <w:left w:type="dxa" w:w="80"/>
              <w:bottom w:type="dxa" w:w="80"/>
              <w:right w:type="dxa" w:w="80"/>
            </w:tcMar>
          </w:tcPr>
          <w:p>
            <w:pPr>
              <w:jc w:val="center"/>
            </w:pPr>
            <w:r>
              <w:rPr>
                <w:rFonts w:ascii="Arial" w:cs="Arial" w:eastAsia="Arial" w:hAnsi="Arial"/>
                <w:color w:val="666666"/>
                <w:sz w:val="18"/>
                <w:szCs w:val="18"/>
              </w:rPr>
              <w:t xml:space="preserve">🔄 REST</w:t>
            </w:r>
          </w:p>
        </w:tc>
        <w:tc>
          <w:tcPr>
            <w:tcW w:type="dxa" w:w="1560"/>
            <w:tcBorders>
              <w:top w:val="single" w:color="CCCCCC" w:sz="1"/>
              <w:left w:val="single" w:color="CCCCCC" w:sz="1"/>
              <w:bottom w:val="single" w:color="CCCCCC" w:sz="1"/>
              <w:right w:val="single" w:color="CCCCCC" w:sz="1"/>
            </w:tcBorders>
            <w:shd w:fill="F5F5F5" w:val="clear"/>
            <w:tcMar>
              <w:top w:type="dxa" w:w="80"/>
              <w:left w:type="dxa" w:w="80"/>
              <w:bottom w:type="dxa" w:w="80"/>
              <w:right w:type="dxa" w:w="80"/>
            </w:tcMar>
          </w:tcPr>
          <w:p>
            <w:pPr>
              <w:jc w:val="center"/>
            </w:pPr>
            <w:r>
              <w:rPr>
                <w:rFonts w:ascii="Arial" w:cs="Arial" w:eastAsia="Arial" w:hAnsi="Arial"/>
                <w:color w:val="666666"/>
                <w:sz w:val="18"/>
                <w:szCs w:val="18"/>
              </w:rPr>
              <w:t xml:space="preserve">🔄 REST</w:t>
            </w:r>
          </w:p>
        </w:tc>
      </w:tr>
    </w:tbl>
    <w:p>
      <w:pPr>
        <w:spacing w:after="60"/>
      </w:pPr>
      <w:r>
        <w:t xml:space="preserve"/>
      </w:r>
    </w:p>
    <w:p>
      <w:pPr>
        <w:spacing w:after="160"/>
      </w:pPr>
      <w:r>
        <w:rPr>
          <w:rFonts w:ascii="Arial" w:cs="Arial" w:eastAsia="Arial" w:hAnsi="Arial"/>
          <w:color w:val="000000"/>
          <w:sz w:val="20"/>
          <w:szCs w:val="20"/>
        </w:rPr>
        <w:t xml:space="preserve">Cycle: 4 days ON / 3 days OFF — repeated for 4 weeks, then 2 weeks full reset. Many microdosers repeat the protocol indefinitely.</w:t>
      </w:r>
    </w:p>
    <w:p>
      <w:pPr>
        <w:spacing w:after="80"/>
      </w:pPr>
      <w:r>
        <w:rPr>
          <w:rFonts w:ascii="Arial" w:cs="Arial" w:eastAsia="Arial" w:hAnsi="Arial"/>
          <w:b/>
          <w:bCs/>
          <w:color w:val="2D6A4F"/>
          <w:sz w:val="18"/>
          <w:szCs w:val="18"/>
        </w:rPr>
        <w:t xml:space="preserve">📎 Source: </w:t>
      </w:r>
      <w:r>
        <w:rPr>
          <w:rFonts w:ascii="Arial" w:cs="Arial" w:eastAsia="Arial" w:hAnsi="Arial"/>
          <w:i/>
          <w:iCs/>
          <w:color w:val="666666"/>
          <w:sz w:val="18"/>
          <w:szCs w:val="18"/>
        </w:rPr>
        <w:t xml:space="preserve">Stamets Stack Protocol — https://www.microdoseguru.com/post/how-to-use-the-stamets-stack-to-optimize-microdosing</w:t>
      </w:r>
    </w:p>
    <w:p>
      <w:pPr>
        <w:pStyle w:val="Heading2"/>
        <w:spacing w:after="120" w:before="240"/>
      </w:pPr>
      <w:r>
        <w:rPr>
          <w:rFonts w:ascii="Arial" w:cs="Arial" w:eastAsia="Arial" w:hAnsi="Arial"/>
          <w:b/>
          <w:bCs/>
          <w:color w:val="2D6A4F"/>
          <w:sz w:val="28"/>
          <w:szCs w:val="28"/>
        </w:rPr>
        <w:t xml:space="preserve">Honest Science Assessment</w:t>
      </w:r>
    </w:p>
    <w:p>
      <w:pPr>
        <w:spacing w:after="160"/>
      </w:pPr>
      <w:r>
        <w:rPr>
          <w:rFonts w:ascii="Arial" w:cs="Arial" w:eastAsia="Arial" w:hAnsi="Arial"/>
          <w:color w:val="000000"/>
          <w:sz w:val="20"/>
          <w:szCs w:val="20"/>
        </w:rPr>
        <w:t xml:space="preserve">A 2022 Nature Scientific Reports study (co-authored by Stamets) indicated that combining psilocybin with lion's mane and vitamin B3 did NOT produce statistically significant improvements in mood and mental health beyond psilocybin alone. The synergistic claims are theoretically plausible but not yet confirmed by controlled clinical trials. The preclinical neurogenesis data on lion's mane is real; the niacin delivery claim is mechanistically argued but not directly measured in humans.</w:t>
      </w:r>
    </w:p>
    <w:p>
      <w:pPr>
        <w:spacing w:after="120"/>
      </w:pPr>
      <w:r>
        <w:rPr>
          <w:rFonts w:ascii="Arial" w:cs="Arial" w:eastAsia="Arial" w:hAnsi="Arial"/>
          <w:b/>
          <w:bCs/>
          <w:color w:val="1B4332"/>
          <w:sz w:val="20"/>
          <w:szCs w:val="20"/>
        </w:rPr>
        <w:t xml:space="preserve">Confidence Level: </w:t>
      </w:r>
      <w:r>
        <w:rPr>
          <w:rFonts w:ascii="Arial" w:cs="Arial" w:eastAsia="Arial" w:hAnsi="Arial"/>
          <w:color w:val="000000"/>
          <w:sz w:val="20"/>
          <w:szCs w:val="20"/>
        </w:rPr>
        <w:t xml:space="preserve">55% on Stamets Stack synergy — theoretically strong, clinically unconfirmed.</w:t>
      </w:r>
    </w:p>
    <w:p>
      <w:pPr>
        <w:spacing w:after="80"/>
      </w:pPr>
      <w:r>
        <w:rPr>
          <w:rFonts w:ascii="Arial" w:cs="Arial" w:eastAsia="Arial" w:hAnsi="Arial"/>
          <w:b/>
          <w:bCs/>
          <w:color w:val="2D6A4F"/>
          <w:sz w:val="18"/>
          <w:szCs w:val="18"/>
        </w:rPr>
        <w:t xml:space="preserve">📎 Source: </w:t>
      </w:r>
      <w:r>
        <w:rPr>
          <w:rFonts w:ascii="Arial" w:cs="Arial" w:eastAsia="Arial" w:hAnsi="Arial"/>
          <w:i/>
          <w:iCs/>
          <w:color w:val="666666"/>
          <w:sz w:val="18"/>
          <w:szCs w:val="18"/>
        </w:rPr>
        <w:t xml:space="preserve">Nature Scientific Reports — https://www.nature.com/articles/s41598-022-14512-3</w:t>
      </w:r>
    </w:p>
    <w:p>
      <w:pPr>
        <w:spacing w:after="60"/>
      </w:pPr>
      <w:r>
        <w:t xml:space="preserve"/>
      </w:r>
    </w:p>
    <w:p>
      <w:pPr>
        <w:pStyle w:val="Heading1"/>
        <w:pBdr>
          <w:bottom w:val="single" w:color="2D6A4F" w:sz="8" w:space="4"/>
        </w:pBdr>
        <w:spacing w:after="180" w:before="360"/>
      </w:pPr>
      <w:r>
        <w:rPr>
          <w:rFonts w:ascii="Arial" w:cs="Arial" w:eastAsia="Arial" w:hAnsi="Arial"/>
          <w:b/>
          <w:bCs/>
          <w:color w:val="1B4332"/>
          <w:sz w:val="36"/>
          <w:szCs w:val="36"/>
        </w:rPr>
        <w:t xml:space="preserve">4. What Affects Your Dose?</w:t>
      </w:r>
    </w:p>
    <w:p>
      <w:pPr>
        <w:spacing w:after="160"/>
      </w:pPr>
      <w:r>
        <w:rPr>
          <w:rFonts w:ascii="Arial" w:cs="Arial" w:eastAsia="Arial" w:hAnsi="Arial"/>
          <w:color w:val="000000"/>
          <w:sz w:val="20"/>
          <w:szCs w:val="20"/>
        </w:rPr>
        <w:t xml:space="preserve">Multiple variables modulate psilocybin response beyond raw quantity. Understanding these is critical for both research design and therapeutic application.</w:t>
      </w:r>
    </w:p>
    <w:p>
      <w:pPr>
        <w:pStyle w:val="Heading2"/>
        <w:spacing w:after="120" w:before="240"/>
      </w:pPr>
      <w:r>
        <w:rPr>
          <w:rFonts w:ascii="Arial" w:cs="Arial" w:eastAsia="Arial" w:hAnsi="Arial"/>
          <w:b/>
          <w:bCs/>
          <w:color w:val="2D6A4F"/>
          <w:sz w:val="28"/>
          <w:szCs w:val="28"/>
        </w:rPr>
        <w:t xml:space="preserve">Variables That Modulate Psilocybin Response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3780"/>
        <w:gridCol w:w="2880"/>
      </w:tblGrid>
      <w:tr>
        <w:trPr>
          <w:tblHeader/>
        </w:trPr>
        <w:tc>
          <w:tcPr>
            <w:tcW w:type="dxa" w:w="2700"/>
            <w:tcBorders>
              <w:top w:val="single" w:color="2D6A4F" w:sz="1"/>
              <w:left w:val="single" w:color="2D6A4F" w:sz="1"/>
              <w:bottom w:val="single" w:color="2D6A4F" w:sz="1"/>
              <w:right w:val="single" w:color="2D6A4F" w:sz="1"/>
            </w:tcBorders>
            <w:shd w:fill="1B4332"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Variable</w:t>
            </w:r>
          </w:p>
        </w:tc>
        <w:tc>
          <w:tcPr>
            <w:tcW w:type="dxa" w:w="3780"/>
            <w:tcBorders>
              <w:top w:val="single" w:color="2D6A4F" w:sz="1"/>
              <w:left w:val="single" w:color="2D6A4F" w:sz="1"/>
              <w:bottom w:val="single" w:color="2D6A4F" w:sz="1"/>
              <w:right w:val="single" w:color="2D6A4F" w:sz="1"/>
            </w:tcBorders>
            <w:shd w:fill="1B4332"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Effect on Experience</w:t>
            </w:r>
          </w:p>
        </w:tc>
        <w:tc>
          <w:tcPr>
            <w:tcW w:type="dxa" w:w="2880"/>
            <w:tcBorders>
              <w:top w:val="single" w:color="2D6A4F" w:sz="1"/>
              <w:left w:val="single" w:color="2D6A4F" w:sz="1"/>
              <w:bottom w:val="single" w:color="2D6A4F" w:sz="1"/>
              <w:right w:val="single" w:color="2D6A4F" w:sz="1"/>
            </w:tcBorders>
            <w:shd w:fill="1B4332"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Evidence Level</w:t>
            </w:r>
          </w:p>
        </w:tc>
      </w:tr>
      <w:tr>
        <w:tc>
          <w:tcPr>
            <w:tcW w:type="dxa" w:w="2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Mushroom Species / Strain</w:t>
            </w:r>
          </w:p>
        </w:tc>
        <w:tc>
          <w:tcPr>
            <w:tcW w:type="dxa" w:w="37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High variance (0.5–2% psilocybin/g)</w:t>
            </w:r>
          </w:p>
        </w:tc>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Strong ✅</w:t>
            </w:r>
          </w:p>
        </w:tc>
      </w:tr>
      <w:tr>
        <w:tc>
          <w:tcPr>
            <w:tcW w:type="dxa" w:w="2700"/>
            <w:tcBorders>
              <w:top w:val="single" w:color="CCCCCC" w:sz="1"/>
              <w:left w:val="single" w:color="CCCCCC" w:sz="1"/>
              <w:bottom w:val="single" w:color="CCCCCC" w:sz="1"/>
              <w:right w:val="single" w:color="CCCCCC" w:sz="1"/>
            </w:tcBorders>
            <w:shd w:fill="F0FAF4" w:val="clear"/>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Fresh vs. Dried</w:t>
            </w:r>
          </w:p>
        </w:tc>
        <w:tc>
          <w:tcPr>
            <w:tcW w:type="dxa" w:w="3780"/>
            <w:tcBorders>
              <w:top w:val="single" w:color="CCCCCC" w:sz="1"/>
              <w:left w:val="single" w:color="CCCCCC" w:sz="1"/>
              <w:bottom w:val="single" w:color="CCCCCC" w:sz="1"/>
              <w:right w:val="single" w:color="CCCCCC" w:sz="1"/>
            </w:tcBorders>
            <w:shd w:fill="F0FAF4"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Fresh ~10x weight needed</w:t>
            </w:r>
          </w:p>
        </w:tc>
        <w:tc>
          <w:tcPr>
            <w:tcW w:type="dxa" w:w="2880"/>
            <w:tcBorders>
              <w:top w:val="single" w:color="CCCCCC" w:sz="1"/>
              <w:left w:val="single" w:color="CCCCCC" w:sz="1"/>
              <w:bottom w:val="single" w:color="CCCCCC" w:sz="1"/>
              <w:right w:val="single" w:color="CCCCCC" w:sz="1"/>
            </w:tcBorders>
            <w:shd w:fill="F0FAF4"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Strong ✅</w:t>
            </w:r>
          </w:p>
        </w:tc>
      </w:tr>
      <w:tr>
        <w:tc>
          <w:tcPr>
            <w:tcW w:type="dxa" w:w="2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Set (Mindset)</w:t>
            </w:r>
          </w:p>
        </w:tc>
        <w:tc>
          <w:tcPr>
            <w:tcW w:type="dxa" w:w="37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Can shift neutral to transcendent or terrifying</w:t>
            </w:r>
          </w:p>
        </w:tc>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Moderate ✅</w:t>
            </w:r>
          </w:p>
        </w:tc>
      </w:tr>
      <w:tr>
        <w:tc>
          <w:tcPr>
            <w:tcW w:type="dxa" w:w="2700"/>
            <w:tcBorders>
              <w:top w:val="single" w:color="CCCCCC" w:sz="1"/>
              <w:left w:val="single" w:color="CCCCCC" w:sz="1"/>
              <w:bottom w:val="single" w:color="CCCCCC" w:sz="1"/>
              <w:right w:val="single" w:color="CCCCCC" w:sz="1"/>
            </w:tcBorders>
            <w:shd w:fill="F0FAF4" w:val="clear"/>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Setting (Environment)</w:t>
            </w:r>
          </w:p>
        </w:tc>
        <w:tc>
          <w:tcPr>
            <w:tcW w:type="dxa" w:w="3780"/>
            <w:tcBorders>
              <w:top w:val="single" w:color="CCCCCC" w:sz="1"/>
              <w:left w:val="single" w:color="CCCCCC" w:sz="1"/>
              <w:bottom w:val="single" w:color="CCCCCC" w:sz="1"/>
              <w:right w:val="single" w:color="CCCCCC" w:sz="1"/>
            </w:tcBorders>
            <w:shd w:fill="F0FAF4"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Safe setting dramatically reduces bad trips</w:t>
            </w:r>
          </w:p>
        </w:tc>
        <w:tc>
          <w:tcPr>
            <w:tcW w:type="dxa" w:w="2880"/>
            <w:tcBorders>
              <w:top w:val="single" w:color="CCCCCC" w:sz="1"/>
              <w:left w:val="single" w:color="CCCCCC" w:sz="1"/>
              <w:bottom w:val="single" w:color="CCCCCC" w:sz="1"/>
              <w:right w:val="single" w:color="CCCCCC" w:sz="1"/>
            </w:tcBorders>
            <w:shd w:fill="F0FAF4"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Strong ✅</w:t>
            </w:r>
          </w:p>
        </w:tc>
      </w:tr>
      <w:tr>
        <w:tc>
          <w:tcPr>
            <w:tcW w:type="dxa" w:w="2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Prior Psychedelic Experience</w:t>
            </w:r>
          </w:p>
        </w:tc>
        <w:tc>
          <w:tcPr>
            <w:tcW w:type="dxa" w:w="37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Experienced users often need more</w:t>
            </w:r>
          </w:p>
        </w:tc>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Moderate ✅</w:t>
            </w:r>
          </w:p>
        </w:tc>
      </w:tr>
      <w:tr>
        <w:tc>
          <w:tcPr>
            <w:tcW w:type="dxa" w:w="2700"/>
            <w:tcBorders>
              <w:top w:val="single" w:color="CCCCCC" w:sz="1"/>
              <w:left w:val="single" w:color="CCCCCC" w:sz="1"/>
              <w:bottom w:val="single" w:color="CCCCCC" w:sz="1"/>
              <w:right w:val="single" w:color="CCCCCC" w:sz="1"/>
            </w:tcBorders>
            <w:shd w:fill="F0FAF4" w:val="clear"/>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Metabolism / CYP2D6 Status</w:t>
            </w:r>
          </w:p>
        </w:tc>
        <w:tc>
          <w:tcPr>
            <w:tcW w:type="dxa" w:w="3780"/>
            <w:tcBorders>
              <w:top w:val="single" w:color="CCCCCC" w:sz="1"/>
              <w:left w:val="single" w:color="CCCCCC" w:sz="1"/>
              <w:bottom w:val="single" w:color="CCCCCC" w:sz="1"/>
              <w:right w:val="single" w:color="CCCCCC" w:sz="1"/>
            </w:tcBorders>
            <w:shd w:fill="F0FAF4"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Genetic variants affect psilocin processing</w:t>
            </w:r>
          </w:p>
        </w:tc>
        <w:tc>
          <w:tcPr>
            <w:tcW w:type="dxa" w:w="2880"/>
            <w:tcBorders>
              <w:top w:val="single" w:color="CCCCCC" w:sz="1"/>
              <w:left w:val="single" w:color="CCCCCC" w:sz="1"/>
              <w:bottom w:val="single" w:color="CCCCCC" w:sz="1"/>
              <w:right w:val="single" w:color="CCCCCC" w:sz="1"/>
            </w:tcBorders>
            <w:shd w:fill="F0FAF4"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Emerging ⚠</w:t>
            </w:r>
          </w:p>
        </w:tc>
      </w:tr>
      <w:tr>
        <w:tc>
          <w:tcPr>
            <w:tcW w:type="dxa" w:w="2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DC3545"/>
                <w:sz w:val="18"/>
                <w:szCs w:val="18"/>
              </w:rPr>
              <w:t xml:space="preserve">SSRI/SNRI Use</w:t>
            </w:r>
          </w:p>
        </w:tc>
        <w:tc>
          <w:tcPr>
            <w:tcW w:type="dxa" w:w="37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Significantly blunts or unpredictably alters effects</w:t>
            </w:r>
          </w:p>
        </w:tc>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Strong ✅</w:t>
            </w:r>
          </w:p>
        </w:tc>
      </w:tr>
      <w:tr>
        <w:tc>
          <w:tcPr>
            <w:tcW w:type="dxa" w:w="2700"/>
            <w:tcBorders>
              <w:top w:val="single" w:color="CCCCCC" w:sz="1"/>
              <w:left w:val="single" w:color="CCCCCC" w:sz="1"/>
              <w:bottom w:val="single" w:color="CCCCCC" w:sz="1"/>
              <w:right w:val="single" w:color="CCCCCC" w:sz="1"/>
            </w:tcBorders>
            <w:shd w:fill="F0FAF4" w:val="clear"/>
            <w:tcMar>
              <w:top w:type="dxa" w:w="80"/>
              <w:left w:type="dxa" w:w="120"/>
              <w:bottom w:type="dxa" w:w="80"/>
              <w:right w:type="dxa" w:w="120"/>
            </w:tcMar>
            <w:vAlign w:val="center"/>
          </w:tcPr>
          <w:p>
            <w:pPr>
              <w:jc w:val="left"/>
            </w:pPr>
            <w:r>
              <w:rPr>
                <w:rFonts w:ascii="Arial" w:cs="Arial" w:eastAsia="Arial" w:hAnsi="Arial"/>
                <w:b/>
                <w:bCs/>
                <w:color w:val="DC3545"/>
                <w:sz w:val="18"/>
                <w:szCs w:val="18"/>
              </w:rPr>
              <w:t xml:space="preserve">MAOIs</w:t>
            </w:r>
          </w:p>
        </w:tc>
        <w:tc>
          <w:tcPr>
            <w:tcW w:type="dxa" w:w="3780"/>
            <w:tcBorders>
              <w:top w:val="single" w:color="CCCCCC" w:sz="1"/>
              <w:left w:val="single" w:color="CCCCCC" w:sz="1"/>
              <w:bottom w:val="single" w:color="CCCCCC" w:sz="1"/>
              <w:right w:val="single" w:color="CCCCCC" w:sz="1"/>
            </w:tcBorders>
            <w:shd w:fill="F0FAF4"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Can dramatically amplify — DANGEROUS</w:t>
            </w:r>
          </w:p>
        </w:tc>
        <w:tc>
          <w:tcPr>
            <w:tcW w:type="dxa" w:w="2880"/>
            <w:tcBorders>
              <w:top w:val="single" w:color="CCCCCC" w:sz="1"/>
              <w:left w:val="single" w:color="CCCCCC" w:sz="1"/>
              <w:bottom w:val="single" w:color="CCCCCC" w:sz="1"/>
              <w:right w:val="single" w:color="CCCCCC" w:sz="1"/>
            </w:tcBorders>
            <w:shd w:fill="F0FAF4"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Strong ✅</w:t>
            </w:r>
          </w:p>
        </w:tc>
      </w:tr>
      <w:tr>
        <w:tc>
          <w:tcPr>
            <w:tcW w:type="dxa" w:w="2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Empty vs. Full Stomach</w:t>
            </w:r>
          </w:p>
        </w:tc>
        <w:tc>
          <w:tcPr>
            <w:tcW w:type="dxa" w:w="37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Faster onset + more intensity on empty stomach</w:t>
            </w:r>
          </w:p>
        </w:tc>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Moderate ✅</w:t>
            </w:r>
          </w:p>
        </w:tc>
      </w:tr>
      <w:tr>
        <w:tc>
          <w:tcPr>
            <w:tcW w:type="dxa" w:w="2700"/>
            <w:tcBorders>
              <w:top w:val="single" w:color="CCCCCC" w:sz="1"/>
              <w:left w:val="single" w:color="CCCCCC" w:sz="1"/>
              <w:bottom w:val="single" w:color="CCCCCC" w:sz="1"/>
              <w:right w:val="single" w:color="CCCCCC" w:sz="1"/>
            </w:tcBorders>
            <w:shd w:fill="F0FAF4" w:val="clear"/>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Body Weight</w:t>
            </w:r>
          </w:p>
        </w:tc>
        <w:tc>
          <w:tcPr>
            <w:tcW w:type="dxa" w:w="3780"/>
            <w:tcBorders>
              <w:top w:val="single" w:color="CCCCCC" w:sz="1"/>
              <w:left w:val="single" w:color="CCCCCC" w:sz="1"/>
              <w:bottom w:val="single" w:color="CCCCCC" w:sz="1"/>
              <w:right w:val="single" w:color="CCCCCC" w:sz="1"/>
            </w:tcBorders>
            <w:shd w:fill="F0FAF4"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Surprisingly minor role (see Section 5)</w:t>
            </w:r>
          </w:p>
        </w:tc>
        <w:tc>
          <w:tcPr>
            <w:tcW w:type="dxa" w:w="2880"/>
            <w:tcBorders>
              <w:top w:val="single" w:color="CCCCCC" w:sz="1"/>
              <w:left w:val="single" w:color="CCCCCC" w:sz="1"/>
              <w:bottom w:val="single" w:color="CCCCCC" w:sz="1"/>
              <w:right w:val="single" w:color="CCCCCC" w:sz="1"/>
            </w:tcBorders>
            <w:shd w:fill="F0FAF4"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Strong ✅</w:t>
            </w:r>
          </w:p>
        </w:tc>
      </w:tr>
      <w:tr>
        <w:tc>
          <w:tcPr>
            <w:tcW w:type="dxa" w:w="2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Age</w:t>
            </w:r>
          </w:p>
        </w:tc>
        <w:tc>
          <w:tcPr>
            <w:tcW w:type="dxa" w:w="37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Older adults may be more sensitive</w:t>
            </w:r>
          </w:p>
        </w:tc>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Emerging ⚠</w:t>
            </w:r>
          </w:p>
        </w:tc>
      </w:tr>
      <w:tr>
        <w:tc>
          <w:tcPr>
            <w:tcW w:type="dxa" w:w="2700"/>
            <w:tcBorders>
              <w:top w:val="single" w:color="CCCCCC" w:sz="1"/>
              <w:left w:val="single" w:color="CCCCCC" w:sz="1"/>
              <w:bottom w:val="single" w:color="CCCCCC" w:sz="1"/>
              <w:right w:val="single" w:color="CCCCCC" w:sz="1"/>
            </w:tcBorders>
            <w:shd w:fill="F0FAF4" w:val="clear"/>
            <w:tcMar>
              <w:top w:type="dxa" w:w="80"/>
              <w:left w:type="dxa" w:w="120"/>
              <w:bottom w:type="dxa" w:w="80"/>
              <w:right w:type="dxa" w:w="120"/>
            </w:tcMar>
            <w:vAlign w:val="center"/>
          </w:tcPr>
          <w:p>
            <w:pPr>
              <w:jc w:val="left"/>
            </w:pPr>
            <w:r>
              <w:rPr>
                <w:rFonts w:ascii="Arial" w:cs="Arial" w:eastAsia="Arial" w:hAnsi="Arial"/>
                <w:b/>
                <w:bCs/>
                <w:color w:val="DC3545"/>
                <w:sz w:val="18"/>
                <w:szCs w:val="18"/>
              </w:rPr>
              <w:t xml:space="preserve">Anxiety / Mental State</w:t>
            </w:r>
          </w:p>
        </w:tc>
        <w:tc>
          <w:tcPr>
            <w:tcW w:type="dxa" w:w="3780"/>
            <w:tcBorders>
              <w:top w:val="single" w:color="CCCCCC" w:sz="1"/>
              <w:left w:val="single" w:color="CCCCCC" w:sz="1"/>
              <w:bottom w:val="single" w:color="CCCCCC" w:sz="1"/>
              <w:right w:val="single" w:color="CCCCCC" w:sz="1"/>
            </w:tcBorders>
            <w:shd w:fill="F0FAF4"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High baseline anxiety = higher bad trip risk</w:t>
            </w:r>
          </w:p>
        </w:tc>
        <w:tc>
          <w:tcPr>
            <w:tcW w:type="dxa" w:w="2880"/>
            <w:tcBorders>
              <w:top w:val="single" w:color="CCCCCC" w:sz="1"/>
              <w:left w:val="single" w:color="CCCCCC" w:sz="1"/>
              <w:bottom w:val="single" w:color="CCCCCC" w:sz="1"/>
              <w:right w:val="single" w:color="CCCCCC" w:sz="1"/>
            </w:tcBorders>
            <w:shd w:fill="F0FAF4"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Strong ✅</w:t>
            </w:r>
          </w:p>
        </w:tc>
      </w:tr>
    </w:tbl>
    <w:p>
      <w:pPr>
        <w:spacing w:after="60"/>
      </w:pPr>
      <w:r>
        <w:t xml:space="preserve"/>
      </w:r>
    </w:p>
    <w:p>
      <w:pPr>
        <w:spacing w:after="160"/>
      </w:pPr>
      <w:r>
        <w:rPr>
          <w:rFonts w:ascii="Arial" w:cs="Arial" w:eastAsia="Arial" w:hAnsi="Arial"/>
          <w:color w:val="000000"/>
          <w:sz w:val="20"/>
          <w:szCs w:val="20"/>
        </w:rPr>
        <w:t xml:space="preserve">Psilocin metabolism is primarily mediated by CYP2D6 and CYP3A4, with secondary contributions from monoamine oxidase A. Elimination half-life varies across studies, ranging from 1.5 to 4 hours.</w:t>
      </w:r>
    </w:p>
    <w:p>
      <w:pPr>
        <w:spacing w:after="80"/>
      </w:pPr>
      <w:r>
        <w:rPr>
          <w:rFonts w:ascii="Arial" w:cs="Arial" w:eastAsia="Arial" w:hAnsi="Arial"/>
          <w:b/>
          <w:bCs/>
          <w:color w:val="2D6A4F"/>
          <w:sz w:val="18"/>
          <w:szCs w:val="18"/>
        </w:rPr>
        <w:t xml:space="preserve">📎 Source: </w:t>
      </w:r>
      <w:r>
        <w:rPr>
          <w:rFonts w:ascii="Arial" w:cs="Arial" w:eastAsia="Arial" w:hAnsi="Arial"/>
          <w:i/>
          <w:iCs/>
          <w:color w:val="666666"/>
          <w:sz w:val="18"/>
          <w:szCs w:val="18"/>
        </w:rPr>
        <w:t xml:space="preserve">Pharmacokinetics Systematic Review 2025 — https://www.ncbi.nlm.nih.gov/pmc/articles/PMC12030428/</w:t>
      </w:r>
    </w:p>
    <w:p>
      <w:pPr>
        <w:spacing w:after="60"/>
      </w:pPr>
      <w:r>
        <w:t xml:space="preserve"/>
      </w:r>
    </w:p>
    <w:p>
      <w:pPr>
        <w:pStyle w:val="Heading1"/>
        <w:pBdr>
          <w:bottom w:val="single" w:color="2D6A4F" w:sz="8" w:space="4"/>
        </w:pBdr>
        <w:spacing w:after="180" w:before="360"/>
      </w:pPr>
      <w:r>
        <w:rPr>
          <w:rFonts w:ascii="Arial" w:cs="Arial" w:eastAsia="Arial" w:hAnsi="Arial"/>
          <w:b/>
          <w:bCs/>
          <w:color w:val="1B4332"/>
          <w:sz w:val="36"/>
          <w:szCs w:val="36"/>
        </w:rPr>
        <w:t xml:space="preserve">5. How Does Body Weight Affect the Dosage?</w:t>
      </w:r>
    </w:p>
    <w:p>
      <w:pPr>
        <w:spacing w:after="160"/>
      </w:pPr>
      <w:r>
        <w:rPr>
          <w:rFonts w:ascii="Arial" w:cs="Arial" w:eastAsia="Arial" w:hAnsi="Arial"/>
          <w:color w:val="000000"/>
          <w:sz w:val="20"/>
          <w:szCs w:val="20"/>
        </w:rPr>
        <w:t xml:space="preserve">Body weight has less impact than you'd expect — and science has largely overturned the assumption that heavier people always need more. Post hoc analyses of pooled data from ten studies at Johns Hopkins University School of Medicine (N = 288) found NO significant associations between age, race, sex, or weight and psilocybin subjective effects across a body weight range of 49 to 113 kg.</w:t>
      </w:r>
    </w:p>
    <w:p>
      <w:pPr>
        <w:spacing w:after="160"/>
      </w:pPr>
      <w:r>
        <w:rPr>
          <w:rFonts w:ascii="Arial" w:cs="Arial" w:eastAsia="Arial" w:hAnsi="Arial"/>
          <w:color w:val="000000"/>
          <w:sz w:val="20"/>
          <w:szCs w:val="20"/>
        </w:rPr>
        <w:t xml:space="preserve">Imperial College London's pooled analysis across three recent studies with a fixed 25 mg dose also found no evidence that BMI predicts overall intensity of the altered state, mystical-type experiences, perceptual changes, or emotional breakthroughs.</w:t>
      </w:r>
    </w:p>
    <w:p>
      <w:pPr>
        <w:pStyle w:val="Heading2"/>
        <w:spacing w:after="120" w:before="240"/>
      </w:pPr>
      <w:r>
        <w:rPr>
          <w:rFonts w:ascii="Arial" w:cs="Arial" w:eastAsia="Arial" w:hAnsi="Arial"/>
          <w:b/>
          <w:bCs/>
          <w:color w:val="2D6A4F"/>
          <w:sz w:val="28"/>
          <w:szCs w:val="28"/>
        </w:rPr>
        <w:t xml:space="preserve">Fixed Dose vs. Weight-Adjusted Dosing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3510"/>
        <w:gridCol w:w="3510"/>
      </w:tblGrid>
      <w:tr>
        <w:trPr>
          <w:tblHeader/>
        </w:trPr>
        <w:tc>
          <w:tcPr>
            <w:tcW w:type="dxa" w:w="2340"/>
            <w:tcBorders>
              <w:top w:val="single" w:color="2D6A4F" w:sz="1"/>
              <w:left w:val="single" w:color="2D6A4F" w:sz="1"/>
              <w:bottom w:val="single" w:color="2D6A4F" w:sz="1"/>
              <w:right w:val="single" w:color="2D6A4F" w:sz="1"/>
            </w:tcBorders>
            <w:shd w:fill="1B4332"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Approach</w:t>
            </w:r>
          </w:p>
        </w:tc>
        <w:tc>
          <w:tcPr>
            <w:tcW w:type="dxa" w:w="3510"/>
            <w:tcBorders>
              <w:top w:val="single" w:color="2D6A4F" w:sz="1"/>
              <w:left w:val="single" w:color="2D6A4F" w:sz="1"/>
              <w:bottom w:val="single" w:color="2D6A4F" w:sz="1"/>
              <w:right w:val="single" w:color="2D6A4F" w:sz="1"/>
            </w:tcBorders>
            <w:shd w:fill="1B4332"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Description</w:t>
            </w:r>
          </w:p>
        </w:tc>
        <w:tc>
          <w:tcPr>
            <w:tcW w:type="dxa" w:w="3510"/>
            <w:tcBorders>
              <w:top w:val="single" w:color="2D6A4F" w:sz="1"/>
              <w:left w:val="single" w:color="2D6A4F" w:sz="1"/>
              <w:bottom w:val="single" w:color="2D6A4F" w:sz="1"/>
              <w:right w:val="single" w:color="2D6A4F" w:sz="1"/>
            </w:tcBorders>
            <w:shd w:fill="1B4332"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Current Consensus</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Weight-Adjusted (mg/kg)</w:t>
            </w:r>
          </w:p>
        </w:tc>
        <w:tc>
          <w:tcPr>
            <w:tcW w:type="dxa" w:w="351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Historical clinical standard: 0.2–0.4 mg/kg</w:t>
            </w:r>
          </w:p>
        </w:tc>
        <w:tc>
          <w:tcPr>
            <w:tcW w:type="dxa" w:w="351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Largely replaced in current trials</w:t>
            </w:r>
          </w:p>
        </w:tc>
      </w:tr>
      <w:tr>
        <w:tc>
          <w:tcPr>
            <w:tcW w:type="dxa" w:w="2340"/>
            <w:tcBorders>
              <w:top w:val="single" w:color="CCCCCC" w:sz="1"/>
              <w:left w:val="single" w:color="CCCCCC" w:sz="1"/>
              <w:bottom w:val="single" w:color="CCCCCC" w:sz="1"/>
              <w:right w:val="single" w:color="CCCCCC" w:sz="1"/>
            </w:tcBorders>
            <w:shd w:fill="F0FAF4" w:val="clear"/>
            <w:tcMar>
              <w:top w:type="dxa" w:w="80"/>
              <w:left w:type="dxa" w:w="120"/>
              <w:bottom w:type="dxa" w:w="80"/>
              <w:right w:type="dxa" w:w="120"/>
            </w:tcMar>
            <w:vAlign w:val="center"/>
          </w:tcPr>
          <w:p>
            <w:pPr>
              <w:jc w:val="left"/>
            </w:pPr>
            <w:r>
              <w:rPr>
                <w:rFonts w:ascii="Arial" w:cs="Arial" w:eastAsia="Arial" w:hAnsi="Arial"/>
                <w:b/>
                <w:bCs/>
                <w:color w:val="1B4332"/>
                <w:sz w:val="18"/>
                <w:szCs w:val="18"/>
              </w:rPr>
              <w:t xml:space="preserve">Fixed Dose</w:t>
            </w:r>
          </w:p>
        </w:tc>
        <w:tc>
          <w:tcPr>
            <w:tcW w:type="dxa" w:w="3510"/>
            <w:tcBorders>
              <w:top w:val="single" w:color="CCCCCC" w:sz="1"/>
              <w:left w:val="single" w:color="CCCCCC" w:sz="1"/>
              <w:bottom w:val="single" w:color="CCCCCC" w:sz="1"/>
              <w:right w:val="single" w:color="CCCCCC" w:sz="1"/>
            </w:tcBorders>
            <w:shd w:fill="F0FAF4"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25 mg psilocybin (~2.5 g dried cubensis)</w:t>
            </w:r>
          </w:p>
        </w:tc>
        <w:tc>
          <w:tcPr>
            <w:tcW w:type="dxa" w:w="3510"/>
            <w:tcBorders>
              <w:top w:val="single" w:color="CCCCCC" w:sz="1"/>
              <w:left w:val="single" w:color="CCCCCC" w:sz="1"/>
              <w:bottom w:val="single" w:color="CCCCCC" w:sz="1"/>
              <w:right w:val="single" w:color="CCCCCC" w:sz="1"/>
            </w:tcBorders>
            <w:shd w:fill="F0FAF4"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Now the dominant approach</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Why Fixed Works</w:t>
            </w:r>
          </w:p>
        </w:tc>
        <w:tc>
          <w:tcPr>
            <w:tcW w:type="dxa" w:w="351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Psilocybin's primary target (5-HT2A) doesn't scale linearly with body mass</w:t>
            </w:r>
          </w:p>
        </w:tc>
        <w:tc>
          <w:tcPr>
            <w:tcW w:type="dxa" w:w="351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Confirmed by Hopkins + Imperial College</w:t>
            </w:r>
          </w:p>
        </w:tc>
      </w:tr>
    </w:tbl>
    <w:p>
      <w:pPr>
        <w:spacing w:after="60"/>
      </w:pPr>
      <w:r>
        <w:t xml:space="preserve"/>
      </w:r>
    </w:p>
    <w:p>
      <w:pPr>
        <w:spacing w:after="80"/>
      </w:pPr>
      <w:r>
        <w:rPr>
          <w:rFonts w:ascii="Arial" w:cs="Arial" w:eastAsia="Arial" w:hAnsi="Arial"/>
          <w:b/>
          <w:bCs/>
          <w:color w:val="2D6A4F"/>
          <w:sz w:val="18"/>
          <w:szCs w:val="18"/>
        </w:rPr>
        <w:t xml:space="preserve">📎 Source: </w:t>
      </w:r>
      <w:r>
        <w:rPr>
          <w:rFonts w:ascii="Arial" w:cs="Arial" w:eastAsia="Arial" w:hAnsi="Arial"/>
          <w:i/>
          <w:iCs/>
          <w:color w:val="666666"/>
          <w:sz w:val="18"/>
          <w:szCs w:val="18"/>
        </w:rPr>
        <w:t xml:space="preserve">Johns Hopkins Optimal Dosing Study — https://pmc.ncbi.nlm.nih.gov/articles/PMC8056712/</w:t>
      </w:r>
    </w:p>
    <w:p>
      <w:pPr>
        <w:spacing w:after="80"/>
      </w:pPr>
      <w:r>
        <w:rPr>
          <w:rFonts w:ascii="Arial" w:cs="Arial" w:eastAsia="Arial" w:hAnsi="Arial"/>
          <w:b/>
          <w:bCs/>
          <w:color w:val="2D6A4F"/>
          <w:sz w:val="18"/>
          <w:szCs w:val="18"/>
        </w:rPr>
        <w:t xml:space="preserve">📎 Source: </w:t>
      </w:r>
      <w:r>
        <w:rPr>
          <w:rFonts w:ascii="Arial" w:cs="Arial" w:eastAsia="Arial" w:hAnsi="Arial"/>
          <w:i/>
          <w:iCs/>
          <w:color w:val="666666"/>
          <w:sz w:val="18"/>
          <w:szCs w:val="18"/>
        </w:rPr>
        <w:t xml:space="preserve">Imperial College BMI Study — https://pmc.ncbi.nlm.nih.gov/articles/PMC9834321/</w:t>
      </w:r>
    </w:p>
    <w:p>
      <w:pPr>
        <w:spacing w:after="60"/>
      </w:pPr>
      <w:r>
        <w:t xml:space="preserve"/>
      </w:r>
    </w:p>
    <w:p>
      <w:pPr>
        <w:pStyle w:val="Heading1"/>
        <w:pBdr>
          <w:bottom w:val="single" w:color="2D6A4F" w:sz="8" w:space="4"/>
        </w:pBdr>
        <w:spacing w:after="180" w:before="360"/>
      </w:pPr>
      <w:r>
        <w:rPr>
          <w:rFonts w:ascii="Arial" w:cs="Arial" w:eastAsia="Arial" w:hAnsi="Arial"/>
          <w:b/>
          <w:bCs/>
          <w:color w:val="1B4332"/>
          <w:sz w:val="36"/>
          <w:szCs w:val="36"/>
        </w:rPr>
        <w:t xml:space="preserve">6. The Measurement Used to Calculate Dose (mg/kg)</w:t>
      </w:r>
    </w:p>
    <w:p>
      <w:pPr>
        <w:spacing w:after="160"/>
      </w:pPr>
      <w:r>
        <w:rPr>
          <w:rFonts w:ascii="Arial" w:cs="Arial" w:eastAsia="Arial" w:hAnsi="Arial"/>
          <w:color w:val="000000"/>
          <w:sz w:val="20"/>
          <w:szCs w:val="20"/>
        </w:rPr>
        <w:t xml:space="preserve">The clinical standard historically used was mg/kg — milligrams of pure psilocybin per kilogram of body weight. This is the standard pharmacological measure used for nearly all drugs in clinical research. Many earlier psilocybin trials initially dosed using body weight, with doses generally ranging from 0.2–0.4 mg/kg per session.</w:t>
      </w:r>
    </w:p>
    <w:p>
      <w:pPr>
        <w:spacing w:after="160"/>
      </w:pPr>
      <w:r>
        <w:rPr>
          <w:rFonts w:ascii="Arial" w:cs="Arial" w:eastAsia="Arial" w:hAnsi="Arial"/>
          <w:color w:val="000000"/>
          <w:sz w:val="20"/>
          <w:szCs w:val="20"/>
        </w:rPr>
        <w:t xml:space="preserve">Current clinical trial protocols have switched to using a fixed psilocybin dose, most commonly 25 mg, which is consistent with the previous 0.3 mg/kg weight-based dosing. The fixed 25 mg dose approach has been validated in a secondary analysis of prior trial data.</w:t>
      </w:r>
    </w:p>
    <w:p>
      <w:pPr>
        <w:pStyle w:val="Heading2"/>
        <w:spacing w:after="120" w:before="240"/>
      </w:pPr>
      <w:r>
        <w:rPr>
          <w:rFonts w:ascii="Arial" w:cs="Arial" w:eastAsia="Arial" w:hAnsi="Arial"/>
          <w:b/>
          <w:bCs/>
          <w:color w:val="2D6A4F"/>
          <w:sz w:val="28"/>
          <w:szCs w:val="28"/>
        </w:rPr>
        <w:t xml:space="preserve">The mg/kg Reference Framework (For Research)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1560"/>
        <w:gridCol w:w="2340"/>
        <w:gridCol w:w="3120"/>
      </w:tblGrid>
      <w:tr>
        <w:trPr>
          <w:tblHeader/>
        </w:trPr>
        <w:tc>
          <w:tcPr>
            <w:tcW w:type="dxa" w:w="2340"/>
            <w:tcBorders>
              <w:top w:val="single" w:color="2D6A4F" w:sz="1"/>
              <w:left w:val="single" w:color="2D6A4F" w:sz="1"/>
              <w:bottom w:val="single" w:color="2D6A4F" w:sz="1"/>
              <w:right w:val="single" w:color="2D6A4F" w:sz="1"/>
            </w:tcBorders>
            <w:shd w:fill="1B4332"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Dose Category</w:t>
            </w:r>
          </w:p>
        </w:tc>
        <w:tc>
          <w:tcPr>
            <w:tcW w:type="dxa" w:w="1560"/>
            <w:tcBorders>
              <w:top w:val="single" w:color="2D6A4F" w:sz="1"/>
              <w:left w:val="single" w:color="2D6A4F" w:sz="1"/>
              <w:bottom w:val="single" w:color="2D6A4F" w:sz="1"/>
              <w:right w:val="single" w:color="2D6A4F" w:sz="1"/>
            </w:tcBorders>
            <w:shd w:fill="1B4332"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mg/kg</w:t>
            </w:r>
          </w:p>
        </w:tc>
        <w:tc>
          <w:tcPr>
            <w:tcW w:type="dxa" w:w="2340"/>
            <w:tcBorders>
              <w:top w:val="single" w:color="2D6A4F" w:sz="1"/>
              <w:left w:val="single" w:color="2D6A4F" w:sz="1"/>
              <w:bottom w:val="single" w:color="2D6A4F" w:sz="1"/>
              <w:right w:val="single" w:color="2D6A4F" w:sz="1"/>
            </w:tcBorders>
            <w:shd w:fill="1B4332"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Equiv. for 70 kg Person</w:t>
            </w:r>
          </w:p>
        </w:tc>
        <w:tc>
          <w:tcPr>
            <w:tcW w:type="dxa" w:w="3120"/>
            <w:tcBorders>
              <w:top w:val="single" w:color="2D6A4F" w:sz="1"/>
              <w:left w:val="single" w:color="2D6A4F" w:sz="1"/>
              <w:bottom w:val="single" w:color="2D6A4F" w:sz="1"/>
              <w:right w:val="single" w:color="2D6A4F" w:sz="1"/>
            </w:tcBorders>
            <w:shd w:fill="1B4332"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Dried Mushroom (~1% psilocybin)</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Perceptual threshold</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0.043</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~3 mg</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~0.3 g</w:t>
            </w:r>
          </w:p>
        </w:tc>
      </w:tr>
      <w:tr>
        <w:tc>
          <w:tcPr>
            <w:tcW w:type="dxa" w:w="2340"/>
            <w:tcBorders>
              <w:top w:val="single" w:color="CCCCCC" w:sz="1"/>
              <w:left w:val="single" w:color="CCCCCC" w:sz="1"/>
              <w:bottom w:val="single" w:color="CCCCCC" w:sz="1"/>
              <w:right w:val="single" w:color="CCCCCC" w:sz="1"/>
            </w:tcBorders>
            <w:shd w:fill="F0FAF4"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Low therapeutic</w:t>
            </w:r>
          </w:p>
        </w:tc>
        <w:tc>
          <w:tcPr>
            <w:tcW w:type="dxa" w:w="1560"/>
            <w:tcBorders>
              <w:top w:val="single" w:color="CCCCCC" w:sz="1"/>
              <w:left w:val="single" w:color="CCCCCC" w:sz="1"/>
              <w:bottom w:val="single" w:color="CCCCCC" w:sz="1"/>
              <w:right w:val="single" w:color="CCCCCC" w:sz="1"/>
            </w:tcBorders>
            <w:shd w:fill="F0FAF4"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0.143</w:t>
            </w:r>
          </w:p>
        </w:tc>
        <w:tc>
          <w:tcPr>
            <w:tcW w:type="dxa" w:w="2340"/>
            <w:tcBorders>
              <w:top w:val="single" w:color="CCCCCC" w:sz="1"/>
              <w:left w:val="single" w:color="CCCCCC" w:sz="1"/>
              <w:bottom w:val="single" w:color="CCCCCC" w:sz="1"/>
              <w:right w:val="single" w:color="CCCCCC" w:sz="1"/>
            </w:tcBorders>
            <w:shd w:fill="F0FAF4"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~10 mg</w:t>
            </w:r>
          </w:p>
        </w:tc>
        <w:tc>
          <w:tcPr>
            <w:tcW w:type="dxa" w:w="3120"/>
            <w:tcBorders>
              <w:top w:val="single" w:color="CCCCCC" w:sz="1"/>
              <w:left w:val="single" w:color="CCCCCC" w:sz="1"/>
              <w:bottom w:val="single" w:color="CCCCCC" w:sz="1"/>
              <w:right w:val="single" w:color="CCCCCC" w:sz="1"/>
            </w:tcBorders>
            <w:shd w:fill="F0FAF4"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~1.0 g</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Moderate therapeutic</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0.286</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~20 mg</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~2.0 g</w:t>
            </w:r>
          </w:p>
        </w:tc>
      </w:tr>
      <w:tr>
        <w:tc>
          <w:tcPr>
            <w:tcW w:type="dxa" w:w="2340"/>
            <w:tcBorders>
              <w:top w:val="single" w:color="CCCCCC" w:sz="1"/>
              <w:left w:val="single" w:color="CCCCCC" w:sz="1"/>
              <w:bottom w:val="single" w:color="CCCCCC" w:sz="1"/>
              <w:right w:val="single" w:color="CCCCCC" w:sz="1"/>
            </w:tcBorders>
            <w:shd w:fill="F0FAF4" w:val="clear"/>
            <w:tcMar>
              <w:top w:type="dxa" w:w="80"/>
              <w:left w:type="dxa" w:w="120"/>
              <w:bottom w:type="dxa" w:w="80"/>
              <w:right w:type="dxa" w:w="120"/>
            </w:tcMar>
            <w:vAlign w:val="center"/>
          </w:tcPr>
          <w:p>
            <w:pPr>
              <w:jc w:val="left"/>
            </w:pPr>
            <w:r>
              <w:rPr>
                <w:rFonts w:ascii="Arial" w:cs="Arial" w:eastAsia="Arial" w:hAnsi="Arial"/>
                <w:b/>
                <w:bCs/>
                <w:color w:val="1B4332"/>
                <w:sz w:val="18"/>
                <w:szCs w:val="18"/>
              </w:rPr>
              <w:t xml:space="preserve">Standard therapeutic (current)</w:t>
            </w:r>
          </w:p>
        </w:tc>
        <w:tc>
          <w:tcPr>
            <w:tcW w:type="dxa" w:w="1560"/>
            <w:tcBorders>
              <w:top w:val="single" w:color="CCCCCC" w:sz="1"/>
              <w:left w:val="single" w:color="CCCCCC" w:sz="1"/>
              <w:bottom w:val="single" w:color="CCCCCC" w:sz="1"/>
              <w:right w:val="single" w:color="CCCCCC" w:sz="1"/>
            </w:tcBorders>
            <w:shd w:fill="F0FAF4" w:val="clear"/>
            <w:tcMar>
              <w:top w:type="dxa" w:w="80"/>
              <w:left w:type="dxa" w:w="120"/>
              <w:bottom w:type="dxa" w:w="80"/>
              <w:right w:type="dxa" w:w="120"/>
            </w:tcMar>
            <w:vAlign w:val="center"/>
          </w:tcPr>
          <w:p>
            <w:pPr>
              <w:jc w:val="left"/>
            </w:pPr>
            <w:r>
              <w:rPr>
                <w:rFonts w:ascii="Arial" w:cs="Arial" w:eastAsia="Arial" w:hAnsi="Arial"/>
                <w:b/>
                <w:bCs/>
                <w:color w:val="1B4332"/>
                <w:sz w:val="18"/>
                <w:szCs w:val="18"/>
              </w:rPr>
              <w:t xml:space="preserve">0.357</w:t>
            </w:r>
          </w:p>
        </w:tc>
        <w:tc>
          <w:tcPr>
            <w:tcW w:type="dxa" w:w="2340"/>
            <w:tcBorders>
              <w:top w:val="single" w:color="CCCCCC" w:sz="1"/>
              <w:left w:val="single" w:color="CCCCCC" w:sz="1"/>
              <w:bottom w:val="single" w:color="CCCCCC" w:sz="1"/>
              <w:right w:val="single" w:color="CCCCCC" w:sz="1"/>
            </w:tcBorders>
            <w:shd w:fill="F0FAF4" w:val="clear"/>
            <w:tcMar>
              <w:top w:type="dxa" w:w="80"/>
              <w:left w:type="dxa" w:w="120"/>
              <w:bottom w:type="dxa" w:w="80"/>
              <w:right w:type="dxa" w:w="120"/>
            </w:tcMar>
            <w:vAlign w:val="center"/>
          </w:tcPr>
          <w:p>
            <w:pPr>
              <w:jc w:val="left"/>
            </w:pPr>
            <w:r>
              <w:rPr>
                <w:rFonts w:ascii="Arial" w:cs="Arial" w:eastAsia="Arial" w:hAnsi="Arial"/>
                <w:b/>
                <w:bCs/>
                <w:color w:val="1B4332"/>
                <w:sz w:val="18"/>
                <w:szCs w:val="18"/>
              </w:rPr>
              <w:t xml:space="preserve">~25 mg</w:t>
            </w:r>
          </w:p>
        </w:tc>
        <w:tc>
          <w:tcPr>
            <w:tcW w:type="dxa" w:w="3120"/>
            <w:tcBorders>
              <w:top w:val="single" w:color="CCCCCC" w:sz="1"/>
              <w:left w:val="single" w:color="CCCCCC" w:sz="1"/>
              <w:bottom w:val="single" w:color="CCCCCC" w:sz="1"/>
              <w:right w:val="single" w:color="CCCCCC" w:sz="1"/>
            </w:tcBorders>
            <w:shd w:fill="F0FAF4" w:val="clear"/>
            <w:tcMar>
              <w:top w:type="dxa" w:w="80"/>
              <w:left w:type="dxa" w:w="120"/>
              <w:bottom w:type="dxa" w:w="80"/>
              <w:right w:type="dxa" w:w="120"/>
            </w:tcMar>
            <w:vAlign w:val="center"/>
          </w:tcPr>
          <w:p>
            <w:pPr>
              <w:jc w:val="left"/>
            </w:pPr>
            <w:r>
              <w:rPr>
                <w:rFonts w:ascii="Arial" w:cs="Arial" w:eastAsia="Arial" w:hAnsi="Arial"/>
                <w:b/>
                <w:bCs/>
                <w:color w:val="1B4332"/>
                <w:sz w:val="18"/>
                <w:szCs w:val="18"/>
              </w:rPr>
              <w:t xml:space="preserve">~2.5 g</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High therapeutic</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0.43</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~30 mg</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~3.0 g</w:t>
            </w:r>
          </w:p>
        </w:tc>
      </w:tr>
      <w:tr>
        <w:tc>
          <w:tcPr>
            <w:tcW w:type="dxa" w:w="2340"/>
            <w:tcBorders>
              <w:top w:val="single" w:color="CCCCCC" w:sz="1"/>
              <w:left w:val="single" w:color="CCCCCC" w:sz="1"/>
              <w:bottom w:val="single" w:color="CCCCCC" w:sz="1"/>
              <w:right w:val="single" w:color="CCCCCC" w:sz="1"/>
            </w:tcBorders>
            <w:shd w:fill="F0FAF4" w:val="clear"/>
            <w:tcMar>
              <w:top w:type="dxa" w:w="80"/>
              <w:left w:type="dxa" w:w="120"/>
              <w:bottom w:type="dxa" w:w="80"/>
              <w:right w:type="dxa" w:w="120"/>
            </w:tcMar>
            <w:vAlign w:val="center"/>
          </w:tcPr>
          <w:p>
            <w:pPr>
              <w:jc w:val="left"/>
            </w:pPr>
            <w:r>
              <w:rPr>
                <w:rFonts w:ascii="Arial" w:cs="Arial" w:eastAsia="Arial" w:hAnsi="Arial"/>
                <w:b w:val="false"/>
                <w:bCs w:val="false"/>
                <w:color w:val="DC3545"/>
                <w:sz w:val="18"/>
                <w:szCs w:val="18"/>
              </w:rPr>
              <w:t xml:space="preserve">Research maximum</w:t>
            </w:r>
          </w:p>
        </w:tc>
        <w:tc>
          <w:tcPr>
            <w:tcW w:type="dxa" w:w="1560"/>
            <w:tcBorders>
              <w:top w:val="single" w:color="CCCCCC" w:sz="1"/>
              <w:left w:val="single" w:color="CCCCCC" w:sz="1"/>
              <w:bottom w:val="single" w:color="CCCCCC" w:sz="1"/>
              <w:right w:val="single" w:color="CCCCCC" w:sz="1"/>
            </w:tcBorders>
            <w:shd w:fill="F0FAF4" w:val="clear"/>
            <w:tcMar>
              <w:top w:type="dxa" w:w="80"/>
              <w:left w:type="dxa" w:w="120"/>
              <w:bottom w:type="dxa" w:w="80"/>
              <w:right w:type="dxa" w:w="120"/>
            </w:tcMar>
            <w:vAlign w:val="center"/>
          </w:tcPr>
          <w:p>
            <w:pPr>
              <w:jc w:val="left"/>
            </w:pPr>
            <w:r>
              <w:rPr>
                <w:rFonts w:ascii="Arial" w:cs="Arial" w:eastAsia="Arial" w:hAnsi="Arial"/>
                <w:b w:val="false"/>
                <w:bCs w:val="false"/>
                <w:color w:val="DC3545"/>
                <w:sz w:val="18"/>
                <w:szCs w:val="18"/>
              </w:rPr>
              <w:t xml:space="preserve">0.43–0.57</w:t>
            </w:r>
          </w:p>
        </w:tc>
        <w:tc>
          <w:tcPr>
            <w:tcW w:type="dxa" w:w="2340"/>
            <w:tcBorders>
              <w:top w:val="single" w:color="CCCCCC" w:sz="1"/>
              <w:left w:val="single" w:color="CCCCCC" w:sz="1"/>
              <w:bottom w:val="single" w:color="CCCCCC" w:sz="1"/>
              <w:right w:val="single" w:color="CCCCCC" w:sz="1"/>
            </w:tcBorders>
            <w:shd w:fill="F0FAF4" w:val="clear"/>
            <w:tcMar>
              <w:top w:type="dxa" w:w="80"/>
              <w:left w:type="dxa" w:w="120"/>
              <w:bottom w:type="dxa" w:w="80"/>
              <w:right w:type="dxa" w:w="120"/>
            </w:tcMar>
            <w:vAlign w:val="center"/>
          </w:tcPr>
          <w:p>
            <w:pPr>
              <w:jc w:val="left"/>
            </w:pPr>
            <w:r>
              <w:rPr>
                <w:rFonts w:ascii="Arial" w:cs="Arial" w:eastAsia="Arial" w:hAnsi="Arial"/>
                <w:b w:val="false"/>
                <w:bCs w:val="false"/>
                <w:color w:val="DC3545"/>
                <w:sz w:val="18"/>
                <w:szCs w:val="18"/>
              </w:rPr>
              <w:t xml:space="preserve">~30–40 mg</w:t>
            </w:r>
          </w:p>
        </w:tc>
        <w:tc>
          <w:tcPr>
            <w:tcW w:type="dxa" w:w="3120"/>
            <w:tcBorders>
              <w:top w:val="single" w:color="CCCCCC" w:sz="1"/>
              <w:left w:val="single" w:color="CCCCCC" w:sz="1"/>
              <w:bottom w:val="single" w:color="CCCCCC" w:sz="1"/>
              <w:right w:val="single" w:color="CCCCCC" w:sz="1"/>
            </w:tcBorders>
            <w:shd w:fill="F0FAF4" w:val="clear"/>
            <w:tcMar>
              <w:top w:type="dxa" w:w="80"/>
              <w:left w:type="dxa" w:w="120"/>
              <w:bottom w:type="dxa" w:w="80"/>
              <w:right w:type="dxa" w:w="120"/>
            </w:tcMar>
            <w:vAlign w:val="center"/>
          </w:tcPr>
          <w:p>
            <w:pPr>
              <w:jc w:val="left"/>
            </w:pPr>
            <w:r>
              <w:rPr>
                <w:rFonts w:ascii="Arial" w:cs="Arial" w:eastAsia="Arial" w:hAnsi="Arial"/>
                <w:b w:val="false"/>
                <w:bCs w:val="false"/>
                <w:color w:val="DC3545"/>
                <w:sz w:val="18"/>
                <w:szCs w:val="18"/>
              </w:rPr>
              <w:t xml:space="preserve">~3.0–4.0 g</w:t>
            </w:r>
          </w:p>
        </w:tc>
      </w:tr>
    </w:tbl>
    <w:p>
      <w:pPr>
        <w:spacing w:after="60"/>
      </w:pPr>
      <w:r>
        <w:t xml:space="preserve"/>
      </w:r>
    </w:p>
    <w:p>
      <w:pPr>
        <w:spacing w:after="160"/>
      </w:pPr>
      <w:r>
        <w:rPr>
          <w:rFonts w:ascii="Arial" w:cs="Arial" w:eastAsia="Arial" w:hAnsi="Arial"/>
          <w:color w:val="000000"/>
          <w:sz w:val="20"/>
          <w:szCs w:val="20"/>
        </w:rPr>
        <w:t xml:space="preserve">Key metabolic variable: Your CYP2D6 genetic profile — poor metabolizers will process psilocin more slowly and have prolonged, potentially more intense effects. This is currently not routinely tested in clinical settings but is an active research area.</w:t>
      </w:r>
    </w:p>
    <w:p>
      <w:pPr>
        <w:spacing w:after="120"/>
      </w:pPr>
      <w:r>
        <w:rPr>
          <w:rFonts w:ascii="Arial" w:cs="Arial" w:eastAsia="Arial" w:hAnsi="Arial"/>
          <w:b/>
          <w:bCs/>
          <w:color w:val="1B4332"/>
          <w:sz w:val="20"/>
          <w:szCs w:val="20"/>
        </w:rPr>
        <w:t xml:space="preserve">Pharmacokinetics: </w:t>
      </w:r>
      <w:r>
        <w:rPr>
          <w:rFonts w:ascii="Arial" w:cs="Arial" w:eastAsia="Arial" w:hAnsi="Arial"/>
          <w:color w:val="000000"/>
          <w:sz w:val="20"/>
          <w:szCs w:val="20"/>
        </w:rPr>
        <w:t xml:space="preserve">Psilocybin is rapidly dephosphorylated to psilocin. Tmax: 1.8–4 h. Psilocin bioavailability: 52.7 ± 20%. Half-life: 1.5–4 hours.</w:t>
      </w:r>
    </w:p>
    <w:p>
      <w:pPr>
        <w:spacing w:after="80"/>
      </w:pPr>
      <w:r>
        <w:rPr>
          <w:rFonts w:ascii="Arial" w:cs="Arial" w:eastAsia="Arial" w:hAnsi="Arial"/>
          <w:b/>
          <w:bCs/>
          <w:color w:val="2D6A4F"/>
          <w:sz w:val="18"/>
          <w:szCs w:val="18"/>
        </w:rPr>
        <w:t xml:space="preserve">📎 Source: </w:t>
      </w:r>
      <w:r>
        <w:rPr>
          <w:rFonts w:ascii="Arial" w:cs="Arial" w:eastAsia="Arial" w:hAnsi="Arial"/>
          <w:i/>
          <w:iCs/>
          <w:color w:val="666666"/>
          <w:sz w:val="18"/>
          <w:szCs w:val="18"/>
        </w:rPr>
        <w:t xml:space="preserve">Frontiers in Psychiatry — https://www.frontiersin.org/journals/psychiatry/articles/10.3389/fpsyt.2022.1040217/full</w:t>
      </w:r>
    </w:p>
    <w:p>
      <w:pPr>
        <w:spacing w:after="60"/>
      </w:pPr>
      <w:r>
        <w:t xml:space="preserve"/>
      </w:r>
    </w:p>
    <w:p>
      <w:pPr>
        <w:pStyle w:val="Heading1"/>
        <w:pBdr>
          <w:bottom w:val="single" w:color="2D6A4F" w:sz="8" w:space="4"/>
        </w:pBdr>
        <w:spacing w:after="180" w:before="360"/>
      </w:pPr>
      <w:r>
        <w:rPr>
          <w:rFonts w:ascii="Arial" w:cs="Arial" w:eastAsia="Arial" w:hAnsi="Arial"/>
          <w:b/>
          <w:bCs/>
          <w:color w:val="1B4332"/>
          <w:sz w:val="36"/>
          <w:szCs w:val="36"/>
        </w:rPr>
        <w:t xml:space="preserve">7. What to Do If You Consume Too Many Shrooms</w:t>
      </w:r>
    </w:p>
    <w:p>
      <w:pPr>
        <w:pStyle w:val="Heading2"/>
        <w:spacing w:after="120" w:before="240"/>
      </w:pPr>
      <w:r>
        <w:rPr>
          <w:rFonts w:ascii="Arial" w:cs="Arial" w:eastAsia="Arial" w:hAnsi="Arial"/>
          <w:b/>
          <w:bCs/>
          <w:color w:val="2D6A4F"/>
          <w:sz w:val="28"/>
          <w:szCs w:val="28"/>
        </w:rPr>
        <w:t xml:space="preserve">Toxicity Context — Important Perspective</w:t>
      </w:r>
    </w:p>
    <w:p>
      <w:pPr>
        <w:spacing w:after="160"/>
      </w:pPr>
      <w:r>
        <w:rPr>
          <w:rFonts w:ascii="Arial" w:cs="Arial" w:eastAsia="Arial" w:hAnsi="Arial"/>
          <w:color w:val="000000"/>
          <w:sz w:val="20"/>
          <w:szCs w:val="20"/>
        </w:rPr>
        <w:t xml:space="preserve">The physical toxicity bar is extraordinarily high. The human lethal dose of psilocybin has been extrapolated to be 2,000 to 6,000 mg — around 1,000 times greater than its effective dose of 6 mg. The Registry of Toxic Effects of Chemical Substances assigns psilocybin a therapeutic index of 641. For comparison, aspirin = 199 and nicotine = 21.</w:t>
      </w:r>
    </w:p>
    <w:p>
      <w:pPr>
        <w:spacing w:after="160"/>
      </w:pPr>
      <w:r>
        <w:rPr>
          <w:rFonts w:ascii="Arial" w:cs="Arial" w:eastAsia="Arial" w:hAnsi="Arial"/>
          <w:color w:val="000000"/>
          <w:sz w:val="20"/>
          <w:szCs w:val="20"/>
        </w:rPr>
        <w:t xml:space="preserve">For a 60 kg (130 lb) human to reach a lethal concentration, they would have to consume approximately 1.68 kg (3.7 lb) of dried mushrooms. Given the nausea and vomiting that high doses induce, this is physiologically implausible.</w:t>
      </w:r>
    </w:p>
    <w:p>
      <w:pPr>
        <w:spacing w:after="160"/>
      </w:pPr>
      <w:r>
        <w:rPr>
          <w:rFonts w:ascii="Arial" w:cs="Arial" w:eastAsia="Arial" w:hAnsi="Arial"/>
          <w:color w:val="000000"/>
          <w:sz w:val="20"/>
          <w:szCs w:val="20"/>
        </w:rPr>
        <w:t xml:space="preserve">The REAL danger is psychological and behavioral — not direct toxicity. In a 2024 survey estimating drug-related emergency room visits, psilocybin does not appear as a reported substance. Alcohol, cannabis, and opioids account for the majority of hospitalizations.</w:t>
      </w:r>
    </w:p>
    <w:p>
      <w:pPr>
        <w:pStyle w:val="Heading2"/>
        <w:spacing w:after="120" w:before="240"/>
      </w:pPr>
      <w:r>
        <w:rPr>
          <w:rFonts w:ascii="Arial" w:cs="Arial" w:eastAsia="Arial" w:hAnsi="Arial"/>
          <w:b/>
          <w:bCs/>
          <w:color w:val="2D6A4F"/>
          <w:sz w:val="28"/>
          <w:szCs w:val="28"/>
        </w:rPr>
        <w:t xml:space="preserve">Step-by-Step Response Protocol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20"/>
        <w:gridCol w:w="2340"/>
        <w:gridCol w:w="4500"/>
        <w:gridCol w:w="2000"/>
      </w:tblGrid>
      <w:tr>
        <w:trPr>
          <w:tblHeader/>
        </w:trPr>
        <w:tc>
          <w:tcPr>
            <w:tcW w:type="dxa" w:w="520"/>
            <w:tcBorders>
              <w:top w:val="single" w:color="2D6A4F" w:sz="1"/>
              <w:left w:val="single" w:color="2D6A4F" w:sz="1"/>
              <w:bottom w:val="single" w:color="2D6A4F" w:sz="1"/>
              <w:right w:val="single" w:color="2D6A4F" w:sz="1"/>
            </w:tcBorders>
            <w:shd w:fill="1B4332"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Step</w:t>
            </w:r>
          </w:p>
        </w:tc>
        <w:tc>
          <w:tcPr>
            <w:tcW w:type="dxa" w:w="2340"/>
            <w:tcBorders>
              <w:top w:val="single" w:color="2D6A4F" w:sz="1"/>
              <w:left w:val="single" w:color="2D6A4F" w:sz="1"/>
              <w:bottom w:val="single" w:color="2D6A4F" w:sz="1"/>
              <w:right w:val="single" w:color="2D6A4F" w:sz="1"/>
            </w:tcBorders>
            <w:shd w:fill="1B4332"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Action</w:t>
            </w:r>
          </w:p>
        </w:tc>
        <w:tc>
          <w:tcPr>
            <w:tcW w:type="dxa" w:w="4500"/>
            <w:tcBorders>
              <w:top w:val="single" w:color="2D6A4F" w:sz="1"/>
              <w:left w:val="single" w:color="2D6A4F" w:sz="1"/>
              <w:bottom w:val="single" w:color="2D6A4F" w:sz="1"/>
              <w:right w:val="single" w:color="2D6A4F" w:sz="1"/>
            </w:tcBorders>
            <w:shd w:fill="1B4332"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Detail</w:t>
            </w:r>
          </w:p>
        </w:tc>
        <w:tc>
          <w:tcPr>
            <w:tcW w:type="dxa" w:w="2000"/>
            <w:tcBorders>
              <w:top w:val="single" w:color="2D6A4F" w:sz="1"/>
              <w:left w:val="single" w:color="2D6A4F" w:sz="1"/>
              <w:bottom w:val="single" w:color="2D6A4F" w:sz="1"/>
              <w:right w:val="single" w:color="2D6A4F" w:sz="1"/>
            </w:tcBorders>
            <w:shd w:fill="1B4332"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Priority</w:t>
            </w:r>
          </w:p>
        </w:tc>
      </w:tr>
      <w:tr>
        <w:tc>
          <w:tcPr>
            <w:tcW w:type="dxa" w:w="5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bCs/>
                <w:color w:val="000000"/>
                <w:sz w:val="18"/>
                <w:szCs w:val="18"/>
              </w:rPr>
              <w:t xml:space="preserve">1</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Relocate to Safety</w:t>
            </w:r>
          </w:p>
        </w:tc>
        <w:tc>
          <w:tcPr>
            <w:tcW w:type="dxa" w:w="4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Quiet, familiar, low-stimulation environment — away from heights, water, traffic, crowds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DC3545"/>
                <w:sz w:val="18"/>
                <w:szCs w:val="18"/>
              </w:rPr>
              <w:t xml:space="preserve">🔴 Immediate</w:t>
            </w:r>
          </w:p>
        </w:tc>
      </w:tr>
      <w:tr>
        <w:tc>
          <w:tcPr>
            <w:tcW w:type="dxa" w:w="520"/>
            <w:tcBorders>
              <w:top w:val="single" w:color="CCCCCC" w:sz="1"/>
              <w:left w:val="single" w:color="CCCCCC" w:sz="1"/>
              <w:bottom w:val="single" w:color="CCCCCC" w:sz="1"/>
              <w:right w:val="single" w:color="CCCCCC" w:sz="1"/>
            </w:tcBorders>
            <w:shd w:fill="F0FAF4" w:val="clear"/>
            <w:tcMar>
              <w:top w:type="dxa" w:w="80"/>
              <w:left w:type="dxa" w:w="120"/>
              <w:bottom w:type="dxa" w:w="80"/>
              <w:right w:type="dxa" w:w="120"/>
            </w:tcMar>
            <w:vAlign w:val="center"/>
          </w:tcPr>
          <w:p>
            <w:pPr>
              <w:jc w:val="center"/>
            </w:pPr>
            <w:r>
              <w:rPr>
                <w:rFonts w:ascii="Arial" w:cs="Arial" w:eastAsia="Arial" w:hAnsi="Arial"/>
                <w:b/>
                <w:bCs/>
                <w:color w:val="000000"/>
                <w:sz w:val="18"/>
                <w:szCs w:val="18"/>
              </w:rPr>
              <w:t xml:space="preserve">2</w:t>
            </w:r>
          </w:p>
        </w:tc>
        <w:tc>
          <w:tcPr>
            <w:tcW w:type="dxa" w:w="2340"/>
            <w:tcBorders>
              <w:top w:val="single" w:color="CCCCCC" w:sz="1"/>
              <w:left w:val="single" w:color="CCCCCC" w:sz="1"/>
              <w:bottom w:val="single" w:color="CCCCCC" w:sz="1"/>
              <w:right w:val="single" w:color="CCCCCC" w:sz="1"/>
            </w:tcBorders>
            <w:shd w:fill="F0FAF4" w:val="clear"/>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Activate a Trip Sitter</w:t>
            </w:r>
          </w:p>
        </w:tc>
        <w:tc>
          <w:tcPr>
            <w:tcW w:type="dxa" w:w="4500"/>
            <w:tcBorders>
              <w:top w:val="single" w:color="CCCCCC" w:sz="1"/>
              <w:left w:val="single" w:color="CCCCCC" w:sz="1"/>
              <w:bottom w:val="single" w:color="CCCCCC" w:sz="1"/>
              <w:right w:val="single" w:color="CCCCCC" w:sz="1"/>
            </w:tcBorders>
            <w:shd w:fill="F0FAF4"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Call a sober, trusted person — do NOT be alone</w:t>
            </w:r>
          </w:p>
        </w:tc>
        <w:tc>
          <w:tcPr>
            <w:tcW w:type="dxa" w:w="2000"/>
            <w:tcBorders>
              <w:top w:val="single" w:color="CCCCCC" w:sz="1"/>
              <w:left w:val="single" w:color="CCCCCC" w:sz="1"/>
              <w:bottom w:val="single" w:color="CCCCCC" w:sz="1"/>
              <w:right w:val="single" w:color="CCCCCC" w:sz="1"/>
            </w:tcBorders>
            <w:shd w:fill="F0FAF4" w:val="clear"/>
            <w:tcMar>
              <w:top w:type="dxa" w:w="80"/>
              <w:left w:type="dxa" w:w="120"/>
              <w:bottom w:type="dxa" w:w="80"/>
              <w:right w:type="dxa" w:w="120"/>
            </w:tcMar>
            <w:vAlign w:val="center"/>
          </w:tcPr>
          <w:p>
            <w:pPr>
              <w:jc w:val="left"/>
            </w:pPr>
            <w:r>
              <w:rPr>
                <w:rFonts w:ascii="Arial" w:cs="Arial" w:eastAsia="Arial" w:hAnsi="Arial"/>
                <w:b/>
                <w:bCs/>
                <w:color w:val="DC3545"/>
                <w:sz w:val="18"/>
                <w:szCs w:val="18"/>
              </w:rPr>
              <w:t xml:space="preserve">🔴 Immediate</w:t>
            </w:r>
          </w:p>
        </w:tc>
      </w:tr>
      <w:tr>
        <w:tc>
          <w:tcPr>
            <w:tcW w:type="dxa" w:w="5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bCs/>
                <w:color w:val="000000"/>
                <w:sz w:val="18"/>
                <w:szCs w:val="18"/>
              </w:rPr>
              <w:t xml:space="preserve">3</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Surrender, Don't Fight</w:t>
            </w:r>
          </w:p>
        </w:tc>
        <w:tc>
          <w:tcPr>
            <w:tcW w:type="dxa" w:w="4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Resistance amplifies the experience; acceptance reduces distress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E86B00"/>
                <w:sz w:val="18"/>
                <w:szCs w:val="18"/>
              </w:rPr>
              <w:t xml:space="preserve">🟠 High</w:t>
            </w:r>
          </w:p>
        </w:tc>
      </w:tr>
      <w:tr>
        <w:tc>
          <w:tcPr>
            <w:tcW w:type="dxa" w:w="520"/>
            <w:tcBorders>
              <w:top w:val="single" w:color="CCCCCC" w:sz="1"/>
              <w:left w:val="single" w:color="CCCCCC" w:sz="1"/>
              <w:bottom w:val="single" w:color="CCCCCC" w:sz="1"/>
              <w:right w:val="single" w:color="CCCCCC" w:sz="1"/>
            </w:tcBorders>
            <w:shd w:fill="F0FAF4" w:val="clear"/>
            <w:tcMar>
              <w:top w:type="dxa" w:w="80"/>
              <w:left w:type="dxa" w:w="120"/>
              <w:bottom w:type="dxa" w:w="80"/>
              <w:right w:type="dxa" w:w="120"/>
            </w:tcMar>
            <w:vAlign w:val="center"/>
          </w:tcPr>
          <w:p>
            <w:pPr>
              <w:jc w:val="center"/>
            </w:pPr>
            <w:r>
              <w:rPr>
                <w:rFonts w:ascii="Arial" w:cs="Arial" w:eastAsia="Arial" w:hAnsi="Arial"/>
                <w:b/>
                <w:bCs/>
                <w:color w:val="000000"/>
                <w:sz w:val="18"/>
                <w:szCs w:val="18"/>
              </w:rPr>
              <w:t xml:space="preserve">4</w:t>
            </w:r>
          </w:p>
        </w:tc>
        <w:tc>
          <w:tcPr>
            <w:tcW w:type="dxa" w:w="2340"/>
            <w:tcBorders>
              <w:top w:val="single" w:color="CCCCCC" w:sz="1"/>
              <w:left w:val="single" w:color="CCCCCC" w:sz="1"/>
              <w:bottom w:val="single" w:color="CCCCCC" w:sz="1"/>
              <w:right w:val="single" w:color="CCCCCC" w:sz="1"/>
            </w:tcBorders>
            <w:shd w:fill="F0FAF4" w:val="clear"/>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Breathe</w:t>
            </w:r>
          </w:p>
        </w:tc>
        <w:tc>
          <w:tcPr>
            <w:tcW w:type="dxa" w:w="4500"/>
            <w:tcBorders>
              <w:top w:val="single" w:color="CCCCCC" w:sz="1"/>
              <w:left w:val="single" w:color="CCCCCC" w:sz="1"/>
              <w:bottom w:val="single" w:color="CCCCCC" w:sz="1"/>
              <w:right w:val="single" w:color="CCCCCC" w:sz="1"/>
            </w:tcBorders>
            <w:shd w:fill="F0FAF4"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Slow, deep diaphragmatic breathing activates parasympathetic nervous system</w:t>
            </w:r>
          </w:p>
        </w:tc>
        <w:tc>
          <w:tcPr>
            <w:tcW w:type="dxa" w:w="2000"/>
            <w:tcBorders>
              <w:top w:val="single" w:color="CCCCCC" w:sz="1"/>
              <w:left w:val="single" w:color="CCCCCC" w:sz="1"/>
              <w:bottom w:val="single" w:color="CCCCCC" w:sz="1"/>
              <w:right w:val="single" w:color="CCCCCC" w:sz="1"/>
            </w:tcBorders>
            <w:shd w:fill="F0FAF4" w:val="clear"/>
            <w:tcMar>
              <w:top w:type="dxa" w:w="80"/>
              <w:left w:type="dxa" w:w="120"/>
              <w:bottom w:type="dxa" w:w="80"/>
              <w:right w:type="dxa" w:w="120"/>
            </w:tcMar>
            <w:vAlign w:val="center"/>
          </w:tcPr>
          <w:p>
            <w:pPr>
              <w:jc w:val="left"/>
            </w:pPr>
            <w:r>
              <w:rPr>
                <w:rFonts w:ascii="Arial" w:cs="Arial" w:eastAsia="Arial" w:hAnsi="Arial"/>
                <w:b/>
                <w:bCs/>
                <w:color w:val="E86B00"/>
                <w:sz w:val="18"/>
                <w:szCs w:val="18"/>
              </w:rPr>
              <w:t xml:space="preserve">🟠 High</w:t>
            </w:r>
          </w:p>
        </w:tc>
      </w:tr>
      <w:tr>
        <w:tc>
          <w:tcPr>
            <w:tcW w:type="dxa" w:w="5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bCs/>
                <w:color w:val="000000"/>
                <w:sz w:val="18"/>
                <w:szCs w:val="18"/>
              </w:rPr>
              <w:t xml:space="preserve">5</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Hydrate</w:t>
            </w:r>
          </w:p>
        </w:tc>
        <w:tc>
          <w:tcPr>
            <w:tcW w:type="dxa" w:w="4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Sip water or juice — combats potential hypoglycemia from vomiting</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B8860B"/>
                <w:sz w:val="18"/>
                <w:szCs w:val="18"/>
              </w:rPr>
              <w:t xml:space="preserve">🟡 Moderate</w:t>
            </w:r>
          </w:p>
        </w:tc>
      </w:tr>
      <w:tr>
        <w:tc>
          <w:tcPr>
            <w:tcW w:type="dxa" w:w="520"/>
            <w:tcBorders>
              <w:top w:val="single" w:color="CCCCCC" w:sz="1"/>
              <w:left w:val="single" w:color="CCCCCC" w:sz="1"/>
              <w:bottom w:val="single" w:color="CCCCCC" w:sz="1"/>
              <w:right w:val="single" w:color="CCCCCC" w:sz="1"/>
            </w:tcBorders>
            <w:shd w:fill="F0FAF4" w:val="clear"/>
            <w:tcMar>
              <w:top w:type="dxa" w:w="80"/>
              <w:left w:type="dxa" w:w="120"/>
              <w:bottom w:type="dxa" w:w="80"/>
              <w:right w:type="dxa" w:w="120"/>
            </w:tcMar>
            <w:vAlign w:val="center"/>
          </w:tcPr>
          <w:p>
            <w:pPr>
              <w:jc w:val="center"/>
            </w:pPr>
            <w:r>
              <w:rPr>
                <w:rFonts w:ascii="Arial" w:cs="Arial" w:eastAsia="Arial" w:hAnsi="Arial"/>
                <w:b/>
                <w:bCs/>
                <w:color w:val="000000"/>
                <w:sz w:val="18"/>
                <w:szCs w:val="18"/>
              </w:rPr>
              <w:t xml:space="preserve">6</w:t>
            </w:r>
          </w:p>
        </w:tc>
        <w:tc>
          <w:tcPr>
            <w:tcW w:type="dxa" w:w="2340"/>
            <w:tcBorders>
              <w:top w:val="single" w:color="CCCCCC" w:sz="1"/>
              <w:left w:val="single" w:color="CCCCCC" w:sz="1"/>
              <w:bottom w:val="single" w:color="CCCCCC" w:sz="1"/>
              <w:right w:val="single" w:color="CCCCCC" w:sz="1"/>
            </w:tcBorders>
            <w:shd w:fill="F0FAF4" w:val="clear"/>
            <w:tcMar>
              <w:top w:type="dxa" w:w="80"/>
              <w:left w:type="dxa" w:w="120"/>
              <w:bottom w:type="dxa" w:w="80"/>
              <w:right w:type="dxa" w:w="120"/>
            </w:tcMar>
            <w:vAlign w:val="center"/>
          </w:tcPr>
          <w:p>
            <w:pPr>
              <w:jc w:val="left"/>
            </w:pPr>
            <w:r>
              <w:rPr>
                <w:rFonts w:ascii="Arial" w:cs="Arial" w:eastAsia="Arial" w:hAnsi="Arial"/>
                <w:b/>
                <w:bCs/>
                <w:color w:val="DC3545"/>
                <w:sz w:val="18"/>
                <w:szCs w:val="18"/>
              </w:rPr>
              <w:t xml:space="preserve">No Mixing</w:t>
            </w:r>
          </w:p>
        </w:tc>
        <w:tc>
          <w:tcPr>
            <w:tcW w:type="dxa" w:w="4500"/>
            <w:tcBorders>
              <w:top w:val="single" w:color="CCCCCC" w:sz="1"/>
              <w:left w:val="single" w:color="CCCCCC" w:sz="1"/>
              <w:bottom w:val="single" w:color="CCCCCC" w:sz="1"/>
              <w:right w:val="single" w:color="CCCCCC" w:sz="1"/>
            </w:tcBorders>
            <w:shd w:fill="F0FAF4"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Absolutely no alcohol, cannabis, stimulants — all amplify unpredictably</w:t>
            </w:r>
          </w:p>
        </w:tc>
        <w:tc>
          <w:tcPr>
            <w:tcW w:type="dxa" w:w="2000"/>
            <w:tcBorders>
              <w:top w:val="single" w:color="CCCCCC" w:sz="1"/>
              <w:left w:val="single" w:color="CCCCCC" w:sz="1"/>
              <w:bottom w:val="single" w:color="CCCCCC" w:sz="1"/>
              <w:right w:val="single" w:color="CCCCCC" w:sz="1"/>
            </w:tcBorders>
            <w:shd w:fill="F0FAF4" w:val="clear"/>
            <w:tcMar>
              <w:top w:type="dxa" w:w="80"/>
              <w:left w:type="dxa" w:w="120"/>
              <w:bottom w:type="dxa" w:w="80"/>
              <w:right w:type="dxa" w:w="120"/>
            </w:tcMar>
            <w:vAlign w:val="center"/>
          </w:tcPr>
          <w:p>
            <w:pPr>
              <w:jc w:val="left"/>
            </w:pPr>
            <w:r>
              <w:rPr>
                <w:rFonts w:ascii="Arial" w:cs="Arial" w:eastAsia="Arial" w:hAnsi="Arial"/>
                <w:b/>
                <w:bCs/>
                <w:color w:val="DC3545"/>
                <w:sz w:val="18"/>
                <w:szCs w:val="18"/>
              </w:rPr>
              <w:t xml:space="preserve">🔴 Critical</w:t>
            </w:r>
          </w:p>
        </w:tc>
      </w:tr>
      <w:tr>
        <w:tc>
          <w:tcPr>
            <w:tcW w:type="dxa" w:w="5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bCs/>
                <w:color w:val="000000"/>
                <w:sz w:val="18"/>
                <w:szCs w:val="18"/>
              </w:rPr>
              <w:t xml:space="preserve">7</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Benzodiazepine Option</w:t>
            </w:r>
          </w:p>
        </w:tc>
        <w:tc>
          <w:tcPr>
            <w:tcW w:type="dxa" w:w="4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In clinical settings, benzodiazepines (e.g., lorazepam) are used to abort the experience — medical context only</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DC3545"/>
                <w:sz w:val="18"/>
                <w:szCs w:val="18"/>
              </w:rPr>
              <w:t xml:space="preserve">🔴 Medical Only</w:t>
            </w:r>
          </w:p>
        </w:tc>
      </w:tr>
      <w:tr>
        <w:tc>
          <w:tcPr>
            <w:tcW w:type="dxa" w:w="520"/>
            <w:tcBorders>
              <w:top w:val="single" w:color="CCCCCC" w:sz="1"/>
              <w:left w:val="single" w:color="CCCCCC" w:sz="1"/>
              <w:bottom w:val="single" w:color="CCCCCC" w:sz="1"/>
              <w:right w:val="single" w:color="CCCCCC" w:sz="1"/>
            </w:tcBorders>
            <w:shd w:fill="F0FAF4" w:val="clear"/>
            <w:tcMar>
              <w:top w:type="dxa" w:w="80"/>
              <w:left w:type="dxa" w:w="120"/>
              <w:bottom w:type="dxa" w:w="80"/>
              <w:right w:type="dxa" w:w="120"/>
            </w:tcMar>
            <w:vAlign w:val="center"/>
          </w:tcPr>
          <w:p>
            <w:pPr>
              <w:jc w:val="center"/>
            </w:pPr>
            <w:r>
              <w:rPr>
                <w:rFonts w:ascii="Arial" w:cs="Arial" w:eastAsia="Arial" w:hAnsi="Arial"/>
                <w:b/>
                <w:bCs/>
                <w:color w:val="000000"/>
                <w:sz w:val="18"/>
                <w:szCs w:val="18"/>
              </w:rPr>
              <w:t xml:space="preserve">8</w:t>
            </w:r>
          </w:p>
        </w:tc>
        <w:tc>
          <w:tcPr>
            <w:tcW w:type="dxa" w:w="2340"/>
            <w:tcBorders>
              <w:top w:val="single" w:color="CCCCCC" w:sz="1"/>
              <w:left w:val="single" w:color="CCCCCC" w:sz="1"/>
              <w:bottom w:val="single" w:color="CCCCCC" w:sz="1"/>
              <w:right w:val="single" w:color="CCCCCC" w:sz="1"/>
            </w:tcBorders>
            <w:shd w:fill="F0FAF4" w:val="clear"/>
            <w:tcMar>
              <w:top w:type="dxa" w:w="80"/>
              <w:left w:type="dxa" w:w="120"/>
              <w:bottom w:type="dxa" w:w="80"/>
              <w:right w:type="dxa" w:w="120"/>
            </w:tcMar>
            <w:vAlign w:val="center"/>
          </w:tcPr>
          <w:p>
            <w:pPr>
              <w:jc w:val="left"/>
            </w:pPr>
            <w:r>
              <w:rPr>
                <w:rFonts w:ascii="Arial" w:cs="Arial" w:eastAsia="Arial" w:hAnsi="Arial"/>
                <w:b/>
                <w:bCs/>
                <w:color w:val="DC3545"/>
                <w:sz w:val="18"/>
                <w:szCs w:val="18"/>
              </w:rPr>
              <w:t xml:space="preserve">Emergency Services</w:t>
            </w:r>
          </w:p>
        </w:tc>
        <w:tc>
          <w:tcPr>
            <w:tcW w:type="dxa" w:w="4500"/>
            <w:tcBorders>
              <w:top w:val="single" w:color="CCCCCC" w:sz="1"/>
              <w:left w:val="single" w:color="CCCCCC" w:sz="1"/>
              <w:bottom w:val="single" w:color="CCCCCC" w:sz="1"/>
              <w:right w:val="single" w:color="CCCCCC" w:sz="1"/>
            </w:tcBorders>
            <w:shd w:fill="F0FAF4"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If unresponsive, seizing, self-harming, or showing psychosis signs — CALL 911 / 112</w:t>
            </w:r>
          </w:p>
        </w:tc>
        <w:tc>
          <w:tcPr>
            <w:tcW w:type="dxa" w:w="2000"/>
            <w:tcBorders>
              <w:top w:val="single" w:color="CCCCCC" w:sz="1"/>
              <w:left w:val="single" w:color="CCCCCC" w:sz="1"/>
              <w:bottom w:val="single" w:color="CCCCCC" w:sz="1"/>
              <w:right w:val="single" w:color="CCCCCC" w:sz="1"/>
            </w:tcBorders>
            <w:shd w:fill="F0FAF4" w:val="clear"/>
            <w:tcMar>
              <w:top w:type="dxa" w:w="80"/>
              <w:left w:type="dxa" w:w="120"/>
              <w:bottom w:type="dxa" w:w="80"/>
              <w:right w:type="dxa" w:w="120"/>
            </w:tcMar>
            <w:vAlign w:val="center"/>
          </w:tcPr>
          <w:p>
            <w:pPr>
              <w:jc w:val="left"/>
            </w:pPr>
            <w:r>
              <w:rPr>
                <w:rFonts w:ascii="Arial" w:cs="Arial" w:eastAsia="Arial" w:hAnsi="Arial"/>
                <w:b/>
                <w:bCs/>
                <w:color w:val="DC3545"/>
                <w:sz w:val="18"/>
                <w:szCs w:val="18"/>
              </w:rPr>
              <w:t xml:space="preserve">🔴 Immediate</w:t>
            </w:r>
          </w:p>
        </w:tc>
      </w:tr>
    </w:tbl>
    <w:p>
      <w:pPr>
        <w:spacing w:after="60"/>
      </w:pPr>
      <w:r>
        <w:t xml:space="preserve"/>
      </w:r>
    </w:p>
    <w:p>
      <w:pPr>
        <w:pStyle w:val="Heading2"/>
        <w:spacing w:after="120" w:before="240"/>
      </w:pPr>
      <w:r>
        <w:rPr>
          <w:rFonts w:ascii="Arial" w:cs="Arial" w:eastAsia="Arial" w:hAnsi="Arial"/>
          <w:b/>
          <w:bCs/>
          <w:color w:val="2D6A4F"/>
          <w:sz w:val="28"/>
          <w:szCs w:val="28"/>
        </w:rPr>
        <w:t xml:space="preserve">Special Drug Interaction Warning</w:t>
      </w:r>
    </w:p>
    <w:p>
      <w:pPr>
        <w:spacing w:after="160"/>
      </w:pPr>
      <w:r>
        <w:rPr>
          <w:rFonts w:ascii="Arial" w:cs="Arial" w:eastAsia="Arial" w:hAnsi="Arial"/>
          <w:color w:val="000000"/>
          <w:sz w:val="20"/>
          <w:szCs w:val="20"/>
        </w:rPr>
        <w:t xml:space="preserve">SSRIs, MAOIs, and lithium can amplify psilocybin's effects and trigger serotonin syndrome — a dangerous condition causing tremors, hyperreflexia, and confusion. People on psychiatric medication should NEVER use psilocybin without medical supervision.</w:t>
      </w:r>
    </w:p>
    <w:p>
      <w:pPr>
        <w:pStyle w:val="Heading2"/>
        <w:spacing w:after="120" w:before="240"/>
      </w:pPr>
      <w:r>
        <w:rPr>
          <w:rFonts w:ascii="Arial" w:cs="Arial" w:eastAsia="Arial" w:hAnsi="Arial"/>
          <w:b/>
          <w:bCs/>
          <w:color w:val="2D6A4F"/>
          <w:sz w:val="28"/>
          <w:szCs w:val="28"/>
        </w:rPr>
        <w:t xml:space="preserve">Poison Control (Mushroom Misidentification)</w:t>
      </w:r>
    </w:p>
    <w:p>
      <w:pPr>
        <w:spacing w:after="160"/>
      </w:pPr>
      <w:r>
        <w:rPr>
          <w:rFonts w:ascii="Arial" w:cs="Arial" w:eastAsia="Arial" w:hAnsi="Arial"/>
          <w:color w:val="000000"/>
          <w:sz w:val="20"/>
          <w:szCs w:val="20"/>
        </w:rPr>
        <w:t xml:space="preserve">If you foraged your mushrooms and suspect misidentification — not a psychedelic experience but severe GI distress, liver pain, or organ symptoms — call poison control immediately. This is a completely different, potentially fatal medical emergency.</w:t>
      </w:r>
    </w:p>
    <w:tbl>
      <w:tblPr>
        <w:tblW w:type="dxa" w:w="5000"/>
        <w:tblBorders>
          <w:top w:val="single" w:color="auto" w:sz="4"/>
          <w:left w:val="single" w:color="auto" w:sz="4"/>
          <w:bottom w:val="single" w:color="auto" w:sz="4"/>
          <w:right w:val="single" w:color="auto" w:sz="4"/>
          <w:insideH w:val="single" w:color="auto" w:sz="4"/>
          <w:insideV w:val="single" w:color="auto" w:sz="4"/>
        </w:tblBorders>
      </w:tblPr>
      <w:tblGrid>
        <w:gridCol w:w="2500"/>
        <w:gridCol w:w="2500"/>
      </w:tblGrid>
      <w:tr>
        <w:trPr>
          <w:tblHeader/>
        </w:trPr>
        <w:tc>
          <w:tcPr>
            <w:tcW w:type="dxa" w:w="2500"/>
            <w:tcBorders>
              <w:top w:val="single" w:color="2D6A4F" w:sz="1"/>
              <w:left w:val="single" w:color="2D6A4F" w:sz="1"/>
              <w:bottom w:val="single" w:color="2D6A4F" w:sz="1"/>
              <w:right w:val="single" w:color="2D6A4F" w:sz="1"/>
            </w:tcBorders>
            <w:shd w:fill="1B4332"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Country</w:t>
            </w:r>
          </w:p>
        </w:tc>
        <w:tc>
          <w:tcPr>
            <w:tcW w:type="dxa" w:w="2500"/>
            <w:tcBorders>
              <w:top w:val="single" w:color="2D6A4F" w:sz="1"/>
              <w:left w:val="single" w:color="2D6A4F" w:sz="1"/>
              <w:bottom w:val="single" w:color="2D6A4F" w:sz="1"/>
              <w:right w:val="single" w:color="2D6A4F" w:sz="1"/>
            </w:tcBorders>
            <w:shd w:fill="1B4332"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Poison Control</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Canada</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DC3545"/>
                <w:sz w:val="18"/>
                <w:szCs w:val="18"/>
              </w:rPr>
              <w:t xml:space="preserve">1-800-268-9017</w:t>
            </w:r>
          </w:p>
        </w:tc>
      </w:tr>
      <w:tr>
        <w:tc>
          <w:tcPr>
            <w:tcW w:type="dxa" w:w="2500"/>
            <w:tcBorders>
              <w:top w:val="single" w:color="CCCCCC" w:sz="1"/>
              <w:left w:val="single" w:color="CCCCCC" w:sz="1"/>
              <w:bottom w:val="single" w:color="CCCCCC" w:sz="1"/>
              <w:right w:val="single" w:color="CCCCCC" w:sz="1"/>
            </w:tcBorders>
            <w:shd w:fill="F0FAF4" w:val="clear"/>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United States</w:t>
            </w:r>
          </w:p>
        </w:tc>
        <w:tc>
          <w:tcPr>
            <w:tcW w:type="dxa" w:w="2500"/>
            <w:tcBorders>
              <w:top w:val="single" w:color="CCCCCC" w:sz="1"/>
              <w:left w:val="single" w:color="CCCCCC" w:sz="1"/>
              <w:bottom w:val="single" w:color="CCCCCC" w:sz="1"/>
              <w:right w:val="single" w:color="CCCCCC" w:sz="1"/>
            </w:tcBorders>
            <w:shd w:fill="F0FAF4" w:val="clear"/>
            <w:tcMar>
              <w:top w:type="dxa" w:w="80"/>
              <w:left w:type="dxa" w:w="120"/>
              <w:bottom w:type="dxa" w:w="80"/>
              <w:right w:type="dxa" w:w="120"/>
            </w:tcMar>
            <w:vAlign w:val="center"/>
          </w:tcPr>
          <w:p>
            <w:pPr>
              <w:jc w:val="left"/>
            </w:pPr>
            <w:r>
              <w:rPr>
                <w:rFonts w:ascii="Arial" w:cs="Arial" w:eastAsia="Arial" w:hAnsi="Arial"/>
                <w:b/>
                <w:bCs/>
                <w:color w:val="DC3545"/>
                <w:sz w:val="18"/>
                <w:szCs w:val="18"/>
              </w:rPr>
              <w:t xml:space="preserve">1-800-222-1222</w:t>
            </w:r>
          </w:p>
        </w:tc>
      </w:tr>
    </w:tbl>
    <w:p>
      <w:pPr>
        <w:spacing w:after="60"/>
      </w:pPr>
      <w:r>
        <w:t xml:space="preserve"/>
      </w:r>
    </w:p>
    <w:p>
      <w:pPr>
        <w:spacing w:after="80"/>
      </w:pPr>
      <w:r>
        <w:rPr>
          <w:rFonts w:ascii="Arial" w:cs="Arial" w:eastAsia="Arial" w:hAnsi="Arial"/>
          <w:b/>
          <w:bCs/>
          <w:color w:val="2D6A4F"/>
          <w:sz w:val="18"/>
          <w:szCs w:val="18"/>
        </w:rPr>
        <w:t xml:space="preserve">📎 Source: </w:t>
      </w:r>
      <w:r>
        <w:rPr>
          <w:rFonts w:ascii="Arial" w:cs="Arial" w:eastAsia="Arial" w:hAnsi="Arial"/>
          <w:i/>
          <w:iCs/>
          <w:color w:val="666666"/>
          <w:sz w:val="18"/>
          <w:szCs w:val="18"/>
        </w:rPr>
        <w:t xml:space="preserve">Global Drug Survey — Adverse Experiences — https://pmc.ncbi.nlm.nih.gov/articles/PMC9353971/</w:t>
      </w:r>
    </w:p>
    <w:p>
      <w:pPr>
        <w:spacing w:after="0"/>
      </w:pPr>
      <w:r>
        <w:br w:type="page"/>
      </w:r>
    </w:p>
    <w:p>
      <w:pPr>
        <w:pStyle w:val="Heading1"/>
        <w:pBdr>
          <w:bottom w:val="single" w:color="2D6A4F" w:sz="8" w:space="4"/>
        </w:pBdr>
        <w:spacing w:after="180" w:before="360"/>
      </w:pPr>
      <w:r>
        <w:rPr>
          <w:rFonts w:ascii="Arial" w:cs="Arial" w:eastAsia="Arial" w:hAnsi="Arial"/>
          <w:b/>
          <w:bCs/>
          <w:color w:val="1B4332"/>
          <w:sz w:val="36"/>
          <w:szCs w:val="36"/>
        </w:rPr>
        <w:t xml:space="preserve">8. The Correct Scientific Classification of Mushrooms</w:t>
      </w:r>
    </w:p>
    <w:p>
      <w:pPr>
        <w:spacing w:after="160"/>
      </w:pPr>
      <w:r>
        <w:rPr>
          <w:rFonts w:ascii="Arial" w:cs="Arial" w:eastAsia="Arial" w:hAnsi="Arial"/>
          <w:color w:val="000000"/>
          <w:sz w:val="20"/>
          <w:szCs w:val="20"/>
        </w:rPr>
        <w:t xml:space="preserve">A common misconception is that mushrooms fall into 3 clean categories: toxic, psilocybin, and edible. This is dangerously oversimplified. Psilocybin mushrooms ARE a subset of edible mushrooms — biologically, they are not a separate kingdom. The correct framework uses 5 functional categories, and they frequently overlap.</w:t>
      </w:r>
    </w:p>
    <w:p>
      <w:pPr>
        <w:pStyle w:val="Heading2"/>
        <w:spacing w:after="120" w:before="240"/>
      </w:pPr>
      <w:r>
        <w:rPr>
          <w:rFonts w:ascii="Arial" w:cs="Arial" w:eastAsia="Arial" w:hAnsi="Arial"/>
          <w:b/>
          <w:bCs/>
          <w:color w:val="2D6A4F"/>
          <w:sz w:val="28"/>
          <w:szCs w:val="28"/>
        </w:rPr>
        <w:t xml:space="preserve">The 5+1 Category Framework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
        <w:gridCol w:w="1920"/>
        <w:gridCol w:w="1440"/>
        <w:gridCol w:w="1440"/>
        <w:gridCol w:w="1680"/>
        <w:gridCol w:w="1440"/>
        <w:gridCol w:w="1080"/>
      </w:tblGrid>
      <w:tr>
        <w:trPr>
          <w:tblHeader/>
        </w:trPr>
        <w:tc>
          <w:tcPr>
            <w:tcW w:type="dxa" w:w="360"/>
            <w:tcBorders>
              <w:top w:val="single" w:color="2D6A4F" w:sz="1"/>
              <w:left w:val="single" w:color="2D6A4F" w:sz="1"/>
              <w:bottom w:val="single" w:color="2D6A4F" w:sz="1"/>
              <w:right w:val="single" w:color="2D6A4F" w:sz="1"/>
            </w:tcBorders>
            <w:shd w:fill="1B4332"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w:t>
            </w:r>
          </w:p>
        </w:tc>
        <w:tc>
          <w:tcPr>
            <w:tcW w:type="dxa" w:w="1920"/>
            <w:tcBorders>
              <w:top w:val="single" w:color="2D6A4F" w:sz="1"/>
              <w:left w:val="single" w:color="2D6A4F" w:sz="1"/>
              <w:bottom w:val="single" w:color="2D6A4F" w:sz="1"/>
              <w:right w:val="single" w:color="2D6A4F" w:sz="1"/>
            </w:tcBorders>
            <w:shd w:fill="1B4332"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Category</w:t>
            </w:r>
          </w:p>
        </w:tc>
        <w:tc>
          <w:tcPr>
            <w:tcW w:type="dxa" w:w="1440"/>
            <w:tcBorders>
              <w:top w:val="single" w:color="2D6A4F" w:sz="1"/>
              <w:left w:val="single" w:color="2D6A4F" w:sz="1"/>
              <w:bottom w:val="single" w:color="2D6A4F" w:sz="1"/>
              <w:right w:val="single" w:color="2D6A4F" w:sz="1"/>
            </w:tcBorders>
            <w:shd w:fill="1B4332"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Psychoactive?</w:t>
            </w:r>
          </w:p>
        </w:tc>
        <w:tc>
          <w:tcPr>
            <w:tcW w:type="dxa" w:w="1440"/>
            <w:tcBorders>
              <w:top w:val="single" w:color="2D6A4F" w:sz="1"/>
              <w:left w:val="single" w:color="2D6A4F" w:sz="1"/>
              <w:bottom w:val="single" w:color="2D6A4F" w:sz="1"/>
              <w:right w:val="single" w:color="2D6A4F" w:sz="1"/>
            </w:tcBorders>
            <w:shd w:fill="1B4332"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Toxic?</w:t>
            </w:r>
          </w:p>
        </w:tc>
        <w:tc>
          <w:tcPr>
            <w:tcW w:type="dxa" w:w="1680"/>
            <w:tcBorders>
              <w:top w:val="single" w:color="2D6A4F" w:sz="1"/>
              <w:left w:val="single" w:color="2D6A4F" w:sz="1"/>
              <w:bottom w:val="single" w:color="2D6A4F" w:sz="1"/>
              <w:right w:val="single" w:color="2D6A4F" w:sz="1"/>
            </w:tcBorders>
            <w:shd w:fill="1B4332"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Therapeutic?</w:t>
            </w:r>
          </w:p>
        </w:tc>
        <w:tc>
          <w:tcPr>
            <w:tcW w:type="dxa" w:w="1440"/>
            <w:tcBorders>
              <w:top w:val="single" w:color="2D6A4F" w:sz="1"/>
              <w:left w:val="single" w:color="2D6A4F" w:sz="1"/>
              <w:bottom w:val="single" w:color="2D6A4F" w:sz="1"/>
              <w:right w:val="single" w:color="2D6A4F" w:sz="1"/>
            </w:tcBorders>
            <w:shd w:fill="1B4332"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Safe to Eat?</w:t>
            </w:r>
          </w:p>
        </w:tc>
        <w:tc>
          <w:tcPr>
            <w:tcW w:type="dxa" w:w="1080"/>
            <w:tcBorders>
              <w:top w:val="single" w:color="2D6A4F" w:sz="1"/>
              <w:left w:val="single" w:color="2D6A4F" w:sz="1"/>
              <w:bottom w:val="single" w:color="2D6A4F" w:sz="1"/>
              <w:right w:val="single" w:color="2D6A4F" w:sz="1"/>
            </w:tcBorders>
            <w:shd w:fill="1B4332"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Examples</w:t>
            </w:r>
          </w:p>
        </w:tc>
      </w:tr>
      <w:tr>
        <w:tc>
          <w:tcPr>
            <w:tcW w:type="dxa" w:w="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1</w:t>
            </w:r>
          </w:p>
        </w:tc>
        <w:tc>
          <w:tcPr>
            <w:tcW w:type="dxa" w:w="19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1B4332"/>
                <w:sz w:val="18"/>
                <w:szCs w:val="18"/>
              </w:rPr>
              <w:t xml:space="preserve">Culinary / Edible</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No</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No</w:t>
            </w:r>
          </w:p>
        </w:tc>
        <w:tc>
          <w:tcPr>
            <w:tcW w:type="dxa" w:w="1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Minor</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1B4332"/>
                <w:sz w:val="18"/>
                <w:szCs w:val="18"/>
              </w:rPr>
              <w:t xml:space="preserve">Yes ✅</w:t>
            </w:r>
          </w:p>
        </w:tc>
        <w:tc>
          <w:tcPr>
            <w:tcW w:type="dxa" w:w="1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Button, Portobello, Shiitake</w:t>
            </w:r>
          </w:p>
        </w:tc>
      </w:tr>
      <w:tr>
        <w:tc>
          <w:tcPr>
            <w:tcW w:type="dxa" w:w="360"/>
            <w:tcBorders>
              <w:top w:val="single" w:color="CCCCCC" w:sz="1"/>
              <w:left w:val="single" w:color="CCCCCC" w:sz="1"/>
              <w:bottom w:val="single" w:color="CCCCCC" w:sz="1"/>
              <w:right w:val="single" w:color="CCCCCC" w:sz="1"/>
            </w:tcBorders>
            <w:shd w:fill="F0FAF4"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2</w:t>
            </w:r>
          </w:p>
        </w:tc>
        <w:tc>
          <w:tcPr>
            <w:tcW w:type="dxa" w:w="1920"/>
            <w:tcBorders>
              <w:top w:val="single" w:color="CCCCCC" w:sz="1"/>
              <w:left w:val="single" w:color="CCCCCC" w:sz="1"/>
              <w:bottom w:val="single" w:color="CCCCCC" w:sz="1"/>
              <w:right w:val="single" w:color="CCCCCC" w:sz="1"/>
            </w:tcBorders>
            <w:shd w:fill="F0FAF4" w:val="clear"/>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Medicinal / Functional</w:t>
            </w:r>
          </w:p>
        </w:tc>
        <w:tc>
          <w:tcPr>
            <w:tcW w:type="dxa" w:w="1440"/>
            <w:tcBorders>
              <w:top w:val="single" w:color="CCCCCC" w:sz="1"/>
              <w:left w:val="single" w:color="CCCCCC" w:sz="1"/>
              <w:bottom w:val="single" w:color="CCCCCC" w:sz="1"/>
              <w:right w:val="single" w:color="CCCCCC" w:sz="1"/>
            </w:tcBorders>
            <w:shd w:fill="F0FAF4"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No</w:t>
            </w:r>
          </w:p>
        </w:tc>
        <w:tc>
          <w:tcPr>
            <w:tcW w:type="dxa" w:w="1440"/>
            <w:tcBorders>
              <w:top w:val="single" w:color="CCCCCC" w:sz="1"/>
              <w:left w:val="single" w:color="CCCCCC" w:sz="1"/>
              <w:bottom w:val="single" w:color="CCCCCC" w:sz="1"/>
              <w:right w:val="single" w:color="CCCCCC" w:sz="1"/>
            </w:tcBorders>
            <w:shd w:fill="F0FAF4"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No</w:t>
            </w:r>
          </w:p>
        </w:tc>
        <w:tc>
          <w:tcPr>
            <w:tcW w:type="dxa" w:w="1680"/>
            <w:tcBorders>
              <w:top w:val="single" w:color="CCCCCC" w:sz="1"/>
              <w:left w:val="single" w:color="CCCCCC" w:sz="1"/>
              <w:bottom w:val="single" w:color="CCCCCC" w:sz="1"/>
              <w:right w:val="single" w:color="CCCCCC" w:sz="1"/>
            </w:tcBorders>
            <w:shd w:fill="F0FAF4" w:val="clear"/>
            <w:tcMar>
              <w:top w:type="dxa" w:w="80"/>
              <w:left w:type="dxa" w:w="120"/>
              <w:bottom w:type="dxa" w:w="80"/>
              <w:right w:type="dxa" w:w="120"/>
            </w:tcMar>
            <w:vAlign w:val="center"/>
          </w:tcPr>
          <w:p>
            <w:pPr>
              <w:jc w:val="left"/>
            </w:pPr>
            <w:r>
              <w:rPr>
                <w:rFonts w:ascii="Arial" w:cs="Arial" w:eastAsia="Arial" w:hAnsi="Arial"/>
                <w:b w:val="false"/>
                <w:bCs w:val="false"/>
                <w:color w:val="1B4332"/>
                <w:sz w:val="18"/>
                <w:szCs w:val="18"/>
              </w:rPr>
              <w:t xml:space="preserve">Yes ✅ Strong</w:t>
            </w:r>
          </w:p>
        </w:tc>
        <w:tc>
          <w:tcPr>
            <w:tcW w:type="dxa" w:w="1440"/>
            <w:tcBorders>
              <w:top w:val="single" w:color="CCCCCC" w:sz="1"/>
              <w:left w:val="single" w:color="CCCCCC" w:sz="1"/>
              <w:bottom w:val="single" w:color="CCCCCC" w:sz="1"/>
              <w:right w:val="single" w:color="CCCCCC" w:sz="1"/>
            </w:tcBorders>
            <w:shd w:fill="F0FAF4" w:val="clear"/>
            <w:tcMar>
              <w:top w:type="dxa" w:w="80"/>
              <w:left w:type="dxa" w:w="120"/>
              <w:bottom w:type="dxa" w:w="80"/>
              <w:right w:type="dxa" w:w="120"/>
            </w:tcMar>
            <w:vAlign w:val="center"/>
          </w:tcPr>
          <w:p>
            <w:pPr>
              <w:jc w:val="left"/>
            </w:pPr>
            <w:r>
              <w:rPr>
                <w:rFonts w:ascii="Arial" w:cs="Arial" w:eastAsia="Arial" w:hAnsi="Arial"/>
                <w:b/>
                <w:bCs/>
                <w:color w:val="1B4332"/>
                <w:sz w:val="18"/>
                <w:szCs w:val="18"/>
              </w:rPr>
              <w:t xml:space="preserve">Yes ✅</w:t>
            </w:r>
          </w:p>
        </w:tc>
        <w:tc>
          <w:tcPr>
            <w:tcW w:type="dxa" w:w="1080"/>
            <w:tcBorders>
              <w:top w:val="single" w:color="CCCCCC" w:sz="1"/>
              <w:left w:val="single" w:color="CCCCCC" w:sz="1"/>
              <w:bottom w:val="single" w:color="CCCCCC" w:sz="1"/>
              <w:right w:val="single" w:color="CCCCCC" w:sz="1"/>
            </w:tcBorders>
            <w:shd w:fill="F0FAF4"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Reishi, Lion's Mane, Chaga</w:t>
            </w:r>
          </w:p>
        </w:tc>
      </w:tr>
      <w:tr>
        <w:tc>
          <w:tcPr>
            <w:tcW w:type="dxa" w:w="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3</w:t>
            </w:r>
          </w:p>
        </w:tc>
        <w:tc>
          <w:tcPr>
            <w:tcW w:type="dxa" w:w="19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2D6A4F"/>
                <w:sz w:val="18"/>
                <w:szCs w:val="18"/>
              </w:rPr>
              <w:t xml:space="preserve">Psilocybin Psychedelic</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D6A4F"/>
                <w:sz w:val="18"/>
                <w:szCs w:val="18"/>
              </w:rPr>
              <w:t xml:space="preserve">Yes — Serotonergic ✅</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Extremely Low</w:t>
            </w:r>
          </w:p>
        </w:tc>
        <w:tc>
          <w:tcPr>
            <w:tcW w:type="dxa" w:w="1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D6A4F"/>
                <w:sz w:val="18"/>
                <w:szCs w:val="18"/>
              </w:rPr>
              <w:t xml:space="preserve">Yes ✅ Emerging</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E86B00"/>
                <w:sz w:val="18"/>
                <w:szCs w:val="18"/>
              </w:rPr>
              <w:t xml:space="preserve">Legal Risk ⚠</w:t>
            </w:r>
          </w:p>
        </w:tc>
        <w:tc>
          <w:tcPr>
            <w:tcW w:type="dxa" w:w="1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P. cubensis, P. semilanceata</w:t>
            </w:r>
          </w:p>
        </w:tc>
      </w:tr>
      <w:tr>
        <w:tc>
          <w:tcPr>
            <w:tcW w:type="dxa" w:w="360"/>
            <w:tcBorders>
              <w:top w:val="single" w:color="CCCCCC" w:sz="1"/>
              <w:left w:val="single" w:color="CCCCCC" w:sz="1"/>
              <w:bottom w:val="single" w:color="CCCCCC" w:sz="1"/>
              <w:right w:val="single" w:color="CCCCCC" w:sz="1"/>
            </w:tcBorders>
            <w:shd w:fill="F0FAF4"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4</w:t>
            </w:r>
          </w:p>
        </w:tc>
        <w:tc>
          <w:tcPr>
            <w:tcW w:type="dxa" w:w="1920"/>
            <w:tcBorders>
              <w:top w:val="single" w:color="CCCCCC" w:sz="1"/>
              <w:left w:val="single" w:color="CCCCCC" w:sz="1"/>
              <w:bottom w:val="single" w:color="CCCCCC" w:sz="1"/>
              <w:right w:val="single" w:color="CCCCCC" w:sz="1"/>
            </w:tcBorders>
            <w:shd w:fill="F0FAF4" w:val="clear"/>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Non-Psilocybin Psychoactive</w:t>
            </w:r>
          </w:p>
        </w:tc>
        <w:tc>
          <w:tcPr>
            <w:tcW w:type="dxa" w:w="1440"/>
            <w:tcBorders>
              <w:top w:val="single" w:color="CCCCCC" w:sz="1"/>
              <w:left w:val="single" w:color="CCCCCC" w:sz="1"/>
              <w:bottom w:val="single" w:color="CCCCCC" w:sz="1"/>
              <w:right w:val="single" w:color="CCCCCC" w:sz="1"/>
            </w:tcBorders>
            <w:shd w:fill="F0FAF4" w:val="clear"/>
            <w:tcMar>
              <w:top w:type="dxa" w:w="80"/>
              <w:left w:type="dxa" w:w="120"/>
              <w:bottom w:type="dxa" w:w="80"/>
              <w:right w:type="dxa" w:w="120"/>
            </w:tcMar>
            <w:vAlign w:val="center"/>
          </w:tcPr>
          <w:p>
            <w:pPr>
              <w:jc w:val="left"/>
            </w:pPr>
            <w:r>
              <w:rPr>
                <w:rFonts w:ascii="Arial" w:cs="Arial" w:eastAsia="Arial" w:hAnsi="Arial"/>
                <w:b w:val="false"/>
                <w:bCs w:val="false"/>
                <w:color w:val="E86B00"/>
                <w:sz w:val="18"/>
                <w:szCs w:val="18"/>
              </w:rPr>
              <w:t xml:space="preserve">Yes — Muscimol ⚠</w:t>
            </w:r>
          </w:p>
        </w:tc>
        <w:tc>
          <w:tcPr>
            <w:tcW w:type="dxa" w:w="1440"/>
            <w:tcBorders>
              <w:top w:val="single" w:color="CCCCCC" w:sz="1"/>
              <w:left w:val="single" w:color="CCCCCC" w:sz="1"/>
              <w:bottom w:val="single" w:color="CCCCCC" w:sz="1"/>
              <w:right w:val="single" w:color="CCCCCC" w:sz="1"/>
            </w:tcBorders>
            <w:shd w:fill="F0FAF4" w:val="clear"/>
            <w:tcMar>
              <w:top w:type="dxa" w:w="80"/>
              <w:left w:type="dxa" w:w="120"/>
              <w:bottom w:type="dxa" w:w="80"/>
              <w:right w:type="dxa" w:w="120"/>
            </w:tcMar>
            <w:vAlign w:val="center"/>
          </w:tcPr>
          <w:p>
            <w:pPr>
              <w:jc w:val="left"/>
            </w:pPr>
            <w:r>
              <w:rPr>
                <w:rFonts w:ascii="Arial" w:cs="Arial" w:eastAsia="Arial" w:hAnsi="Arial"/>
                <w:b w:val="false"/>
                <w:bCs w:val="false"/>
                <w:color w:val="E86B00"/>
                <w:sz w:val="18"/>
                <w:szCs w:val="18"/>
              </w:rPr>
              <w:t xml:space="preserve">Dose-Dependent ⚠</w:t>
            </w:r>
          </w:p>
        </w:tc>
        <w:tc>
          <w:tcPr>
            <w:tcW w:type="dxa" w:w="1680"/>
            <w:tcBorders>
              <w:top w:val="single" w:color="CCCCCC" w:sz="1"/>
              <w:left w:val="single" w:color="CCCCCC" w:sz="1"/>
              <w:bottom w:val="single" w:color="CCCCCC" w:sz="1"/>
              <w:right w:val="single" w:color="CCCCCC" w:sz="1"/>
            </w:tcBorders>
            <w:shd w:fill="F0FAF4"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Limited</w:t>
            </w:r>
          </w:p>
        </w:tc>
        <w:tc>
          <w:tcPr>
            <w:tcW w:type="dxa" w:w="1440"/>
            <w:tcBorders>
              <w:top w:val="single" w:color="CCCCCC" w:sz="1"/>
              <w:left w:val="single" w:color="CCCCCC" w:sz="1"/>
              <w:bottom w:val="single" w:color="CCCCCC" w:sz="1"/>
              <w:right w:val="single" w:color="CCCCCC" w:sz="1"/>
            </w:tcBorders>
            <w:shd w:fill="F0FAF4" w:val="clear"/>
            <w:tcMar>
              <w:top w:type="dxa" w:w="80"/>
              <w:left w:type="dxa" w:w="120"/>
              <w:bottom w:type="dxa" w:w="80"/>
              <w:right w:type="dxa" w:w="120"/>
            </w:tcMar>
            <w:vAlign w:val="center"/>
          </w:tcPr>
          <w:p>
            <w:pPr>
              <w:jc w:val="left"/>
            </w:pPr>
            <w:r>
              <w:rPr>
                <w:rFonts w:ascii="Arial" w:cs="Arial" w:eastAsia="Arial" w:hAnsi="Arial"/>
                <w:b w:val="false"/>
                <w:bCs w:val="false"/>
                <w:color w:val="E86B00"/>
                <w:sz w:val="18"/>
                <w:szCs w:val="18"/>
              </w:rPr>
              <w:t xml:space="preserve">With Knowledge ⚠</w:t>
            </w:r>
          </w:p>
        </w:tc>
        <w:tc>
          <w:tcPr>
            <w:tcW w:type="dxa" w:w="1080"/>
            <w:tcBorders>
              <w:top w:val="single" w:color="CCCCCC" w:sz="1"/>
              <w:left w:val="single" w:color="CCCCCC" w:sz="1"/>
              <w:bottom w:val="single" w:color="CCCCCC" w:sz="1"/>
              <w:right w:val="single" w:color="CCCCCC" w:sz="1"/>
            </w:tcBorders>
            <w:shd w:fill="F0FAF4"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Amanita muscaria</w:t>
            </w:r>
          </w:p>
        </w:tc>
      </w:tr>
      <w:tr>
        <w:tc>
          <w:tcPr>
            <w:tcW w:type="dxa" w:w="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5</w:t>
            </w:r>
          </w:p>
        </w:tc>
        <w:tc>
          <w:tcPr>
            <w:tcW w:type="dxa" w:w="19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DC3545"/>
                <w:sz w:val="18"/>
                <w:szCs w:val="18"/>
              </w:rPr>
              <w:t xml:space="preserve">Toxic / Poisonous</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No</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DC3545"/>
                <w:sz w:val="18"/>
                <w:szCs w:val="18"/>
              </w:rPr>
              <w:t xml:space="preserve">Yes — FATAL 🚫</w:t>
            </w:r>
          </w:p>
        </w:tc>
        <w:tc>
          <w:tcPr>
            <w:tcW w:type="dxa" w:w="1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No</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DC3545"/>
                <w:sz w:val="18"/>
                <w:szCs w:val="18"/>
              </w:rPr>
              <w:t xml:space="preserve">Never 🚫</w:t>
            </w:r>
          </w:p>
        </w:tc>
        <w:tc>
          <w:tcPr>
            <w:tcW w:type="dxa" w:w="1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Amanita phalloides</w:t>
            </w:r>
          </w:p>
        </w:tc>
      </w:tr>
      <w:tr>
        <w:tc>
          <w:tcPr>
            <w:tcW w:type="dxa" w:w="360"/>
            <w:tcBorders>
              <w:top w:val="single" w:color="CCCCCC" w:sz="1"/>
              <w:left w:val="single" w:color="CCCCCC" w:sz="1"/>
              <w:bottom w:val="single" w:color="CCCCCC" w:sz="1"/>
              <w:right w:val="single" w:color="CCCCCC" w:sz="1"/>
            </w:tcBorders>
            <w:shd w:fill="F0FAF4"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+1</w:t>
            </w:r>
          </w:p>
        </w:tc>
        <w:tc>
          <w:tcPr>
            <w:tcW w:type="dxa" w:w="1920"/>
            <w:tcBorders>
              <w:top w:val="single" w:color="CCCCCC" w:sz="1"/>
              <w:left w:val="single" w:color="CCCCCC" w:sz="1"/>
              <w:bottom w:val="single" w:color="CCCCCC" w:sz="1"/>
              <w:right w:val="single" w:color="CCCCCC" w:sz="1"/>
            </w:tcBorders>
            <w:shd w:fill="F0FAF4" w:val="clear"/>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Context-Dependent</w:t>
            </w:r>
          </w:p>
        </w:tc>
        <w:tc>
          <w:tcPr>
            <w:tcW w:type="dxa" w:w="1440"/>
            <w:tcBorders>
              <w:top w:val="single" w:color="CCCCCC" w:sz="1"/>
              <w:left w:val="single" w:color="CCCCCC" w:sz="1"/>
              <w:bottom w:val="single" w:color="CCCCCC" w:sz="1"/>
              <w:right w:val="single" w:color="CCCCCC" w:sz="1"/>
            </w:tcBorders>
            <w:shd w:fill="F0FAF4"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Sometimes</w:t>
            </w:r>
          </w:p>
        </w:tc>
        <w:tc>
          <w:tcPr>
            <w:tcW w:type="dxa" w:w="1440"/>
            <w:tcBorders>
              <w:top w:val="single" w:color="CCCCCC" w:sz="1"/>
              <w:left w:val="single" w:color="CCCCCC" w:sz="1"/>
              <w:bottom w:val="single" w:color="CCCCCC" w:sz="1"/>
              <w:right w:val="single" w:color="CCCCCC" w:sz="1"/>
            </w:tcBorders>
            <w:shd w:fill="F0FAF4"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Sometimes</w:t>
            </w:r>
          </w:p>
        </w:tc>
        <w:tc>
          <w:tcPr>
            <w:tcW w:type="dxa" w:w="1680"/>
            <w:tcBorders>
              <w:top w:val="single" w:color="CCCCCC" w:sz="1"/>
              <w:left w:val="single" w:color="CCCCCC" w:sz="1"/>
              <w:bottom w:val="single" w:color="CCCCCC" w:sz="1"/>
              <w:right w:val="single" w:color="CCCCCC" w:sz="1"/>
            </w:tcBorders>
            <w:shd w:fill="F0FAF4"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Sometimes</w:t>
            </w:r>
          </w:p>
        </w:tc>
        <w:tc>
          <w:tcPr>
            <w:tcW w:type="dxa" w:w="1440"/>
            <w:tcBorders>
              <w:top w:val="single" w:color="CCCCCC" w:sz="1"/>
              <w:left w:val="single" w:color="CCCCCC" w:sz="1"/>
              <w:bottom w:val="single" w:color="CCCCCC" w:sz="1"/>
              <w:right w:val="single" w:color="CCCCCC" w:sz="1"/>
            </w:tcBorders>
            <w:shd w:fill="F0FAF4"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Depends</w:t>
            </w:r>
          </w:p>
        </w:tc>
        <w:tc>
          <w:tcPr>
            <w:tcW w:type="dxa" w:w="1080"/>
            <w:tcBorders>
              <w:top w:val="single" w:color="CCCCCC" w:sz="1"/>
              <w:left w:val="single" w:color="CCCCCC" w:sz="1"/>
              <w:bottom w:val="single" w:color="CCCCCC" w:sz="1"/>
              <w:right w:val="single" w:color="CCCCCC" w:sz="1"/>
            </w:tcBorders>
            <w:shd w:fill="F0FAF4"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Morels (raw vs. cooked)</w:t>
            </w:r>
          </w:p>
        </w:tc>
      </w:tr>
    </w:tbl>
    <w:p>
      <w:pPr>
        <w:spacing w:after="60"/>
      </w:pPr>
      <w:r>
        <w:t xml:space="preserve"/>
      </w:r>
    </w:p>
    <w:p>
      <w:pPr>
        <w:pStyle w:val="Heading2"/>
        <w:spacing w:after="120" w:before="240"/>
      </w:pPr>
      <w:r>
        <w:rPr>
          <w:rFonts w:ascii="Arial" w:cs="Arial" w:eastAsia="Arial" w:hAnsi="Arial"/>
          <w:b/>
          <w:bCs/>
          <w:color w:val="2D6A4F"/>
          <w:sz w:val="28"/>
          <w:szCs w:val="28"/>
        </w:rPr>
        <w:t xml:space="preserve">Why the 3-Category Model Is Dangerous</w:t>
      </w:r>
    </w:p>
    <w:p>
      <w:pPr>
        <w:spacing w:after="160"/>
      </w:pPr>
      <w:r>
        <w:rPr>
          <w:rFonts w:ascii="Arial" w:cs="Arial" w:eastAsia="Arial" w:hAnsi="Arial"/>
          <w:color w:val="000000"/>
          <w:sz w:val="20"/>
          <w:szCs w:val="20"/>
        </w:rPr>
        <w:t xml:space="preserve">The most dangerous assumption in the 3-category model: 'I know it is not toxic, so it must be either edible or psilocybin.' That is a false dilemma.</w:t>
      </w:r>
    </w:p>
    <w:p>
      <w:pPr>
        <w:pStyle w:val="ListParagraph"/>
        <w:numPr>
          <w:ilvl w:val="0"/>
          <w:numId w:val="2"/>
        </w:numPr>
        <w:spacing w:after="80"/>
      </w:pPr>
      <w:r>
        <w:rPr>
          <w:rFonts w:ascii="Arial" w:cs="Arial" w:eastAsia="Arial" w:hAnsi="Arial"/>
          <w:color w:val="000000"/>
          <w:sz w:val="20"/>
          <w:szCs w:val="20"/>
        </w:rPr>
        <w:t xml:space="preserve">Galerina marginata visually mimics Psilocybe species but contains deadly amatoxins (same toxin as the Death Cap)</w:t>
      </w:r>
    </w:p>
    <w:p>
      <w:pPr>
        <w:pStyle w:val="ListParagraph"/>
        <w:numPr>
          <w:ilvl w:val="0"/>
          <w:numId w:val="2"/>
        </w:numPr>
        <w:spacing w:after="80"/>
      </w:pPr>
      <w:r>
        <w:rPr>
          <w:rFonts w:ascii="Arial" w:cs="Arial" w:eastAsia="Arial" w:hAnsi="Arial"/>
          <w:color w:val="000000"/>
          <w:sz w:val="20"/>
          <w:szCs w:val="20"/>
        </w:rPr>
        <w:t xml:space="preserve">Gymnopilus spectabilis is psychedelic but is frequently confused with edible Armillaria mellea — accidental ingestions are documented</w:t>
      </w:r>
    </w:p>
    <w:p>
      <w:pPr>
        <w:pStyle w:val="ListParagraph"/>
        <w:numPr>
          <w:ilvl w:val="0"/>
          <w:numId w:val="2"/>
        </w:numPr>
        <w:spacing w:after="80"/>
      </w:pPr>
      <w:r>
        <w:rPr>
          <w:rFonts w:ascii="Arial" w:cs="Arial" w:eastAsia="Arial" w:hAnsi="Arial"/>
          <w:color w:val="000000"/>
          <w:sz w:val="20"/>
          <w:szCs w:val="20"/>
        </w:rPr>
        <w:t xml:space="preserve">The Amanita genus contains BOTH the world's most deadly mushroom (A. phalloides, the Death Cap) AND fully edible species (A. caesarea)</w:t>
      </w:r>
    </w:p>
    <w:p>
      <w:pPr>
        <w:pStyle w:val="ListParagraph"/>
        <w:numPr>
          <w:ilvl w:val="0"/>
          <w:numId w:val="2"/>
        </w:numPr>
        <w:spacing w:after="80"/>
      </w:pPr>
      <w:r>
        <w:rPr>
          <w:rFonts w:ascii="Arial" w:cs="Arial" w:eastAsia="Arial" w:hAnsi="Arial"/>
          <w:color w:val="000000"/>
          <w:sz w:val="20"/>
          <w:szCs w:val="20"/>
        </w:rPr>
        <w:t xml:space="preserve">Morels contain gyromitrin — partially toxic when raw, safe when cooked</w:t>
      </w:r>
    </w:p>
    <w:p>
      <w:pPr>
        <w:pStyle w:val="ListParagraph"/>
        <w:numPr>
          <w:ilvl w:val="0"/>
          <w:numId w:val="2"/>
        </w:numPr>
        <w:spacing w:after="80"/>
      </w:pPr>
      <w:r>
        <w:rPr>
          <w:rFonts w:ascii="Arial" w:cs="Arial" w:eastAsia="Arial" w:hAnsi="Arial"/>
          <w:color w:val="000000"/>
          <w:sz w:val="20"/>
          <w:szCs w:val="20"/>
        </w:rPr>
        <w:t xml:space="preserve">Digital identification apps exist in the 21st century but are unreliable — some inexperienced hunters relying on them have been seriously poisoned</w:t>
      </w:r>
    </w:p>
    <w:p>
      <w:pPr>
        <w:spacing w:after="60"/>
      </w:pPr>
      <w:r>
        <w:t xml:space="preserve"/>
      </w:r>
    </w:p>
    <w:p>
      <w:pPr>
        <w:pStyle w:val="Heading2"/>
        <w:spacing w:after="120" w:before="240"/>
      </w:pPr>
      <w:r>
        <w:rPr>
          <w:rFonts w:ascii="Arial" w:cs="Arial" w:eastAsia="Arial" w:hAnsi="Arial"/>
          <w:b/>
          <w:bCs/>
          <w:color w:val="2D6A4F"/>
          <w:sz w:val="28"/>
          <w:szCs w:val="28"/>
        </w:rPr>
        <w:t xml:space="preserve">The Two-Axis Mental Model</w:t>
      </w:r>
    </w:p>
    <w:p>
      <w:pPr>
        <w:spacing w:after="160"/>
      </w:pPr>
      <w:r>
        <w:rPr>
          <w:rFonts w:ascii="Arial" w:cs="Arial" w:eastAsia="Arial" w:hAnsi="Arial"/>
          <w:color w:val="000000"/>
          <w:sz w:val="20"/>
          <w:szCs w:val="20"/>
        </w:rPr>
        <w:t xml:space="preserve">Think of mushrooms on two independent axes rather than three sequential boxes: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3510"/>
        <w:gridCol w:w="3510"/>
      </w:tblGrid>
      <w:tr>
        <w:trPr>
          <w:tblHeader/>
        </w:trPr>
        <w:tc>
          <w:tcPr>
            <w:tcW w:type="dxa" w:w="2340"/>
            <w:tcBorders>
              <w:top w:val="single" w:color="2D6A4F" w:sz="1"/>
              <w:left w:val="single" w:color="2D6A4F" w:sz="1"/>
              <w:bottom w:val="single" w:color="2D6A4F" w:sz="1"/>
              <w:right w:val="single" w:color="2D6A4F" w:sz="1"/>
            </w:tcBorders>
            <w:shd w:fill="1B4332"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Quadrant</w:t>
            </w:r>
          </w:p>
        </w:tc>
        <w:tc>
          <w:tcPr>
            <w:tcW w:type="dxa" w:w="3510"/>
            <w:tcBorders>
              <w:top w:val="single" w:color="2D6A4F" w:sz="1"/>
              <w:left w:val="single" w:color="2D6A4F" w:sz="1"/>
              <w:bottom w:val="single" w:color="2D6A4F" w:sz="1"/>
              <w:right w:val="single" w:color="2D6A4F" w:sz="1"/>
            </w:tcBorders>
            <w:shd w:fill="1B4332"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Low Psychoactivity</w:t>
            </w:r>
          </w:p>
        </w:tc>
        <w:tc>
          <w:tcPr>
            <w:tcW w:type="dxa" w:w="3510"/>
            <w:tcBorders>
              <w:top w:val="single" w:color="2D6A4F" w:sz="1"/>
              <w:left w:val="single" w:color="2D6A4F" w:sz="1"/>
              <w:bottom w:val="single" w:color="2D6A4F" w:sz="1"/>
              <w:right w:val="single" w:color="2D6A4F" w:sz="1"/>
            </w:tcBorders>
            <w:shd w:fill="1B4332"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High Psychoactivity</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Low Toxicity</w:t>
            </w:r>
          </w:p>
        </w:tc>
        <w:tc>
          <w:tcPr>
            <w:tcW w:type="dxa" w:w="351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Standard edible &amp; medicinal mushrooms</w:t>
            </w:r>
          </w:p>
        </w:tc>
        <w:tc>
          <w:tcPr>
            <w:tcW w:type="dxa" w:w="351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D6A4F"/>
                <w:sz w:val="18"/>
                <w:szCs w:val="18"/>
              </w:rPr>
              <w:t xml:space="preserve">Psilocybe species (psilocybin mushrooms)</w:t>
            </w:r>
          </w:p>
        </w:tc>
      </w:tr>
      <w:tr>
        <w:tc>
          <w:tcPr>
            <w:tcW w:type="dxa" w:w="2340"/>
            <w:tcBorders>
              <w:top w:val="single" w:color="CCCCCC" w:sz="1"/>
              <w:left w:val="single" w:color="CCCCCC" w:sz="1"/>
              <w:bottom w:val="single" w:color="CCCCCC" w:sz="1"/>
              <w:right w:val="single" w:color="CCCCCC" w:sz="1"/>
            </w:tcBorders>
            <w:shd w:fill="F0FAF4" w:val="clear"/>
            <w:tcMar>
              <w:top w:type="dxa" w:w="80"/>
              <w:left w:type="dxa" w:w="120"/>
              <w:bottom w:type="dxa" w:w="80"/>
              <w:right w:type="dxa" w:w="120"/>
            </w:tcMar>
            <w:vAlign w:val="center"/>
          </w:tcPr>
          <w:p>
            <w:pPr>
              <w:jc w:val="left"/>
            </w:pPr>
            <w:r>
              <w:rPr>
                <w:rFonts w:ascii="Arial" w:cs="Arial" w:eastAsia="Arial" w:hAnsi="Arial"/>
                <w:b/>
                <w:bCs/>
                <w:color w:val="DC3545"/>
                <w:sz w:val="18"/>
                <w:szCs w:val="18"/>
              </w:rPr>
              <w:t xml:space="preserve">High Toxicity</w:t>
            </w:r>
          </w:p>
        </w:tc>
        <w:tc>
          <w:tcPr>
            <w:tcW w:type="dxa" w:w="3510"/>
            <w:tcBorders>
              <w:top w:val="single" w:color="CCCCCC" w:sz="1"/>
              <w:left w:val="single" w:color="CCCCCC" w:sz="1"/>
              <w:bottom w:val="single" w:color="CCCCCC" w:sz="1"/>
              <w:right w:val="single" w:color="CCCCCC" w:sz="1"/>
            </w:tcBorders>
            <w:shd w:fill="F0FAF4" w:val="clear"/>
            <w:tcMar>
              <w:top w:type="dxa" w:w="80"/>
              <w:left w:type="dxa" w:w="120"/>
              <w:bottom w:type="dxa" w:w="80"/>
              <w:right w:type="dxa" w:w="120"/>
            </w:tcMar>
            <w:vAlign w:val="center"/>
          </w:tcPr>
          <w:p>
            <w:pPr>
              <w:jc w:val="left"/>
            </w:pPr>
            <w:r>
              <w:rPr>
                <w:rFonts w:ascii="Arial" w:cs="Arial" w:eastAsia="Arial" w:hAnsi="Arial"/>
                <w:b w:val="false"/>
                <w:bCs w:val="false"/>
                <w:color w:val="DC3545"/>
                <w:sz w:val="18"/>
                <w:szCs w:val="18"/>
              </w:rPr>
              <w:t xml:space="preserve">Death Cap, Galerina — LETHAL</w:t>
            </w:r>
          </w:p>
        </w:tc>
        <w:tc>
          <w:tcPr>
            <w:tcW w:type="dxa" w:w="3510"/>
            <w:tcBorders>
              <w:top w:val="single" w:color="CCCCCC" w:sz="1"/>
              <w:left w:val="single" w:color="CCCCCC" w:sz="1"/>
              <w:bottom w:val="single" w:color="CCCCCC" w:sz="1"/>
              <w:right w:val="single" w:color="CCCCCC" w:sz="1"/>
            </w:tcBorders>
            <w:shd w:fill="F0FAF4" w:val="clear"/>
            <w:tcMar>
              <w:top w:type="dxa" w:w="80"/>
              <w:left w:type="dxa" w:w="120"/>
              <w:bottom w:type="dxa" w:w="80"/>
              <w:right w:type="dxa" w:w="120"/>
            </w:tcMar>
            <w:vAlign w:val="center"/>
          </w:tcPr>
          <w:p>
            <w:pPr>
              <w:jc w:val="left"/>
            </w:pPr>
            <w:r>
              <w:rPr>
                <w:rFonts w:ascii="Arial" w:cs="Arial" w:eastAsia="Arial" w:hAnsi="Arial"/>
                <w:b w:val="false"/>
                <w:bCs w:val="false"/>
                <w:color w:val="E86B00"/>
                <w:sz w:val="18"/>
                <w:szCs w:val="18"/>
              </w:rPr>
              <w:t xml:space="preserve">Amanita muscaria at high dose</w:t>
            </w:r>
          </w:p>
        </w:tc>
      </w:tr>
    </w:tbl>
    <w:p>
      <w:pPr>
        <w:spacing w:after="60"/>
      </w:pPr>
      <w:r>
        <w:t xml:space="preserve"/>
      </w:r>
    </w:p>
    <w:p>
      <w:pPr>
        <w:spacing w:after="160"/>
      </w:pPr>
      <w:r>
        <w:rPr>
          <w:rFonts w:ascii="Arial" w:cs="Arial" w:eastAsia="Arial" w:hAnsi="Arial"/>
          <w:color w:val="000000"/>
          <w:sz w:val="20"/>
          <w:szCs w:val="20"/>
        </w:rPr>
        <w:t xml:space="preserve">The psychedelic research community currently focuses on at least 300 species of psychedelic mushrooms, divided across Psilocybe, Panaeolus, Pluteus, Gymnopilus and other genera including Amanita, Copelandia, Inocybe, and Pholiotina.</w:t>
      </w:r>
    </w:p>
    <w:p>
      <w:pPr>
        <w:spacing w:after="80"/>
      </w:pPr>
      <w:r>
        <w:rPr>
          <w:rFonts w:ascii="Arial" w:cs="Arial" w:eastAsia="Arial" w:hAnsi="Arial"/>
          <w:b/>
          <w:bCs/>
          <w:color w:val="2D6A4F"/>
          <w:sz w:val="18"/>
          <w:szCs w:val="18"/>
        </w:rPr>
        <w:t xml:space="preserve">📎 Source: </w:t>
      </w:r>
      <w:r>
        <w:rPr>
          <w:rFonts w:ascii="Arial" w:cs="Arial" w:eastAsia="Arial" w:hAnsi="Arial"/>
          <w:i/>
          <w:iCs/>
          <w:color w:val="666666"/>
          <w:sz w:val="18"/>
          <w:szCs w:val="18"/>
        </w:rPr>
        <w:t xml:space="preserve">Frontiers in Forests &amp; Global Change — Taxonomy — https://www.frontiersin.org/journals/forests-and-global-change/articles/10.3389/ffgc.2022.813998/full</w:t>
      </w:r>
    </w:p>
    <w:p>
      <w:pPr>
        <w:spacing w:after="0"/>
      </w:pPr>
      <w:r>
        <w:br w:type="page"/>
      </w:r>
    </w:p>
    <w:p>
      <w:pPr>
        <w:pStyle w:val="Heading1"/>
        <w:pBdr>
          <w:bottom w:val="single" w:color="2D6A4F" w:sz="8" w:space="4"/>
        </w:pBdr>
        <w:spacing w:after="180" w:before="360"/>
      </w:pPr>
      <w:r>
        <w:rPr>
          <w:rFonts w:ascii="Arial" w:cs="Arial" w:eastAsia="Arial" w:hAnsi="Arial"/>
          <w:b/>
          <w:bCs/>
          <w:color w:val="1B4332"/>
          <w:sz w:val="36"/>
          <w:szCs w:val="36"/>
        </w:rPr>
        <w:t xml:space="preserve">9. Key Scientific References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2D6A4F" w:sz="1"/>
              <w:left w:val="single" w:color="2D6A4F" w:sz="1"/>
              <w:bottom w:val="single" w:color="2D6A4F" w:sz="1"/>
              <w:right w:val="single" w:color="2D6A4F" w:sz="1"/>
            </w:tcBorders>
            <w:shd w:fill="1B4332"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Source</w:t>
            </w:r>
          </w:p>
        </w:tc>
        <w:tc>
          <w:tcPr>
            <w:tcW w:type="dxa" w:w="6360"/>
            <w:tcBorders>
              <w:top w:val="single" w:color="2D6A4F" w:sz="1"/>
              <w:left w:val="single" w:color="2D6A4F" w:sz="1"/>
              <w:bottom w:val="single" w:color="2D6A4F" w:sz="1"/>
              <w:right w:val="single" w:color="2D6A4F" w:sz="1"/>
            </w:tcBorders>
            <w:shd w:fill="1B4332"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URL</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Johns Hopkins — Optimal Dosing Study</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https://pmc.ncbi.nlm.nih.gov/articles/PMC8056712/</w:t>
            </w:r>
          </w:p>
        </w:tc>
      </w:tr>
      <w:tr>
        <w:tc>
          <w:tcPr>
            <w:tcW w:type="dxa" w:w="3000"/>
            <w:tcBorders>
              <w:top w:val="single" w:color="CCCCCC" w:sz="1"/>
              <w:left w:val="single" w:color="CCCCCC" w:sz="1"/>
              <w:bottom w:val="single" w:color="CCCCCC" w:sz="1"/>
              <w:right w:val="single" w:color="CCCCCC" w:sz="1"/>
            </w:tcBorders>
            <w:shd w:fill="F0FAF4" w:val="clear"/>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Frontiers in Psychiatry — Therapeutic Dosing</w:t>
            </w:r>
          </w:p>
        </w:tc>
        <w:tc>
          <w:tcPr>
            <w:tcW w:type="dxa" w:w="6360"/>
            <w:tcBorders>
              <w:top w:val="single" w:color="CCCCCC" w:sz="1"/>
              <w:left w:val="single" w:color="CCCCCC" w:sz="1"/>
              <w:bottom w:val="single" w:color="CCCCCC" w:sz="1"/>
              <w:right w:val="single" w:color="CCCCCC" w:sz="1"/>
            </w:tcBorders>
            <w:shd w:fill="F0FAF4"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https://pmc.ncbi.nlm.nih.gov/articles/PMC9751063/</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Pharmacokinetics Systematic Review 2025</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https://www.ncbi.nlm.nih.gov/pmc/articles/PMC12030428/</w:t>
            </w:r>
          </w:p>
        </w:tc>
      </w:tr>
      <w:tr>
        <w:tc>
          <w:tcPr>
            <w:tcW w:type="dxa" w:w="3000"/>
            <w:tcBorders>
              <w:top w:val="single" w:color="CCCCCC" w:sz="1"/>
              <w:left w:val="single" w:color="CCCCCC" w:sz="1"/>
              <w:bottom w:val="single" w:color="CCCCCC" w:sz="1"/>
              <w:right w:val="single" w:color="CCCCCC" w:sz="1"/>
            </w:tcBorders>
            <w:shd w:fill="F0FAF4" w:val="clear"/>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Nature Scientific Reports — Stamets Stack</w:t>
            </w:r>
          </w:p>
        </w:tc>
        <w:tc>
          <w:tcPr>
            <w:tcW w:type="dxa" w:w="6360"/>
            <w:tcBorders>
              <w:top w:val="single" w:color="CCCCCC" w:sz="1"/>
              <w:left w:val="single" w:color="CCCCCC" w:sz="1"/>
              <w:bottom w:val="single" w:color="CCCCCC" w:sz="1"/>
              <w:right w:val="single" w:color="CCCCCC" w:sz="1"/>
            </w:tcBorders>
            <w:shd w:fill="F0FAF4"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https://www.nature.com/articles/s41598-022-14512-3</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Imperial College — BMI Study</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https://pmc.ncbi.nlm.nih.gov/articles/PMC9834321/</w:t>
            </w:r>
          </w:p>
        </w:tc>
      </w:tr>
      <w:tr>
        <w:tc>
          <w:tcPr>
            <w:tcW w:type="dxa" w:w="3000"/>
            <w:tcBorders>
              <w:top w:val="single" w:color="CCCCCC" w:sz="1"/>
              <w:left w:val="single" w:color="CCCCCC" w:sz="1"/>
              <w:bottom w:val="single" w:color="CCCCCC" w:sz="1"/>
              <w:right w:val="single" w:color="CCCCCC" w:sz="1"/>
            </w:tcBorders>
            <w:shd w:fill="F0FAF4" w:val="clear"/>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Global Drug Survey EMT Study</w:t>
            </w:r>
          </w:p>
        </w:tc>
        <w:tc>
          <w:tcPr>
            <w:tcW w:type="dxa" w:w="6360"/>
            <w:tcBorders>
              <w:top w:val="single" w:color="CCCCCC" w:sz="1"/>
              <w:left w:val="single" w:color="CCCCCC" w:sz="1"/>
              <w:bottom w:val="single" w:color="CCCCCC" w:sz="1"/>
              <w:right w:val="single" w:color="CCCCCC" w:sz="1"/>
            </w:tcBorders>
            <w:shd w:fill="F0FAF4"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https://pmc.ncbi.nlm.nih.gov/articles/PMC9353971/</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Frontiers — Taxonomy &amp; Phylogenetics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https://www.frontiersin.org/journals/forests-and-global-change/articles/10.3389/ffgc.2022.813998/full</w:t>
            </w:r>
          </w:p>
        </w:tc>
      </w:tr>
      <w:tr>
        <w:tc>
          <w:tcPr>
            <w:tcW w:type="dxa" w:w="3000"/>
            <w:tcBorders>
              <w:top w:val="single" w:color="CCCCCC" w:sz="1"/>
              <w:left w:val="single" w:color="CCCCCC" w:sz="1"/>
              <w:bottom w:val="single" w:color="CCCCCC" w:sz="1"/>
              <w:right w:val="single" w:color="CCCCCC" w:sz="1"/>
            </w:tcBorders>
            <w:shd w:fill="F0FAF4" w:val="clear"/>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Wikipedia — Psilocybin</w:t>
            </w:r>
          </w:p>
        </w:tc>
        <w:tc>
          <w:tcPr>
            <w:tcW w:type="dxa" w:w="6360"/>
            <w:tcBorders>
              <w:top w:val="single" w:color="CCCCCC" w:sz="1"/>
              <w:left w:val="single" w:color="CCCCCC" w:sz="1"/>
              <w:bottom w:val="single" w:color="CCCCCC" w:sz="1"/>
              <w:right w:val="single" w:color="CCCCCC" w:sz="1"/>
            </w:tcBorders>
            <w:shd w:fill="F0FAF4"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https://en.wikipedia.org/wiki/Psilocybin</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Johns Hopkins — Psilocybin Dosing Publication</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https://journals.sagepub.com/doi/10.1177/0269881121991822</w:t>
            </w:r>
          </w:p>
        </w:tc>
      </w:tr>
    </w:tbl>
    <w:p>
      <w:pPr>
        <w:spacing w:after="60"/>
      </w:pPr>
      <w:r>
        <w:t xml:space="preserve"/>
      </w:r>
    </w:p>
    <w:p>
      <w:pPr>
        <w:spacing w:after="60"/>
      </w:pPr>
      <w:r>
        <w:t xml:space="preserve"/>
      </w:r>
    </w:p>
    <w:p>
      <w:pPr>
        <w:spacing w:after="120" w:before="240"/>
        <w:jc w:val="center"/>
      </w:pPr>
      <w:r>
        <w:rPr>
          <w:rFonts w:ascii="Arial" w:cs="Arial" w:eastAsia="Arial" w:hAnsi="Arial"/>
          <w:i/>
          <w:iCs/>
          <w:color w:val="666666"/>
          <w:sz w:val="20"/>
          <w:szCs w:val="20"/>
        </w:rPr>
        <w:t xml:space="preserve">— End of Document —</w:t>
      </w:r>
    </w:p>
    <w:p>
      <w:pPr>
        <w:jc w:val="center"/>
      </w:pPr>
      <w:r>
        <w:rPr>
          <w:rFonts w:ascii="Arial" w:cs="Arial" w:eastAsia="Arial" w:hAnsi="Arial"/>
          <w:color w:val="666666"/>
          <w:sz w:val="18"/>
          <w:szCs w:val="18"/>
        </w:rPr>
        <w:t xml:space="preserve">Compiled for research purposes only. Always consult qualified medical and legal professionals.</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D6A4F" w:sz="6" w:space="4"/>
      </w:pBdr>
      <w:spacing w:before="120"/>
      <w:jc w:val="center"/>
    </w:pPr>
    <w:r>
      <w:rPr>
        <w:rFonts w:ascii="Arial" w:cs="Arial" w:eastAsia="Arial" w:hAnsi="Arial"/>
        <w:color w:val="666666"/>
        <w:sz w:val="16"/>
        <w:szCs w:val="16"/>
      </w:rPr>
      <w:t xml:space="preserve">Sources: Johns Hopkins, Imperial College London, Nature Scientific Reports, Frontiers in Psychiatry</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D6A4F" w:sz="6" w:space="4"/>
      </w:pBdr>
      <w:spacing w:after="120"/>
    </w:pPr>
    <w:r>
      <w:rPr>
        <w:rFonts w:ascii="Arial" w:cs="Arial" w:eastAsia="Arial" w:hAnsi="Arial"/>
        <w:b/>
        <w:bCs/>
        <w:color w:val="2D6A4F"/>
        <w:sz w:val="18"/>
        <w:szCs w:val="18"/>
      </w:rPr>
      <w:t xml:space="preserve">Psilocybin (Magic Mushrooms) — Research Reference</w:t>
    </w:r>
    <w:r>
      <w:rPr>
        <w:rFonts w:ascii="Arial" w:cs="Arial" w:eastAsia="Arial" w:hAnsi="Arial"/>
        <w:color w:val="666666"/>
        <w:sz w:val="18"/>
        <w:szCs w:val="18"/>
      </w:rPr>
      <w:t xml:space="preserve">   |   For Research Purposes Only</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Arial" w:cs="Arial" w:eastAsia="Arial" w:hAnsi="Arial"/>
      <w:b/>
      <w:bCs/>
      <w:color w:val="1B4332"/>
      <w:sz w:val="36"/>
      <w:szCs w:val="36"/>
    </w:rPr>
  </w:style>
  <w:style w:type="paragraph" w:styleId="Heading2">
    <w:name w:val="Heading 2"/>
    <w:basedOn w:val="Normal"/>
    <w:next w:val="Normal"/>
    <w:qFormat/>
    <w:pPr>
      <w:spacing w:after="120" w:before="240"/>
      <w:outlineLvl w:val="1"/>
    </w:pPr>
    <w:rPr>
      <w:rFonts w:ascii="Arial" w:cs="Arial" w:eastAsia="Arial" w:hAnsi="Arial"/>
      <w:b/>
      <w:bCs/>
      <w:color w:val="2D6A4F"/>
      <w:sz w:val="28"/>
      <w:szCs w:val="28"/>
    </w:rPr>
  </w:style>
  <w:style w:type="paragraph" w:styleId="Heading3">
    <w:name w:val="Heading 3"/>
    <w:basedOn w:val="Normal"/>
    <w:next w:val="Normal"/>
    <w:qFormat/>
    <w:pPr>
      <w:spacing w:after="80" w:before="200"/>
      <w:outlineLvl w:val="2"/>
    </w:pPr>
    <w:rPr>
      <w:rFonts w:ascii="Arial" w:cs="Arial" w:eastAsia="Arial" w:hAnsi="Arial"/>
      <w:b/>
      <w:bCs/>
      <w:color w:val="52B788"/>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2026-04-24T12:30:14.672Z</dcterms:created>
  <dcterms:modified xsi:type="dcterms:W3CDTF">2026-04-24T12:30:14.673Z</dcterms:modified>
</cp:coreProperties>
</file>

<file path=docProps/custom.xml><?xml version="1.0" encoding="utf-8"?>
<Properties xmlns="http://schemas.openxmlformats.org/officeDocument/2006/custom-properties" xmlns:vt="http://schemas.openxmlformats.org/officeDocument/2006/docPropsVTypes"/>
</file>