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sz w:val="36"/>
          <w:szCs w:val="36"/>
        </w:rPr>
        <w:t xml:space="preserve">PhishGuard：系統架構、評估結果與成本分析</w:t>
      </w:r>
    </w:p>
    <w:p>
      <w:pPr>
        <w:spacing w:after="40"/>
        <w:jc w:val="center"/>
      </w:pPr>
      <w:r>
        <w:rPr>
          <w:rFonts w:ascii="Arial" w:cs="Arial" w:eastAsia="Arial" w:hAnsi="Arial"/>
          <w:color w:val="555555"/>
          <w:sz w:val="22"/>
          <w:szCs w:val="22"/>
        </w:rPr>
        <w:t xml:space="preserve">多階段大型語言模型驅動之釣魚與社交工程郵件防禦系統</w:t>
      </w:r>
    </w:p>
    <w:p>
      <w:pPr>
        <w:spacing w:after="200"/>
        <w:jc w:val="center"/>
      </w:pPr>
      <w:r>
        <w:rPr>
          <w:rFonts w:ascii="Arial" w:cs="Arial" w:eastAsia="Arial" w:hAnsi="Arial"/>
          <w:color w:val="888888"/>
          <w:sz w:val="18"/>
          <w:szCs w:val="18"/>
        </w:rPr>
        <w:t xml:space="preserve">對應程式版本 tag v1.0（commit dcefbee）</w:t>
      </w:r>
    </w:p>
    <w:p>
      <w:pPr>
        <w:pStyle w:val="Heading1"/>
      </w:pPr>
      <w:r>
        <w:t xml:space="preserve">一、系統概述</w:t>
      </w:r>
    </w:p>
    <w:p>
      <w:pPr>
        <w:spacing w:after="140" w:line="300"/>
      </w:pPr>
      <w:r>
        <w:rPr>
          <w:rFonts w:ascii="Arial" w:cs="Arial" w:eastAsia="Arial" w:hAnsi="Arial"/>
          <w:sz w:val="22"/>
          <w:szCs w:val="22"/>
        </w:rPr>
        <w:t xml:space="preserve">PhishGuard 是一套以大型語言模型（LLM）驅動的多階段釣魚與社交工程郵件防禦系統。其核心設計理念為「</w:t>
      </w:r>
      <w:r>
        <w:rPr>
          <w:rFonts w:ascii="Arial" w:cs="Arial" w:eastAsia="Arial" w:hAnsi="Arial"/>
          <w:b/>
          <w:bCs/>
          <w:sz w:val="22"/>
          <w:szCs w:val="22"/>
        </w:rPr>
        <w:t xml:space="preserve">級聯（cascade）</w:t>
      </w:r>
      <w:r>
        <w:rPr>
          <w:rFonts w:ascii="Arial" w:cs="Arial" w:eastAsia="Arial" w:hAnsi="Arial"/>
          <w:sz w:val="22"/>
          <w:szCs w:val="22"/>
        </w:rPr>
        <w:t xml:space="preserve">」：先以低成本的輕量模型對大量郵件做快速、保守的初步過濾，僅將少數可疑郵件交由成本較高的旗艦模型做深度意圖分析，最後再產生員工可讀的警示與結構化的威脅情資。此設計同時追求三項目標——偵測準確（尤其降低漏報）、運算成本可控、以及輸出可供資安維運（SOC）直接使用。</w:t>
      </w:r>
    </w:p>
    <w:p>
      <w:pPr>
        <w:spacing w:after="140" w:line="300"/>
      </w:pPr>
      <w:r>
        <w:rPr>
          <w:rFonts w:ascii="Arial" w:cs="Arial" w:eastAsia="Arial" w:hAnsi="Arial"/>
          <w:sz w:val="22"/>
          <w:szCs w:val="22"/>
        </w:rPr>
        <w:t xml:space="preserve">本系統的問題選擇與架構設計，依據課程 Week 12（林俊叡老師《AI for Cybersecurity》）所揭示的核心概念與架構，並對齊台科大資訊安全科技與管理碩士班所強調的研究主軸：威脅狩獵與人工智慧輔助狩獵、資訊安全資料交換標準、數位鑑識、隱私設計與敏捷開發。下節「設計依據」逐項對應 Week 12 概念，「嚴謹性設計」一節再說明上述主軸如何落實於程式。</w:t>
      </w:r>
    </w:p>
    <w:p>
      <w:pPr>
        <w:pStyle w:val="Heading1"/>
      </w:pPr>
      <w:r>
        <w:t xml:space="preserve">二、設計依據：對應 Week 12 課程概念與架構</w:t>
      </w:r>
    </w:p>
    <w:p>
      <w:pPr>
        <w:spacing w:after="140" w:line="300"/>
      </w:pPr>
      <w:r>
        <w:rPr>
          <w:rFonts w:ascii="Arial" w:cs="Arial" w:eastAsia="Arial" w:hAnsi="Arial"/>
          <w:sz w:val="22"/>
          <w:szCs w:val="22"/>
        </w:rPr>
        <w:t xml:space="preserve">依課程要求，本系統的構想與架構係參酌 Week 12 投影片所揭示之概念與技術架構而設計。下表對應主要設計決策與課程概念：</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jc w:val="left"/>
            </w:pPr>
            <w:r>
              <w:rPr>
                <w:rFonts w:ascii="Arial" w:cs="Arial" w:eastAsia="Arial" w:hAnsi="Arial"/>
                <w:b/>
                <w:bCs/>
                <w:sz w:val="19"/>
                <w:szCs w:val="19"/>
              </w:rPr>
              <w:t xml:space="preserve">Week 12 課程概念（投影片）</w:t>
            </w:r>
          </w:p>
        </w:tc>
        <w:tc>
          <w:tcPr>
            <w:tcW w:type="dxa" w:w="6026"/>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jc w:val="center"/>
            </w:pPr>
            <w:r>
              <w:rPr>
                <w:rFonts w:ascii="Arial" w:cs="Arial" w:eastAsia="Arial" w:hAnsi="Arial"/>
                <w:b/>
                <w:bCs/>
                <w:sz w:val="19"/>
                <w:szCs w:val="19"/>
              </w:rPr>
              <w:t xml:space="preserve">PhishGuard 的對應落實</w:t>
            </w:r>
          </w:p>
        </w:tc>
      </w:tr>
      <w:t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rFonts w:ascii="Arial" w:cs="Arial" w:eastAsia="Arial" w:hAnsi="Arial"/>
                <w:b w:val="false"/>
                <w:bCs w:val="false"/>
                <w:sz w:val="19"/>
                <w:szCs w:val="19"/>
              </w:rPr>
              <w:t xml:space="preserve">p.10 LLM 電子郵件安全——意圖式偵測（SLM/LLM → 意圖分析 → 威脅分類；專打 BEC）</w:t>
            </w:r>
          </w:p>
        </w:tc>
        <w:tc>
          <w:tcPr>
            <w:tcW w:type="dxa" w:w="60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center"/>
            </w:pPr>
            <w:r>
              <w:rPr>
                <w:rFonts w:ascii="Arial" w:cs="Arial" w:eastAsia="Arial" w:hAnsi="Arial"/>
                <w:b w:val="false"/>
                <w:bCs w:val="false"/>
                <w:sz w:val="19"/>
                <w:szCs w:val="19"/>
              </w:rPr>
              <w:t xml:space="preserve">系統核心：Stage 1 輕量模型初篩 → Stage 2 旗艦模型做意圖分析（verdict / tactics），專注釣魚與 BEC（與投影片管線一一對應）</w:t>
            </w:r>
          </w:p>
        </w:tc>
      </w:tr>
      <w:t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rFonts w:ascii="Arial" w:cs="Arial" w:eastAsia="Arial" w:hAnsi="Arial"/>
                <w:b w:val="false"/>
                <w:bCs w:val="false"/>
                <w:sz w:val="19"/>
                <w:szCs w:val="19"/>
              </w:rPr>
              <w:t xml:space="preserve">p.23 PII 遮蔽「規則 vs LLM」的混合必要性；以確定性程式碼確保一致與合規</w:t>
            </w:r>
          </w:p>
        </w:tc>
        <w:tc>
          <w:tcPr>
            <w:tcW w:type="dxa" w:w="60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center"/>
            </w:pPr>
            <w:r>
              <w:rPr>
                <w:rFonts w:ascii="Arial" w:cs="Arial" w:eastAsia="Arial" w:hAnsi="Arial"/>
                <w:b w:val="false"/>
                <w:bCs w:val="false"/>
                <w:sz w:val="19"/>
                <w:szCs w:val="19"/>
              </w:rPr>
              <w:t xml:space="preserve">privacy.py 採確定性 regex 遮蔽（非 LLM），確保可稽核、可重現、合規；正對應投影片之 Reliability Gap / Hybrid Necessity</w:t>
            </w:r>
          </w:p>
        </w:tc>
      </w:tr>
      <w:t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rFonts w:ascii="Arial" w:cs="Arial" w:eastAsia="Arial" w:hAnsi="Arial"/>
                <w:b w:val="false"/>
                <w:bCs w:val="false"/>
                <w:sz w:val="19"/>
                <w:szCs w:val="19"/>
              </w:rPr>
              <w:t xml:space="preserve">p.25 從非結構化文字抽取結構化資料（Schema + LLM → 結構化輸出）</w:t>
            </w:r>
          </w:p>
        </w:tc>
        <w:tc>
          <w:tcPr>
            <w:tcW w:type="dxa" w:w="60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center"/>
            </w:pPr>
            <w:r>
              <w:rPr>
                <w:rFonts w:ascii="Arial" w:cs="Arial" w:eastAsia="Arial" w:hAnsi="Arial"/>
                <w:b w:val="false"/>
                <w:bCs w:val="false"/>
                <w:sz w:val="19"/>
                <w:szCs w:val="19"/>
              </w:rPr>
              <w:t xml:space="preserve">以 pydantic schema 定義 Stage1/2/3 輸出，要求 LLM 回傳 JSON 並驗證、失敗重試</w:t>
            </w:r>
          </w:p>
        </w:tc>
      </w:tr>
      <w:t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rFonts w:ascii="Arial" w:cs="Arial" w:eastAsia="Arial" w:hAnsi="Arial"/>
                <w:b w:val="false"/>
                <w:bCs w:val="false"/>
                <w:sz w:val="19"/>
                <w:szCs w:val="19"/>
              </w:rPr>
              <w:t xml:space="preserve">p.3 / p.6 規則式 → 傳統 ML → Transformer 的演進；規則擋不住混淆與 zero-day</w:t>
            </w:r>
          </w:p>
        </w:tc>
        <w:tc>
          <w:tcPr>
            <w:tcW w:type="dxa" w:w="60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center"/>
            </w:pPr>
            <w:r>
              <w:rPr>
                <w:rFonts w:ascii="Arial" w:cs="Arial" w:eastAsia="Arial" w:hAnsi="Arial"/>
                <w:b w:val="false"/>
                <w:bCs w:val="false"/>
                <w:sz w:val="19"/>
                <w:szCs w:val="19"/>
              </w:rPr>
              <w:t xml:space="preserve">以 LLM 取代簽章式規則，能處理語意混淆、改寫與 GenAI 時代「無錯字」釣魚</w:t>
            </w:r>
          </w:p>
        </w:tc>
      </w:tr>
      <w:t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rFonts w:ascii="Arial" w:cs="Arial" w:eastAsia="Arial" w:hAnsi="Arial"/>
                <w:b w:val="false"/>
                <w:bCs w:val="false"/>
                <w:sz w:val="19"/>
                <w:szCs w:val="19"/>
              </w:rPr>
              <w:t xml:space="preserve">p.8 / p.9 Transformer；偵測急迫性、社交工程線索、寄件者語意不一致</w:t>
            </w:r>
          </w:p>
        </w:tc>
        <w:tc>
          <w:tcPr>
            <w:tcW w:type="dxa" w:w="60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center"/>
            </w:pPr>
            <w:r>
              <w:rPr>
                <w:rFonts w:ascii="Arial" w:cs="Arial" w:eastAsia="Arial" w:hAnsi="Arial"/>
                <w:b w:val="false"/>
                <w:bCs w:val="false"/>
                <w:sz w:val="19"/>
                <w:szCs w:val="19"/>
              </w:rPr>
              <w:t xml:space="preserve">Stage 2 輸出 tactics 與 evidence，標記急迫性、誘導與寄件者不一致等社交工程線索</w:t>
            </w:r>
          </w:p>
        </w:tc>
      </w:tr>
      <w:t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rFonts w:ascii="Arial" w:cs="Arial" w:eastAsia="Arial" w:hAnsi="Arial"/>
                <w:b w:val="false"/>
                <w:bCs w:val="false"/>
                <w:sz w:val="19"/>
                <w:szCs w:val="19"/>
              </w:rPr>
              <w:t xml:space="preserve">p.17 / p.18 分層分流、以機率（非二元）做風險評分、降低告警疲勞</w:t>
            </w:r>
          </w:p>
        </w:tc>
        <w:tc>
          <w:tcPr>
            <w:tcW w:type="dxa" w:w="60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center"/>
            </w:pPr>
            <w:r>
              <w:rPr>
                <w:rFonts w:ascii="Arial" w:cs="Arial" w:eastAsia="Arial" w:hAnsi="Arial"/>
                <w:b w:val="false"/>
                <w:bCs w:val="false"/>
                <w:sz w:val="19"/>
                <w:szCs w:val="19"/>
              </w:rPr>
              <w:t xml:space="preserve">Stage 1 為第一層分流；confidence（high/medium/low）為非二元風險評分；級聯把 Precision 0.766 提升至 0.863</w:t>
            </w:r>
          </w:p>
        </w:tc>
      </w:tr>
      <w:t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rFonts w:ascii="Arial" w:cs="Arial" w:eastAsia="Arial" w:hAnsi="Arial"/>
                <w:b w:val="false"/>
                <w:bCs w:val="false"/>
                <w:sz w:val="19"/>
                <w:szCs w:val="19"/>
              </w:rPr>
              <w:t xml:space="preserve">p.24 自動 IOC 萃取與威脅情資</w:t>
            </w:r>
          </w:p>
        </w:tc>
        <w:tc>
          <w:tcPr>
            <w:tcW w:type="dxa" w:w="60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center"/>
            </w:pPr>
            <w:r>
              <w:rPr>
                <w:rFonts w:ascii="Arial" w:cs="Arial" w:eastAsia="Arial" w:hAnsi="Arial"/>
                <w:b w:val="false"/>
                <w:bCs w:val="false"/>
                <w:sz w:val="19"/>
                <w:szCs w:val="19"/>
              </w:rPr>
              <w:t xml:space="preserve">ioc.py 萃取攻擊者 URL／網域並匯出 STIX 2.1 bundle</w:t>
            </w:r>
          </w:p>
        </w:tc>
      </w:tr>
      <w:t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rFonts w:ascii="Arial" w:cs="Arial" w:eastAsia="Arial" w:hAnsi="Arial"/>
                <w:b w:val="false"/>
                <w:bCs w:val="false"/>
                <w:sz w:val="19"/>
                <w:szCs w:val="19"/>
              </w:rPr>
              <w:t xml:space="preserve">p.31 / p.33 可解釋性與信任（XAI）、可稽核的事件紀錄</w:t>
            </w:r>
          </w:p>
        </w:tc>
        <w:tc>
          <w:tcPr>
            <w:tcW w:type="dxa" w:w="60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center"/>
            </w:pPr>
            <w:r>
              <w:rPr>
                <w:rFonts w:ascii="Arial" w:cs="Arial" w:eastAsia="Arial" w:hAnsi="Arial"/>
                <w:b w:val="false"/>
                <w:bCs w:val="false"/>
                <w:sz w:val="19"/>
                <w:szCs w:val="19"/>
              </w:rPr>
              <w:t xml:space="preserve">每筆判定附 evidence 與 MITRE technique ID；append-only 稽核日誌 + 原文 SHA-256，提供可解釋、可稽核軌跡</w:t>
            </w:r>
          </w:p>
        </w:tc>
      </w:tr>
    </w:tbl>
    <w:p>
      <w:pPr>
        <w:spacing w:after="140" w:before="140" w:line="300"/>
      </w:pPr>
      <w:r>
        <w:rPr>
          <w:rFonts w:ascii="Arial" w:cs="Arial" w:eastAsia="Arial" w:hAnsi="Arial"/>
          <w:sz w:val="22"/>
          <w:szCs w:val="22"/>
        </w:rPr>
        <w:t xml:space="preserve">其中，投影片 </w:t>
      </w:r>
      <w:r>
        <w:rPr>
          <w:rFonts w:ascii="Arial" w:cs="Arial" w:eastAsia="Arial" w:hAnsi="Arial"/>
          <w:b/>
          <w:bCs/>
          <w:sz w:val="22"/>
          <w:szCs w:val="22"/>
        </w:rPr>
        <w:t xml:space="preserve">第 10 頁「LLM for Email Security」</w:t>
      </w:r>
      <w:r>
        <w:rPr>
          <w:rFonts w:ascii="Arial" w:cs="Arial" w:eastAsia="Arial" w:hAnsi="Arial"/>
          <w:sz w:val="22"/>
          <w:szCs w:val="22"/>
        </w:rPr>
        <w:t xml:space="preserve"> 所揭示的「意圖式偵測（Intent-Based Detection）」管線——網域 → 威脅偵測 → LLM/SLM → 意圖分析 → 威脅分類——與本系統三階段級聯幾乎一一對應，可視為該概念的具體實作；</w:t>
      </w:r>
      <w:r>
        <w:rPr>
          <w:rFonts w:ascii="Arial" w:cs="Arial" w:eastAsia="Arial" w:hAnsi="Arial"/>
          <w:b/>
          <w:bCs/>
          <w:sz w:val="22"/>
          <w:szCs w:val="22"/>
        </w:rPr>
        <w:t xml:space="preserve">第 23 頁</w:t>
      </w:r>
      <w:r>
        <w:rPr>
          <w:rFonts w:ascii="Arial" w:cs="Arial" w:eastAsia="Arial" w:hAnsi="Arial"/>
          <w:sz w:val="22"/>
          <w:szCs w:val="22"/>
        </w:rPr>
        <w:t xml:space="preserve"> 關於 PII 遮蔽「規則與 LLM 的混合必要性」亦直接支持本系統採確定性 regex 遮蔽的設計取捨。此外，本系統的鑑識軌跡（原文 SHA-256、append-only 稽核）亦呼應課程後續「威脅狩獵與時間軸重建」之主軸。</w:t>
      </w:r>
    </w:p>
    <w:p>
      <w:pPr>
        <w:pStyle w:val="Heading1"/>
      </w:pPr>
      <w:r>
        <w:t xml:space="preserve">三、系統架構與處理流程</w:t>
      </w:r>
    </w:p>
    <w:p>
      <w:pPr>
        <w:spacing w:after="140" w:line="300"/>
      </w:pPr>
      <w:r>
        <w:rPr>
          <w:rFonts w:ascii="Arial" w:cs="Arial" w:eastAsia="Arial" w:hAnsi="Arial"/>
          <w:sz w:val="22"/>
          <w:szCs w:val="22"/>
        </w:rPr>
        <w:t xml:space="preserve">郵件首先正規化為統一的 Message 物件（寄件者、主旨、內文、URL），接著依序流經三個階段，全程留下數位鑑識軌跡（圖一）。</w:t>
      </w:r>
    </w:p>
    <w:p>
      <w:pPr>
        <w:spacing w:after="40" w:before="60"/>
        <w:jc w:val="center"/>
      </w:pPr>
      <w:r>
        <w:drawing>
          <wp:inline distT="0" distB="0" distL="0" distR="0">
            <wp:extent cx="5143500" cy="6086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143500" cy="6086475"/>
                    </a:xfrm>
                    <a:prstGeom prst="rect">
                      <a:avLst/>
                    </a:prstGeom>
                  </pic:spPr>
                </pic:pic>
              </a:graphicData>
            </a:graphic>
          </wp:inline>
        </w:drawing>
      </w:r>
    </w:p>
    <w:p>
      <w:pPr>
        <w:spacing w:after="160" w:before="80"/>
        <w:jc w:val="center"/>
      </w:pPr>
      <w:r>
        <w:rPr>
          <w:rFonts w:ascii="Arial" w:cs="Arial" w:eastAsia="Arial" w:hAnsi="Arial"/>
          <w:b/>
          <w:bCs/>
          <w:color w:val="555555"/>
          <w:sz w:val="19"/>
          <w:szCs w:val="19"/>
        </w:rPr>
        <w:t xml:space="preserve">圖一　PhishGuard 三階段級聯架構與處理流程</w:t>
      </w:r>
    </w:p>
    <w:p>
      <w:pPr>
        <w:spacing w:after="140" w:line="300"/>
      </w:pPr>
      <w:r>
        <w:rPr>
          <w:rFonts w:ascii="Arial" w:cs="Arial" w:eastAsia="Arial" w:hAnsi="Arial"/>
          <w:b/>
          <w:bCs/>
          <w:sz w:val="22"/>
          <w:szCs w:val="22"/>
        </w:rPr>
        <w:t xml:space="preserve">Stage 1（輕量 LLM 二元過濾）：</w:t>
      </w:r>
      <w:r>
        <w:rPr>
          <w:rFonts w:ascii="Arial" w:cs="Arial" w:eastAsia="Arial" w:hAnsi="Arial"/>
          <w:sz w:val="22"/>
          <w:szCs w:val="22"/>
        </w:rPr>
        <w:t xml:space="preserve">以輕量模型（Qwen2.5-7B）將郵件快速分為 safe 或 suspicious，並輸出初篩信心（confidence）。此階段採 Recall 優先（寧可誤報、不可漏報）；判為 safe 者僅寫入鑑識紀錄即結束，不再消耗昂貴模型。</w:t>
      </w:r>
    </w:p>
    <w:p>
      <w:pPr>
        <w:spacing w:after="140" w:line="300"/>
      </w:pPr>
      <w:r>
        <w:rPr>
          <w:rFonts w:ascii="Arial" w:cs="Arial" w:eastAsia="Arial" w:hAnsi="Arial"/>
          <w:b/>
          <w:bCs/>
          <w:sz w:val="22"/>
          <w:szCs w:val="22"/>
        </w:rPr>
        <w:t xml:space="preserve">Stage 2（旗艦 LLM 意圖分析）：</w:t>
      </w:r>
      <w:r>
        <w:rPr>
          <w:rFonts w:ascii="Arial" w:cs="Arial" w:eastAsia="Arial" w:hAnsi="Arial"/>
          <w:sz w:val="22"/>
          <w:szCs w:val="22"/>
        </w:rPr>
        <w:t xml:space="preserve">對 suspicious 郵件以旗艦模型（Qwen2.5-14B）做深度分析，輸出判定（verdict）、信心、攻擊手法（tactics）、對應的 MITRE ATT&amp;CK technique ID 與佐證（evidence）。若 Stage 1 對該郵件信心偏低，Stage 2 會啟用更保守的判斷策略以降低漏報。</w:t>
      </w:r>
    </w:p>
    <w:p>
      <w:pPr>
        <w:spacing w:after="140" w:line="300"/>
      </w:pPr>
      <w:r>
        <w:rPr>
          <w:rFonts w:ascii="Arial" w:cs="Arial" w:eastAsia="Arial" w:hAnsi="Arial"/>
          <w:b/>
          <w:bCs/>
          <w:sz w:val="22"/>
          <w:szCs w:val="22"/>
        </w:rPr>
        <w:t xml:space="preserve">Stage 3（旗艦 LLM 白話警示）：</w:t>
      </w:r>
      <w:r>
        <w:rPr>
          <w:rFonts w:ascii="Arial" w:cs="Arial" w:eastAsia="Arial" w:hAnsi="Arial"/>
          <w:sz w:val="22"/>
          <w:szCs w:val="22"/>
        </w:rPr>
        <w:t xml:space="preserve">將技術性判定轉化為員工可理解的五段式 emoji 通知，第五段對應 MITRE 緩解措施 M1017（User Training）[6]，使偵測（攻擊面 technique）與防禦（防禦面 mitigation）兩端都扣回 ATT&amp;CK 標準。</w:t>
      </w:r>
    </w:p>
    <w:p>
      <w:pPr>
        <w:spacing w:after="140" w:line="300"/>
      </w:pPr>
      <w:r>
        <w:rPr>
          <w:rFonts w:ascii="Arial" w:cs="Arial" w:eastAsia="Arial" w:hAnsi="Arial"/>
          <w:b/>
          <w:bCs/>
          <w:sz w:val="22"/>
          <w:szCs w:val="22"/>
        </w:rPr>
        <w:t xml:space="preserve">雙重輸出：</w:t>
      </w:r>
      <w:r>
        <w:rPr>
          <w:rFonts w:ascii="Arial" w:cs="Arial" w:eastAsia="Arial" w:hAnsi="Arial"/>
          <w:sz w:val="22"/>
          <w:szCs w:val="22"/>
        </w:rPr>
        <w:t xml:space="preserve">每封郵件皆寫入 append-only 的鑑識稽核紀錄（含對原始內文計算的 SHA-256）；判定為釣魚者另匯出 STIX 2.1 IOC bundle [7]（含攻擊者 URL／網域），供情資共享。</w:t>
      </w:r>
    </w:p>
    <w:p>
      <w:pPr>
        <w:spacing w:after="120" w:before="120" w:line="300"/>
      </w:pPr>
      <w:r>
        <w:rPr>
          <w:rFonts w:ascii="Arial" w:cs="Arial" w:eastAsia="Arial" w:hAnsi="Arial"/>
          <w:sz w:val="22"/>
          <w:szCs w:val="22"/>
        </w:rPr>
        <w:t xml:space="preserve">各模組職責如下表：</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jc w:val="left"/>
            </w:pPr>
            <w:r>
              <w:rPr>
                <w:rFonts w:ascii="Arial" w:cs="Arial" w:eastAsia="Arial" w:hAnsi="Arial"/>
                <w:b/>
                <w:bCs/>
                <w:sz w:val="19"/>
                <w:szCs w:val="19"/>
              </w:rPr>
              <w:t xml:space="preserve">模組</w:t>
            </w:r>
          </w:p>
        </w:tc>
        <w:tc>
          <w:tcPr>
            <w:tcW w:type="dxa" w:w="6826"/>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jc w:val="center"/>
            </w:pPr>
            <w:r>
              <w:rPr>
                <w:rFonts w:ascii="Arial" w:cs="Arial" w:eastAsia="Arial" w:hAnsi="Arial"/>
                <w:b/>
                <w:bCs/>
                <w:sz w:val="19"/>
                <w:szCs w:val="19"/>
              </w:rPr>
              <w:t xml:space="preserve">職責</w:t>
            </w:r>
          </w:p>
        </w:tc>
      </w:tr>
      <w:tr>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rFonts w:ascii="Arial" w:cs="Arial" w:eastAsia="Arial" w:hAnsi="Arial"/>
                <w:b w:val="false"/>
                <w:bCs w:val="false"/>
                <w:sz w:val="19"/>
                <w:szCs w:val="19"/>
              </w:rPr>
              <w:t xml:space="preserve">schema.py</w:t>
            </w:r>
          </w:p>
        </w:tc>
        <w:tc>
          <w:tcPr>
            <w:tcW w:type="dxa" w:w="68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center"/>
            </w:pPr>
            <w:r>
              <w:rPr>
                <w:rFonts w:ascii="Arial" w:cs="Arial" w:eastAsia="Arial" w:hAnsi="Arial"/>
                <w:b w:val="false"/>
                <w:bCs w:val="false"/>
                <w:sz w:val="19"/>
                <w:szCs w:val="19"/>
              </w:rPr>
              <w:t xml:space="preserve">pydantic v2 模型（Message、Stage1/2/3Result）</w:t>
            </w:r>
          </w:p>
        </w:tc>
      </w:tr>
      <w:tr>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rFonts w:ascii="Arial" w:cs="Arial" w:eastAsia="Arial" w:hAnsi="Arial"/>
                <w:b w:val="false"/>
                <w:bCs w:val="false"/>
                <w:sz w:val="19"/>
                <w:szCs w:val="19"/>
              </w:rPr>
              <w:t xml:space="preserve">llm_client.py</w:t>
            </w:r>
          </w:p>
        </w:tc>
        <w:tc>
          <w:tcPr>
            <w:tcW w:type="dxa" w:w="68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center"/>
            </w:pPr>
            <w:r>
              <w:rPr>
                <w:rFonts w:ascii="Arial" w:cs="Arial" w:eastAsia="Arial" w:hAnsi="Arial"/>
                <w:b w:val="false"/>
                <w:bCs w:val="false"/>
                <w:sz w:val="19"/>
                <w:szCs w:val="19"/>
              </w:rPr>
              <w:t xml:space="preserve">OpenAI 相容 client（指向 Ollama 端點），temperature=0、呼叫次數計數</w:t>
            </w:r>
          </w:p>
        </w:tc>
      </w:tr>
      <w:tr>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rFonts w:ascii="Arial" w:cs="Arial" w:eastAsia="Arial" w:hAnsi="Arial"/>
                <w:b w:val="false"/>
                <w:bCs w:val="false"/>
                <w:sz w:val="19"/>
                <w:szCs w:val="19"/>
              </w:rPr>
              <w:t xml:space="preserve">privacy.py</w:t>
            </w:r>
          </w:p>
        </w:tc>
        <w:tc>
          <w:tcPr>
            <w:tcW w:type="dxa" w:w="68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center"/>
            </w:pPr>
            <w:r>
              <w:rPr>
                <w:rFonts w:ascii="Arial" w:cs="Arial" w:eastAsia="Arial" w:hAnsi="Arial"/>
                <w:b w:val="false"/>
                <w:bCs w:val="false"/>
                <w:sz w:val="19"/>
                <w:szCs w:val="19"/>
              </w:rPr>
              <w:t xml:space="preserve">隱私設計：遮蔽受害者 PII、保留攻擊者 URL</w:t>
            </w:r>
          </w:p>
        </w:tc>
      </w:tr>
      <w:tr>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rFonts w:ascii="Arial" w:cs="Arial" w:eastAsia="Arial" w:hAnsi="Arial"/>
                <w:b w:val="false"/>
                <w:bCs w:val="false"/>
                <w:sz w:val="19"/>
                <w:szCs w:val="19"/>
              </w:rPr>
              <w:t xml:space="preserve">stage1/2/3_*.py</w:t>
            </w:r>
          </w:p>
        </w:tc>
        <w:tc>
          <w:tcPr>
            <w:tcW w:type="dxa" w:w="68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center"/>
            </w:pPr>
            <w:r>
              <w:rPr>
                <w:rFonts w:ascii="Arial" w:cs="Arial" w:eastAsia="Arial" w:hAnsi="Arial"/>
                <w:b w:val="false"/>
                <w:bCs w:val="false"/>
                <w:sz w:val="19"/>
                <w:szCs w:val="19"/>
              </w:rPr>
              <w:t xml:space="preserve">三階段：過濾 / 意圖分析 / 白話警示</w:t>
            </w:r>
          </w:p>
        </w:tc>
      </w:tr>
      <w:tr>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rFonts w:ascii="Arial" w:cs="Arial" w:eastAsia="Arial" w:hAnsi="Arial"/>
                <w:b w:val="false"/>
                <w:bCs w:val="false"/>
                <w:sz w:val="19"/>
                <w:szCs w:val="19"/>
              </w:rPr>
              <w:t xml:space="preserve">mitre.py</w:t>
            </w:r>
          </w:p>
        </w:tc>
        <w:tc>
          <w:tcPr>
            <w:tcW w:type="dxa" w:w="68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center"/>
            </w:pPr>
            <w:r>
              <w:rPr>
                <w:rFonts w:ascii="Arial" w:cs="Arial" w:eastAsia="Arial" w:hAnsi="Arial"/>
                <w:b w:val="false"/>
                <w:bCs w:val="false"/>
                <w:sz w:val="19"/>
                <w:szCs w:val="19"/>
              </w:rPr>
              <w:t xml:space="preserve">威脅狩獵：ATT&amp;CK technique 驗證補正 + 緩解措施對照</w:t>
            </w:r>
          </w:p>
        </w:tc>
      </w:tr>
      <w:tr>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rFonts w:ascii="Arial" w:cs="Arial" w:eastAsia="Arial" w:hAnsi="Arial"/>
                <w:b w:val="false"/>
                <w:bCs w:val="false"/>
                <w:sz w:val="19"/>
                <w:szCs w:val="19"/>
              </w:rPr>
              <w:t xml:space="preserve">forensics.py</w:t>
            </w:r>
          </w:p>
        </w:tc>
        <w:tc>
          <w:tcPr>
            <w:tcW w:type="dxa" w:w="68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center"/>
            </w:pPr>
            <w:r>
              <w:rPr>
                <w:rFonts w:ascii="Arial" w:cs="Arial" w:eastAsia="Arial" w:hAnsi="Arial"/>
                <w:b w:val="false"/>
                <w:bCs w:val="false"/>
                <w:sz w:val="19"/>
                <w:szCs w:val="19"/>
              </w:rPr>
              <w:t xml:space="preserve">數位鑑識：原文 SHA-256 + append-only 稽核日誌</w:t>
            </w:r>
          </w:p>
        </w:tc>
      </w:tr>
      <w:tr>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rFonts w:ascii="Arial" w:cs="Arial" w:eastAsia="Arial" w:hAnsi="Arial"/>
                <w:b w:val="false"/>
                <w:bCs w:val="false"/>
                <w:sz w:val="19"/>
                <w:szCs w:val="19"/>
              </w:rPr>
              <w:t xml:space="preserve">ioc.py</w:t>
            </w:r>
          </w:p>
        </w:tc>
        <w:tc>
          <w:tcPr>
            <w:tcW w:type="dxa" w:w="68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center"/>
            </w:pPr>
            <w:r>
              <w:rPr>
                <w:rFonts w:ascii="Arial" w:cs="Arial" w:eastAsia="Arial" w:hAnsi="Arial"/>
                <w:b w:val="false"/>
                <w:bCs w:val="false"/>
                <w:sz w:val="19"/>
                <w:szCs w:val="19"/>
              </w:rPr>
              <w:t xml:space="preserve">資料交換標準：STIX 2.1 IOC 匯出</w:t>
            </w:r>
          </w:p>
        </w:tc>
      </w:tr>
      <w:tr>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rFonts w:ascii="Arial" w:cs="Arial" w:eastAsia="Arial" w:hAnsi="Arial"/>
                <w:b w:val="false"/>
                <w:bCs w:val="false"/>
                <w:sz w:val="19"/>
                <w:szCs w:val="19"/>
              </w:rPr>
              <w:t xml:space="preserve">pipeline.py / evaluation.py</w:t>
            </w:r>
          </w:p>
        </w:tc>
        <w:tc>
          <w:tcPr>
            <w:tcW w:type="dxa" w:w="68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center"/>
            </w:pPr>
            <w:r>
              <w:rPr>
                <w:rFonts w:ascii="Arial" w:cs="Arial" w:eastAsia="Arial" w:hAnsi="Arial"/>
                <w:b w:val="false"/>
                <w:bCs w:val="false"/>
                <w:sz w:val="19"/>
                <w:szCs w:val="19"/>
              </w:rPr>
              <w:t xml:space="preserve">串接三階段 + 鑑識 + IOC；評估與成本比較</w:t>
            </w:r>
          </w:p>
        </w:tc>
      </w:tr>
    </w:tbl>
    <w:p>
      <w:pPr>
        <w:pStyle w:val="Heading1"/>
      </w:pPr>
      <w:r>
        <w:t xml:space="preserve">四、嚴謹性設計：對齊資安標準與研究主軸</w:t>
      </w:r>
    </w:p>
    <w:p>
      <w:pPr>
        <w:spacing w:after="140" w:line="300"/>
      </w:pPr>
      <w:r>
        <w:rPr>
          <w:rFonts w:ascii="Arial" w:cs="Arial" w:eastAsia="Arial" w:hAnsi="Arial"/>
          <w:sz w:val="22"/>
          <w:szCs w:val="22"/>
        </w:rPr>
        <w:t xml:space="preserve">本系統以五條「硬規則」貫穿實作，逐一對應碩士班揭示的研究主軸：</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263"/>
        <w:gridCol w:w="4263"/>
      </w:tblGrid>
      <w:tr>
        <w:trPr>
          <w:tblHeader/>
        </w:trPr>
        <w:tc>
          <w:tcPr>
            <w:tcW w:type="dxa" w:w="15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jc w:val="left"/>
            </w:pPr>
            <w:r>
              <w:rPr>
                <w:rFonts w:ascii="Arial" w:cs="Arial" w:eastAsia="Arial" w:hAnsi="Arial"/>
                <w:b/>
                <w:bCs/>
                <w:sz w:val="19"/>
                <w:szCs w:val="19"/>
              </w:rPr>
              <w:t xml:space="preserve">規則</w:t>
            </w:r>
          </w:p>
        </w:tc>
        <w:tc>
          <w:tcPr>
            <w:tcW w:type="dxa" w:w="3263"/>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jc w:val="center"/>
            </w:pPr>
            <w:r>
              <w:rPr>
                <w:rFonts w:ascii="Arial" w:cs="Arial" w:eastAsia="Arial" w:hAnsi="Arial"/>
                <w:b/>
                <w:bCs/>
                <w:sz w:val="19"/>
                <w:szCs w:val="19"/>
              </w:rPr>
              <w:t xml:space="preserve">對應研究主軸</w:t>
            </w:r>
          </w:p>
        </w:tc>
        <w:tc>
          <w:tcPr>
            <w:tcW w:type="dxa" w:w="4263"/>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jc w:val="center"/>
            </w:pPr>
            <w:r>
              <w:rPr>
                <w:rFonts w:ascii="Arial" w:cs="Arial" w:eastAsia="Arial" w:hAnsi="Arial"/>
                <w:b/>
                <w:bCs/>
                <w:sz w:val="19"/>
                <w:szCs w:val="19"/>
              </w:rPr>
              <w:t xml:space="preserve">程式落實</w:t>
            </w:r>
          </w:p>
        </w:tc>
      </w:tr>
      <w:tr>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rFonts w:ascii="Arial" w:cs="Arial" w:eastAsia="Arial" w:hAnsi="Arial"/>
                <w:b w:val="false"/>
                <w:bCs w:val="false"/>
                <w:sz w:val="19"/>
                <w:szCs w:val="19"/>
              </w:rPr>
              <w:t xml:space="preserve">威脅狩獵</w:t>
            </w:r>
          </w:p>
        </w:tc>
        <w:tc>
          <w:tcPr>
            <w:tcW w:type="dxa" w:w="3263"/>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center"/>
            </w:pPr>
            <w:r>
              <w:rPr>
                <w:rFonts w:ascii="Arial" w:cs="Arial" w:eastAsia="Arial" w:hAnsi="Arial"/>
                <w:b w:val="false"/>
                <w:bCs w:val="false"/>
                <w:sz w:val="19"/>
                <w:szCs w:val="19"/>
              </w:rPr>
              <w:t xml:space="preserve">威脅狩獵、AI 輔助狩獵</w:t>
            </w:r>
          </w:p>
        </w:tc>
        <w:tc>
          <w:tcPr>
            <w:tcW w:type="dxa" w:w="4263"/>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center"/>
            </w:pPr>
            <w:r>
              <w:rPr>
                <w:rFonts w:ascii="Arial" w:cs="Arial" w:eastAsia="Arial" w:hAnsi="Arial"/>
                <w:b w:val="false"/>
                <w:bCs w:val="false"/>
                <w:sz w:val="19"/>
                <w:szCs w:val="19"/>
              </w:rPr>
              <w:t xml:space="preserve">Stage 2 為每個 tactic 附 MITRE ATT&amp;CK technique ID（mitre.py 補正）</w:t>
            </w:r>
          </w:p>
        </w:tc>
      </w:tr>
      <w:tr>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rFonts w:ascii="Arial" w:cs="Arial" w:eastAsia="Arial" w:hAnsi="Arial"/>
                <w:b w:val="false"/>
                <w:bCs w:val="false"/>
                <w:sz w:val="19"/>
                <w:szCs w:val="19"/>
              </w:rPr>
              <w:t xml:space="preserve">資料交換標準</w:t>
            </w:r>
          </w:p>
        </w:tc>
        <w:tc>
          <w:tcPr>
            <w:tcW w:type="dxa" w:w="3263"/>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center"/>
            </w:pPr>
            <w:r>
              <w:rPr>
                <w:rFonts w:ascii="Arial" w:cs="Arial" w:eastAsia="Arial" w:hAnsi="Arial"/>
                <w:b w:val="false"/>
                <w:bCs w:val="false"/>
                <w:sz w:val="19"/>
                <w:szCs w:val="19"/>
              </w:rPr>
              <w:t xml:space="preserve">資訊安全資料交換標準</w:t>
            </w:r>
          </w:p>
        </w:tc>
        <w:tc>
          <w:tcPr>
            <w:tcW w:type="dxa" w:w="4263"/>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center"/>
            </w:pPr>
            <w:r>
              <w:rPr>
                <w:rFonts w:ascii="Arial" w:cs="Arial" w:eastAsia="Arial" w:hAnsi="Arial"/>
                <w:b w:val="false"/>
                <w:bCs w:val="false"/>
                <w:sz w:val="19"/>
                <w:szCs w:val="19"/>
              </w:rPr>
              <w:t xml:space="preserve">URL／網域／寄件者匯出 STIX 2.1 bundle（ioc.py）</w:t>
            </w:r>
          </w:p>
        </w:tc>
      </w:tr>
      <w:tr>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rFonts w:ascii="Arial" w:cs="Arial" w:eastAsia="Arial" w:hAnsi="Arial"/>
                <w:b w:val="false"/>
                <w:bCs w:val="false"/>
                <w:sz w:val="19"/>
                <w:szCs w:val="19"/>
              </w:rPr>
              <w:t xml:space="preserve">數位鑑識</w:t>
            </w:r>
          </w:p>
        </w:tc>
        <w:tc>
          <w:tcPr>
            <w:tcW w:type="dxa" w:w="3263"/>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center"/>
            </w:pPr>
            <w:r>
              <w:rPr>
                <w:rFonts w:ascii="Arial" w:cs="Arial" w:eastAsia="Arial" w:hAnsi="Arial"/>
                <w:b w:val="false"/>
                <w:bCs w:val="false"/>
                <w:sz w:val="19"/>
                <w:szCs w:val="19"/>
              </w:rPr>
              <w:t xml:space="preserve">數位鑑識</w:t>
            </w:r>
          </w:p>
        </w:tc>
        <w:tc>
          <w:tcPr>
            <w:tcW w:type="dxa" w:w="4263"/>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center"/>
            </w:pPr>
            <w:r>
              <w:rPr>
                <w:rFonts w:ascii="Arial" w:cs="Arial" w:eastAsia="Arial" w:hAnsi="Arial"/>
                <w:b w:val="false"/>
                <w:bCs w:val="false"/>
                <w:sz w:val="19"/>
                <w:szCs w:val="19"/>
              </w:rPr>
              <w:t xml:space="preserve">case_id＋ISO8601 時戳＋原文 SHA-256，append-only 日誌（forensics.py）</w:t>
            </w:r>
          </w:p>
        </w:tc>
      </w:tr>
      <w:tr>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rFonts w:ascii="Arial" w:cs="Arial" w:eastAsia="Arial" w:hAnsi="Arial"/>
                <w:b w:val="false"/>
                <w:bCs w:val="false"/>
                <w:sz w:val="19"/>
                <w:szCs w:val="19"/>
              </w:rPr>
              <w:t xml:space="preserve">隱私設計</w:t>
            </w:r>
          </w:p>
        </w:tc>
        <w:tc>
          <w:tcPr>
            <w:tcW w:type="dxa" w:w="3263"/>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center"/>
            </w:pPr>
            <w:r>
              <w:rPr>
                <w:rFonts w:ascii="Arial" w:cs="Arial" w:eastAsia="Arial" w:hAnsi="Arial"/>
                <w:b w:val="false"/>
                <w:bCs w:val="false"/>
                <w:sz w:val="19"/>
                <w:szCs w:val="19"/>
              </w:rPr>
              <w:t xml:space="preserve">資訊安全與隱私設計</w:t>
            </w:r>
          </w:p>
        </w:tc>
        <w:tc>
          <w:tcPr>
            <w:tcW w:type="dxa" w:w="4263"/>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center"/>
            </w:pPr>
            <w:r>
              <w:rPr>
                <w:rFonts w:ascii="Arial" w:cs="Arial" w:eastAsia="Arial" w:hAnsi="Arial"/>
                <w:b w:val="false"/>
                <w:bCs w:val="false"/>
                <w:sz w:val="19"/>
                <w:szCs w:val="19"/>
              </w:rPr>
              <w:t xml:space="preserve">寫入任何紀錄／輸出前先遮蔽受害者 PII（privacy.py）</w:t>
            </w:r>
          </w:p>
        </w:tc>
      </w:tr>
      <w:tr>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rFonts w:ascii="Arial" w:cs="Arial" w:eastAsia="Arial" w:hAnsi="Arial"/>
                <w:b w:val="false"/>
                <w:bCs w:val="false"/>
                <w:sz w:val="19"/>
                <w:szCs w:val="19"/>
              </w:rPr>
              <w:t xml:space="preserve">證據保全</w:t>
            </w:r>
          </w:p>
        </w:tc>
        <w:tc>
          <w:tcPr>
            <w:tcW w:type="dxa" w:w="3263"/>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center"/>
            </w:pPr>
            <w:r>
              <w:rPr>
                <w:rFonts w:ascii="Arial" w:cs="Arial" w:eastAsia="Arial" w:hAnsi="Arial"/>
                <w:b w:val="false"/>
                <w:bCs w:val="false"/>
                <w:sz w:val="19"/>
                <w:szCs w:val="19"/>
              </w:rPr>
              <w:t xml:space="preserve">威脅狩獵／資料交換</w:t>
            </w:r>
          </w:p>
        </w:tc>
        <w:tc>
          <w:tcPr>
            <w:tcW w:type="dxa" w:w="4263"/>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center"/>
            </w:pPr>
            <w:r>
              <w:rPr>
                <w:rFonts w:ascii="Arial" w:cs="Arial" w:eastAsia="Arial" w:hAnsi="Arial"/>
                <w:b w:val="false"/>
                <w:bCs w:val="false"/>
                <w:sz w:val="19"/>
                <w:szCs w:val="19"/>
              </w:rPr>
              <w:t xml:space="preserve">不遮蔽攻擊者 URL／網域，保全為 IOC 證據</w:t>
            </w:r>
          </w:p>
        </w:tc>
      </w:tr>
    </w:tbl>
    <w:p>
      <w:pPr>
        <w:spacing w:after="120" w:before="160" w:line="300"/>
      </w:pPr>
      <w:r>
        <w:rPr>
          <w:rFonts w:ascii="Arial" w:cs="Arial" w:eastAsia="Arial" w:hAnsi="Arial"/>
          <w:sz w:val="22"/>
          <w:szCs w:val="22"/>
        </w:rPr>
        <w:t xml:space="preserve">此外，有兩個刻意做對的數位鑑識細節，特別反映嚴謹性：</w:t>
      </w:r>
    </w:p>
    <w:p>
      <w:pPr>
        <w:spacing w:after="140" w:line="300"/>
      </w:pPr>
      <w:r>
        <w:rPr>
          <w:rFonts w:ascii="Arial" w:cs="Arial" w:eastAsia="Arial" w:hAnsi="Arial"/>
          <w:b/>
          <w:bCs/>
          <w:sz w:val="22"/>
          <w:szCs w:val="22"/>
        </w:rPr>
        <w:t xml:space="preserve">（1）雜湊順序——先 hash 原文、後遮蔽。</w:t>
      </w:r>
      <w:r>
        <w:rPr>
          <w:rFonts w:ascii="Arial" w:cs="Arial" w:eastAsia="Arial" w:hAnsi="Arial"/>
          <w:sz w:val="22"/>
          <w:szCs w:val="22"/>
        </w:rPr>
        <w:t xml:space="preserve">forensics.py 的 make_record() 先對原始內文計算 SHA-256（作為證據鏈錨點），再遮蔽 PII，最後存「遮蔽版內容＋原文雜湊」。順序不可顛倒，否則存入的會是遮蔽版的雜湊，無法與原件比對、鑑識完整性即失效（測試 test_forensics.py 反向鎖住此性質）。</w:t>
      </w:r>
    </w:p>
    <w:p>
      <w:pPr>
        <w:spacing w:after="140" w:line="300"/>
      </w:pPr>
      <w:r>
        <w:rPr>
          <w:rFonts w:ascii="Arial" w:cs="Arial" w:eastAsia="Arial" w:hAnsi="Arial"/>
          <w:b/>
          <w:bCs/>
          <w:sz w:val="22"/>
          <w:szCs w:val="22"/>
        </w:rPr>
        <w:t xml:space="preserve">（2）遮蔽中保全 IOC。</w:t>
      </w:r>
      <w:r>
        <w:rPr>
          <w:rFonts w:ascii="Arial" w:cs="Arial" w:eastAsia="Arial" w:hAnsi="Arial"/>
          <w:sz w:val="22"/>
          <w:szCs w:val="22"/>
        </w:rPr>
        <w:t xml:space="preserve">釣魚 URL 常內含長數字串（如 ?id=...），若直接套用「卡號＝連續數字」規則會誤遮攻擊者證據。因此遮蔽採「先抽出並保護所有 URL → 遮蔽個人 PII → 還原 URL」之順序：受害者個資被遮成 token，攻擊者 URL（連同其中數字）原樣保留。</w:t>
      </w:r>
    </w:p>
    <w:p>
      <w:pPr>
        <w:spacing w:after="140" w:line="300"/>
      </w:pPr>
      <w:r>
        <w:rPr>
          <w:rFonts w:ascii="Arial" w:cs="Arial" w:eastAsia="Arial" w:hAnsi="Arial"/>
          <w:b/>
          <w:bCs/>
          <w:sz w:val="22"/>
          <w:szCs w:val="22"/>
        </w:rPr>
        <w:t xml:space="preserve">敏捷開發：</w:t>
      </w:r>
      <w:r>
        <w:rPr>
          <w:rFonts w:ascii="Arial" w:cs="Arial" w:eastAsia="Arial" w:hAnsi="Arial"/>
          <w:sz w:val="22"/>
          <w:szCs w:val="22"/>
        </w:rPr>
        <w:t xml:space="preserve">三階段 prompt 以獨立檔案版本控管（prompt 注入採 .replace 而非 str.format，以容納 prompt 內的字面 JSON 範例）；全部邏輯均有自動化測試覆蓋（見「可重現性與程式碼」一節）。</w:t>
      </w:r>
    </w:p>
    <w:p>
      <w:pPr>
        <w:pStyle w:val="Heading1"/>
      </w:pPr>
      <w:r>
        <w:t xml:space="preserve">五、評估方法</w:t>
      </w:r>
    </w:p>
    <w:p>
      <w:pPr>
        <w:spacing w:after="140" w:line="300"/>
      </w:pPr>
      <w:r>
        <w:rPr>
          <w:rFonts w:ascii="Arial" w:cs="Arial" w:eastAsia="Arial" w:hAnsi="Arial"/>
          <w:sz w:val="22"/>
          <w:szCs w:val="22"/>
        </w:rPr>
        <w:t xml:space="preserve">本研究在兩份性質不同的資料集上評估偵測效能與運算成本。第一份為團隊自製測試集，共 50 封郵件（正常與釣魚各 25 封），由組員依其對釣魚與 BEC 的理解撰寫。第二份為公開語料庫資料集，共 100 封真實郵件，其中正常郵件 50 封取自 SpamAssassin 公開語料庫（easy_ham），釣魚郵件 50 封取自 Nazario 釣魚語料庫（經 Kaggle 之 phishing-email-dataset 彙整）。所有郵件於載入時皆先經過 PII 遮蔽（對應硬規則四、五）。</w:t>
      </w:r>
    </w:p>
    <w:p>
      <w:pPr>
        <w:pStyle w:val="Heading2"/>
      </w:pPr>
      <w:r>
        <w:t xml:space="preserve">資料集選擇理由</w:t>
      </w:r>
    </w:p>
    <w:p>
      <w:pPr>
        <w:spacing w:after="140" w:line="300"/>
      </w:pPr>
      <w:r>
        <w:rPr>
          <w:rFonts w:ascii="Arial" w:cs="Arial" w:eastAsia="Arial" w:hAnsi="Arial"/>
          <w:sz w:val="22"/>
          <w:szCs w:val="22"/>
        </w:rPr>
        <w:t xml:space="preserve">自製測試集出現「假性滿分」（見「結果分析」一節），無法區分架構優劣，凸顯以真實郵件評估之必要。因此公開資料集刻意選用釣魚偵測研究中廣泛採用的公開基準語料庫：正常郵件取自 SpamAssassin 公開語料庫 [1]，釣魚郵件取自 Nazario 釣魚語料庫 [2]；二者長期作為釣魚偵測研究的標準基準資料集 [3][4]。實作上，我們透過 Kaggle 的 phishing-email-dataset [5] 取得已整理、標註的 CSV 版本——該資料集彙整 CEAS、Nazario、Nigerian Fraud、SpamAssassin 等來源、共約 82,500 封郵件，並要求使用者引用 Al-Subaiey 等人（2024）[5] 與 Champa 等人（2024）[3]。</w:t>
      </w:r>
    </w:p>
    <w:p>
      <w:pPr>
        <w:spacing w:after="140" w:line="300"/>
      </w:pPr>
      <w:r>
        <w:rPr>
          <w:rFonts w:ascii="Arial" w:cs="Arial" w:eastAsia="Arial" w:hAnsi="Arial"/>
          <w:sz w:val="22"/>
          <w:szCs w:val="22"/>
        </w:rPr>
        <w:t xml:space="preserve">選擇此資料集的三項理由：</w:t>
      </w:r>
    </w:p>
    <w:p>
      <w:pPr>
        <w:pStyle w:val="ListParagraph"/>
        <w:numPr>
          <w:ilvl w:val="0"/>
          <w:numId w:val="2"/>
        </w:numPr>
        <w:spacing w:after="100" w:line="290"/>
      </w:pPr>
      <w:r>
        <w:rPr>
          <w:rFonts w:ascii="Arial" w:cs="Arial" w:eastAsia="Arial" w:hAnsi="Arial"/>
          <w:b/>
          <w:bCs/>
          <w:sz w:val="22"/>
          <w:szCs w:val="22"/>
        </w:rPr>
        <w:t xml:space="preserve">真實性與難度：</w:t>
      </w:r>
      <w:r>
        <w:rPr>
          <w:rFonts w:ascii="Arial" w:cs="Arial" w:eastAsia="Arial" w:hAnsi="Arial"/>
          <w:sz w:val="22"/>
          <w:szCs w:val="22"/>
        </w:rPr>
        <w:t xml:space="preserve">收錄真實世界的正常與釣魚郵件，涵蓋純文字、HTML 與附件等多樣形式，遠較自製樣本貼近實際攻擊，能產生有意義的偵測差異（自製集即因過於理想而假性滿分）。</w:t>
      </w:r>
    </w:p>
    <w:p>
      <w:pPr>
        <w:pStyle w:val="ListParagraph"/>
        <w:numPr>
          <w:ilvl w:val="0"/>
          <w:numId w:val="2"/>
        </w:numPr>
        <w:spacing w:after="100" w:line="290"/>
      </w:pPr>
      <w:r>
        <w:rPr>
          <w:rFonts w:ascii="Arial" w:cs="Arial" w:eastAsia="Arial" w:hAnsi="Arial"/>
          <w:b/>
          <w:bCs/>
          <w:sz w:val="22"/>
          <w:szCs w:val="22"/>
        </w:rPr>
        <w:t xml:space="preserve">文獻基準：</w:t>
      </w:r>
      <w:r>
        <w:rPr>
          <w:rFonts w:ascii="Arial" w:cs="Arial" w:eastAsia="Arial" w:hAnsi="Arial"/>
          <w:sz w:val="22"/>
          <w:szCs w:val="22"/>
        </w:rPr>
        <w:t xml:space="preserve">SpamAssassin 與 Nazario 為釣魚偵測文獻中反覆使用的標準基準 [3][4][5]，採用之有助與既有研究對話與比較。</w:t>
      </w:r>
    </w:p>
    <w:p>
      <w:pPr>
        <w:pStyle w:val="ListParagraph"/>
        <w:numPr>
          <w:ilvl w:val="0"/>
          <w:numId w:val="2"/>
        </w:numPr>
        <w:spacing w:after="100" w:line="290"/>
      </w:pPr>
      <w:r>
        <w:rPr>
          <w:rFonts w:ascii="Arial" w:cs="Arial" w:eastAsia="Arial" w:hAnsi="Arial"/>
          <w:b/>
          <w:bCs/>
          <w:sz w:val="22"/>
          <w:szCs w:val="22"/>
        </w:rPr>
        <w:t xml:space="preserve">可重現性與標註完整：</w:t>
      </w:r>
      <w:r>
        <w:rPr>
          <w:rFonts w:ascii="Arial" w:cs="Arial" w:eastAsia="Arial" w:hAnsi="Arial"/>
          <w:sz w:val="22"/>
          <w:szCs w:val="22"/>
        </w:rPr>
        <w:t xml:space="preserve">Kaggle 彙整版提供已標註、結構化的 CSV（含寄件者、主旨、內文、標籤），便於平衡抽樣；且為公開資料，支援「可重現性與程式碼」一節所述之可重現性。</w:t>
      </w:r>
    </w:p>
    <w:p>
      <w:pPr>
        <w:spacing w:after="140" w:before="160" w:line="300"/>
      </w:pPr>
      <w:r>
        <w:rPr>
          <w:rFonts w:ascii="Arial" w:cs="Arial" w:eastAsia="Arial" w:hAnsi="Arial"/>
          <w:sz w:val="22"/>
          <w:szCs w:val="22"/>
        </w:rPr>
        <w:t xml:space="preserve">為驗證級聯架構的價值，我們在同一份資料上比較兩種做法：（1）單一大模型基準——僅以旗艦模型對整封郵件做一次判定；（2）本系統的三階段級聯。指標採 Precision、Recall、F1（以「釣魚」為正類別，資安情境特別關注漏報），通過標準訂為 F1 ≥ 0.85；運算成本以 LLM 呼叫次數為代理，著重昂貴的旗艦模型呼叫。模型部署於 Glows.ai 雲端 GPU，透過 Ollama 服務 Qwen2.5-7B（輕量，Stage 1）與 Qwen2.5-14B（旗艦，Stage 2、3）[8]。所有數據均基於程式版本 commit dcefbee（tag v1.0）。</w:t>
      </w:r>
    </w:p>
    <w:p>
      <w:pPr>
        <w:pStyle w:val="Heading1"/>
      </w:pPr>
      <w:r>
        <w:t xml:space="preserve">六、評估結果</w:t>
      </w:r>
    </w:p>
    <w:p>
      <w:pPr>
        <w:spacing w:after="140" w:line="300"/>
      </w:pPr>
      <w:r>
        <w:rPr>
          <w:rFonts w:ascii="Arial" w:cs="Arial" w:eastAsia="Arial" w:hAnsi="Arial"/>
          <w:sz w:val="22"/>
          <w:szCs w:val="22"/>
        </w:rPr>
        <w:t xml:space="preserve">表一為自製測試集的結果，兩種做法皆達滿分，差異僅在成本（級聯 25 次旗艦呼叫 vs 單一 50 次）；圖二為其終端機輸出。</w:t>
      </w:r>
    </w:p>
    <w:p>
      <w:pPr>
        <w:spacing w:after="160" w:before="80"/>
        <w:jc w:val="center"/>
      </w:pPr>
      <w:r>
        <w:rPr>
          <w:rFonts w:ascii="Arial" w:cs="Arial" w:eastAsia="Arial" w:hAnsi="Arial"/>
          <w:b/>
          <w:bCs/>
          <w:color w:val="555555"/>
          <w:sz w:val="19"/>
          <w:szCs w:val="19"/>
        </w:rPr>
        <w:t xml:space="preserve">表一　自製測試集（50 封）評估結果</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6"/>
        <w:gridCol w:w="1680"/>
        <w:gridCol w:w="1680"/>
        <w:gridCol w:w="1680"/>
        <w:gridCol w:w="1680"/>
      </w:tblGrid>
      <w:tr>
        <w:trPr>
          <w:tblHeader/>
        </w:trPr>
        <w:tc>
          <w:tcPr>
            <w:tcW w:type="dxa" w:w="2306"/>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jc w:val="left"/>
            </w:pPr>
            <w:r>
              <w:rPr>
                <w:rFonts w:ascii="Arial" w:cs="Arial" w:eastAsia="Arial" w:hAnsi="Arial"/>
                <w:b/>
                <w:bCs/>
                <w:sz w:val="19"/>
                <w:szCs w:val="19"/>
              </w:rPr>
              <w:t xml:space="preserve">方法</w:t>
            </w:r>
          </w:p>
        </w:tc>
        <w:tc>
          <w:tcPr>
            <w:tcW w:type="dxa" w:w="168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jc w:val="center"/>
            </w:pPr>
            <w:r>
              <w:rPr>
                <w:rFonts w:ascii="Arial" w:cs="Arial" w:eastAsia="Arial" w:hAnsi="Arial"/>
                <w:b/>
                <w:bCs/>
                <w:sz w:val="19"/>
                <w:szCs w:val="19"/>
              </w:rPr>
              <w:t xml:space="preserve">Precision</w:t>
            </w:r>
          </w:p>
        </w:tc>
        <w:tc>
          <w:tcPr>
            <w:tcW w:type="dxa" w:w="168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jc w:val="center"/>
            </w:pPr>
            <w:r>
              <w:rPr>
                <w:rFonts w:ascii="Arial" w:cs="Arial" w:eastAsia="Arial" w:hAnsi="Arial"/>
                <w:b/>
                <w:bCs/>
                <w:sz w:val="19"/>
                <w:szCs w:val="19"/>
              </w:rPr>
              <w:t xml:space="preserve">Recall</w:t>
            </w:r>
          </w:p>
        </w:tc>
        <w:tc>
          <w:tcPr>
            <w:tcW w:type="dxa" w:w="168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jc w:val="center"/>
            </w:pPr>
            <w:r>
              <w:rPr>
                <w:rFonts w:ascii="Arial" w:cs="Arial" w:eastAsia="Arial" w:hAnsi="Arial"/>
                <w:b/>
                <w:bCs/>
                <w:sz w:val="19"/>
                <w:szCs w:val="19"/>
              </w:rPr>
              <w:t xml:space="preserve">F1</w:t>
            </w:r>
          </w:p>
        </w:tc>
        <w:tc>
          <w:tcPr>
            <w:tcW w:type="dxa" w:w="168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jc w:val="center"/>
            </w:pPr>
            <w:r>
              <w:rPr>
                <w:rFonts w:ascii="Arial" w:cs="Arial" w:eastAsia="Arial" w:hAnsi="Arial"/>
                <w:b/>
                <w:bCs/>
                <w:sz w:val="19"/>
                <w:szCs w:val="19"/>
              </w:rPr>
              <w:t xml:space="preserve">旗艦呼叫</w:t>
            </w:r>
          </w:p>
        </w:tc>
      </w:tr>
      <w:tr>
        <w:tc>
          <w:tcPr>
            <w:tcW w:type="dxa" w:w="230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rFonts w:ascii="Arial" w:cs="Arial" w:eastAsia="Arial" w:hAnsi="Arial"/>
                <w:b/>
                <w:bCs/>
                <w:sz w:val="19"/>
                <w:szCs w:val="19"/>
              </w:rPr>
              <w:t xml:space="preserve">單一大模型</w:t>
            </w:r>
          </w:p>
        </w:tc>
        <w:tc>
          <w:tcPr>
            <w:tcW w:type="dxa" w:w="16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center"/>
            </w:pPr>
            <w:r>
              <w:rPr>
                <w:rFonts w:ascii="Arial" w:cs="Arial" w:eastAsia="Arial" w:hAnsi="Arial"/>
                <w:b w:val="false"/>
                <w:bCs w:val="false"/>
                <w:sz w:val="19"/>
                <w:szCs w:val="19"/>
              </w:rPr>
              <w:t xml:space="preserve">1.000</w:t>
            </w:r>
          </w:p>
        </w:tc>
        <w:tc>
          <w:tcPr>
            <w:tcW w:type="dxa" w:w="16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center"/>
            </w:pPr>
            <w:r>
              <w:rPr>
                <w:rFonts w:ascii="Arial" w:cs="Arial" w:eastAsia="Arial" w:hAnsi="Arial"/>
                <w:b w:val="false"/>
                <w:bCs w:val="false"/>
                <w:sz w:val="19"/>
                <w:szCs w:val="19"/>
              </w:rPr>
              <w:t xml:space="preserve">1.000</w:t>
            </w:r>
          </w:p>
        </w:tc>
        <w:tc>
          <w:tcPr>
            <w:tcW w:type="dxa" w:w="16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center"/>
            </w:pPr>
            <w:r>
              <w:rPr>
                <w:rFonts w:ascii="Arial" w:cs="Arial" w:eastAsia="Arial" w:hAnsi="Arial"/>
                <w:b w:val="false"/>
                <w:bCs w:val="false"/>
                <w:sz w:val="19"/>
                <w:szCs w:val="19"/>
              </w:rPr>
              <w:t xml:space="preserve">1.000</w:t>
            </w:r>
          </w:p>
        </w:tc>
        <w:tc>
          <w:tcPr>
            <w:tcW w:type="dxa" w:w="16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center"/>
            </w:pPr>
            <w:r>
              <w:rPr>
                <w:rFonts w:ascii="Arial" w:cs="Arial" w:eastAsia="Arial" w:hAnsi="Arial"/>
                <w:b w:val="false"/>
                <w:bCs w:val="false"/>
                <w:sz w:val="19"/>
                <w:szCs w:val="19"/>
              </w:rPr>
              <w:t xml:space="preserve">50</w:t>
            </w:r>
          </w:p>
        </w:tc>
      </w:tr>
      <w:tr>
        <w:tc>
          <w:tcPr>
            <w:tcW w:type="dxa" w:w="230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rFonts w:ascii="Arial" w:cs="Arial" w:eastAsia="Arial" w:hAnsi="Arial"/>
                <w:b/>
                <w:bCs/>
                <w:sz w:val="19"/>
                <w:szCs w:val="19"/>
              </w:rPr>
              <w:t xml:space="preserve">三階段級聯</w:t>
            </w:r>
          </w:p>
        </w:tc>
        <w:tc>
          <w:tcPr>
            <w:tcW w:type="dxa" w:w="16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center"/>
            </w:pPr>
            <w:r>
              <w:rPr>
                <w:rFonts w:ascii="Arial" w:cs="Arial" w:eastAsia="Arial" w:hAnsi="Arial"/>
                <w:b w:val="false"/>
                <w:bCs w:val="false"/>
                <w:sz w:val="19"/>
                <w:szCs w:val="19"/>
              </w:rPr>
              <w:t xml:space="preserve">1.000</w:t>
            </w:r>
          </w:p>
        </w:tc>
        <w:tc>
          <w:tcPr>
            <w:tcW w:type="dxa" w:w="16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center"/>
            </w:pPr>
            <w:r>
              <w:rPr>
                <w:rFonts w:ascii="Arial" w:cs="Arial" w:eastAsia="Arial" w:hAnsi="Arial"/>
                <w:b w:val="false"/>
                <w:bCs w:val="false"/>
                <w:sz w:val="19"/>
                <w:szCs w:val="19"/>
              </w:rPr>
              <w:t xml:space="preserve">1.000</w:t>
            </w:r>
          </w:p>
        </w:tc>
        <w:tc>
          <w:tcPr>
            <w:tcW w:type="dxa" w:w="16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center"/>
            </w:pPr>
            <w:r>
              <w:rPr>
                <w:rFonts w:ascii="Arial" w:cs="Arial" w:eastAsia="Arial" w:hAnsi="Arial"/>
                <w:b w:val="false"/>
                <w:bCs w:val="false"/>
                <w:sz w:val="19"/>
                <w:szCs w:val="19"/>
              </w:rPr>
              <w:t xml:space="preserve">1.000</w:t>
            </w:r>
          </w:p>
        </w:tc>
        <w:tc>
          <w:tcPr>
            <w:tcW w:type="dxa" w:w="16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center"/>
            </w:pPr>
            <w:r>
              <w:rPr>
                <w:rFonts w:ascii="Arial" w:cs="Arial" w:eastAsia="Arial" w:hAnsi="Arial"/>
                <w:b w:val="false"/>
                <w:bCs w:val="false"/>
                <w:sz w:val="19"/>
                <w:szCs w:val="19"/>
              </w:rPr>
              <w:t xml:space="preserve">25</w:t>
            </w:r>
          </w:p>
        </w:tc>
      </w:tr>
    </w:tbl>
    <w:p>
      <w:pPr>
        <w:spacing w:after="40" w:before="60"/>
        <w:jc w:val="center"/>
      </w:pPr>
      <w:r>
        <w:drawing>
          <wp:inline distT="0" distB="0" distL="0" distR="0">
            <wp:extent cx="5715000" cy="2295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295525"/>
                    </a:xfrm>
                    <a:prstGeom prst="rect">
                      <a:avLst/>
                    </a:prstGeom>
                  </pic:spPr>
                </pic:pic>
              </a:graphicData>
            </a:graphic>
          </wp:inline>
        </w:drawing>
      </w:r>
    </w:p>
    <w:p>
      <w:pPr>
        <w:spacing w:after="160" w:before="80"/>
        <w:jc w:val="center"/>
      </w:pPr>
      <w:r>
        <w:rPr>
          <w:rFonts w:ascii="Arial" w:cs="Arial" w:eastAsia="Arial" w:hAnsi="Arial"/>
          <w:b/>
          <w:bCs/>
          <w:color w:val="555555"/>
          <w:sz w:val="19"/>
          <w:szCs w:val="19"/>
        </w:rPr>
        <w:t xml:space="preserve">圖二　自製測試集之 compare.py／evaluate.py 終端機輸出</w:t>
      </w:r>
    </w:p>
    <w:p>
      <w:pPr>
        <w:spacing w:after="140" w:before="160" w:line="300"/>
      </w:pPr>
      <w:r>
        <w:rPr>
          <w:rFonts w:ascii="Arial" w:cs="Arial" w:eastAsia="Arial" w:hAnsi="Arial"/>
          <w:sz w:val="22"/>
          <w:szCs w:val="22"/>
        </w:rPr>
        <w:t xml:space="preserve">表二為公開資料集的結果，分數低於滿分、且兩種做法差異顯現；表三為級聯的逐類別表現；圖三為其終端機輸出。</w:t>
      </w:r>
    </w:p>
    <w:p>
      <w:pPr>
        <w:spacing w:after="160" w:before="80"/>
        <w:jc w:val="center"/>
      </w:pPr>
      <w:r>
        <w:rPr>
          <w:rFonts w:ascii="Arial" w:cs="Arial" w:eastAsia="Arial" w:hAnsi="Arial"/>
          <w:b/>
          <w:bCs/>
          <w:color w:val="555555"/>
          <w:sz w:val="19"/>
          <w:szCs w:val="19"/>
        </w:rPr>
        <w:t xml:space="preserve">表二　公開資料集（100 封）評估結果</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26"/>
        <w:gridCol w:w="1200"/>
        <w:gridCol w:w="1200"/>
        <w:gridCol w:w="1200"/>
        <w:gridCol w:w="1200"/>
        <w:gridCol w:w="1200"/>
        <w:gridCol w:w="1200"/>
      </w:tblGrid>
      <w:tr>
        <w:trPr>
          <w:tblHeader/>
        </w:trPr>
        <w:tc>
          <w:tcPr>
            <w:tcW w:type="dxa" w:w="1826"/>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jc w:val="left"/>
            </w:pPr>
            <w:r>
              <w:rPr>
                <w:rFonts w:ascii="Arial" w:cs="Arial" w:eastAsia="Arial" w:hAnsi="Arial"/>
                <w:b/>
                <w:bCs/>
                <w:sz w:val="19"/>
                <w:szCs w:val="19"/>
              </w:rPr>
              <w:t xml:space="preserve">方法</w:t>
            </w:r>
          </w:p>
        </w:tc>
        <w:tc>
          <w:tcPr>
            <w:tcW w:type="dxa" w:w="12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jc w:val="center"/>
            </w:pPr>
            <w:r>
              <w:rPr>
                <w:rFonts w:ascii="Arial" w:cs="Arial" w:eastAsia="Arial" w:hAnsi="Arial"/>
                <w:b/>
                <w:bCs/>
                <w:sz w:val="19"/>
                <w:szCs w:val="19"/>
              </w:rPr>
              <w:t xml:space="preserve">Precision</w:t>
            </w:r>
          </w:p>
        </w:tc>
        <w:tc>
          <w:tcPr>
            <w:tcW w:type="dxa" w:w="12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jc w:val="center"/>
            </w:pPr>
            <w:r>
              <w:rPr>
                <w:rFonts w:ascii="Arial" w:cs="Arial" w:eastAsia="Arial" w:hAnsi="Arial"/>
                <w:b/>
                <w:bCs/>
                <w:sz w:val="19"/>
                <w:szCs w:val="19"/>
              </w:rPr>
              <w:t xml:space="preserve">Recall</w:t>
            </w:r>
          </w:p>
        </w:tc>
        <w:tc>
          <w:tcPr>
            <w:tcW w:type="dxa" w:w="12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jc w:val="center"/>
            </w:pPr>
            <w:r>
              <w:rPr>
                <w:rFonts w:ascii="Arial" w:cs="Arial" w:eastAsia="Arial" w:hAnsi="Arial"/>
                <w:b/>
                <w:bCs/>
                <w:sz w:val="19"/>
                <w:szCs w:val="19"/>
              </w:rPr>
              <w:t xml:space="preserve">F1</w:t>
            </w:r>
          </w:p>
        </w:tc>
        <w:tc>
          <w:tcPr>
            <w:tcW w:type="dxa" w:w="12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jc w:val="center"/>
            </w:pPr>
            <w:r>
              <w:rPr>
                <w:rFonts w:ascii="Arial" w:cs="Arial" w:eastAsia="Arial" w:hAnsi="Arial"/>
                <w:b/>
                <w:bCs/>
                <w:sz w:val="19"/>
                <w:szCs w:val="19"/>
              </w:rPr>
              <w:t xml:space="preserve">旗艦呼叫</w:t>
            </w:r>
          </w:p>
        </w:tc>
        <w:tc>
          <w:tcPr>
            <w:tcW w:type="dxa" w:w="12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jc w:val="center"/>
            </w:pPr>
            <w:r>
              <w:rPr>
                <w:rFonts w:ascii="Arial" w:cs="Arial" w:eastAsia="Arial" w:hAnsi="Arial"/>
                <w:b/>
                <w:bCs/>
                <w:sz w:val="19"/>
                <w:szCs w:val="19"/>
              </w:rPr>
              <w:t xml:space="preserve">輕量呼叫</w:t>
            </w:r>
          </w:p>
        </w:tc>
        <w:tc>
          <w:tcPr>
            <w:tcW w:type="dxa" w:w="12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jc w:val="center"/>
            </w:pPr>
            <w:r>
              <w:rPr>
                <w:rFonts w:ascii="Arial" w:cs="Arial" w:eastAsia="Arial" w:hAnsi="Arial"/>
                <w:b/>
                <w:bCs/>
                <w:sz w:val="19"/>
                <w:szCs w:val="19"/>
              </w:rPr>
              <w:t xml:space="preserve">總呼叫</w:t>
            </w:r>
          </w:p>
        </w:tc>
      </w:tr>
      <w:tr>
        <w:tc>
          <w:tcPr>
            <w:tcW w:type="dxa" w:w="18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rFonts w:ascii="Arial" w:cs="Arial" w:eastAsia="Arial" w:hAnsi="Arial"/>
                <w:b/>
                <w:bCs/>
                <w:sz w:val="19"/>
                <w:szCs w:val="19"/>
              </w:rPr>
              <w:t xml:space="preserve">單一大模型</w:t>
            </w:r>
          </w:p>
        </w:tc>
        <w:tc>
          <w:tcPr>
            <w:tcW w:type="dxa" w:w="1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center"/>
            </w:pPr>
            <w:r>
              <w:rPr>
                <w:rFonts w:ascii="Arial" w:cs="Arial" w:eastAsia="Arial" w:hAnsi="Arial"/>
                <w:b w:val="false"/>
                <w:bCs w:val="false"/>
                <w:sz w:val="19"/>
                <w:szCs w:val="19"/>
              </w:rPr>
              <w:t xml:space="preserve">0.766</w:t>
            </w:r>
          </w:p>
        </w:tc>
        <w:tc>
          <w:tcPr>
            <w:tcW w:type="dxa" w:w="1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center"/>
            </w:pPr>
            <w:r>
              <w:rPr>
                <w:rFonts w:ascii="Arial" w:cs="Arial" w:eastAsia="Arial" w:hAnsi="Arial"/>
                <w:b w:val="false"/>
                <w:bCs w:val="false"/>
                <w:sz w:val="19"/>
                <w:szCs w:val="19"/>
              </w:rPr>
              <w:t xml:space="preserve">0.980</w:t>
            </w:r>
          </w:p>
        </w:tc>
        <w:tc>
          <w:tcPr>
            <w:tcW w:type="dxa" w:w="1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center"/>
            </w:pPr>
            <w:r>
              <w:rPr>
                <w:rFonts w:ascii="Arial" w:cs="Arial" w:eastAsia="Arial" w:hAnsi="Arial"/>
                <w:b w:val="false"/>
                <w:bCs w:val="false"/>
                <w:sz w:val="19"/>
                <w:szCs w:val="19"/>
              </w:rPr>
              <w:t xml:space="preserve">0.860</w:t>
            </w:r>
          </w:p>
        </w:tc>
        <w:tc>
          <w:tcPr>
            <w:tcW w:type="dxa" w:w="1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center"/>
            </w:pPr>
            <w:r>
              <w:rPr>
                <w:rFonts w:ascii="Arial" w:cs="Arial" w:eastAsia="Arial" w:hAnsi="Arial"/>
                <w:b w:val="false"/>
                <w:bCs w:val="false"/>
                <w:sz w:val="19"/>
                <w:szCs w:val="19"/>
              </w:rPr>
              <w:t xml:space="preserve">100</w:t>
            </w:r>
          </w:p>
        </w:tc>
        <w:tc>
          <w:tcPr>
            <w:tcW w:type="dxa" w:w="1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center"/>
            </w:pPr>
            <w:r>
              <w:rPr>
                <w:rFonts w:ascii="Arial" w:cs="Arial" w:eastAsia="Arial" w:hAnsi="Arial"/>
                <w:b w:val="false"/>
                <w:bCs w:val="false"/>
                <w:sz w:val="19"/>
                <w:szCs w:val="19"/>
              </w:rPr>
              <w:t xml:space="preserve">0</w:t>
            </w:r>
          </w:p>
        </w:tc>
        <w:tc>
          <w:tcPr>
            <w:tcW w:type="dxa" w:w="1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center"/>
            </w:pPr>
            <w:r>
              <w:rPr>
                <w:rFonts w:ascii="Arial" w:cs="Arial" w:eastAsia="Arial" w:hAnsi="Arial"/>
                <w:b w:val="false"/>
                <w:bCs w:val="false"/>
                <w:sz w:val="19"/>
                <w:szCs w:val="19"/>
              </w:rPr>
              <w:t xml:space="preserve">100</w:t>
            </w:r>
          </w:p>
        </w:tc>
      </w:tr>
      <w:tr>
        <w:tc>
          <w:tcPr>
            <w:tcW w:type="dxa" w:w="18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rFonts w:ascii="Arial" w:cs="Arial" w:eastAsia="Arial" w:hAnsi="Arial"/>
                <w:b/>
                <w:bCs/>
                <w:sz w:val="19"/>
                <w:szCs w:val="19"/>
              </w:rPr>
              <w:t xml:space="preserve">三階段級聯</w:t>
            </w:r>
          </w:p>
        </w:tc>
        <w:tc>
          <w:tcPr>
            <w:tcW w:type="dxa" w:w="1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center"/>
            </w:pPr>
            <w:r>
              <w:rPr>
                <w:rFonts w:ascii="Arial" w:cs="Arial" w:eastAsia="Arial" w:hAnsi="Arial"/>
                <w:b w:val="false"/>
                <w:bCs w:val="false"/>
                <w:sz w:val="19"/>
                <w:szCs w:val="19"/>
              </w:rPr>
              <w:t xml:space="preserve">0.863</w:t>
            </w:r>
          </w:p>
        </w:tc>
        <w:tc>
          <w:tcPr>
            <w:tcW w:type="dxa" w:w="1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center"/>
            </w:pPr>
            <w:r>
              <w:rPr>
                <w:rFonts w:ascii="Arial" w:cs="Arial" w:eastAsia="Arial" w:hAnsi="Arial"/>
                <w:b w:val="false"/>
                <w:bCs w:val="false"/>
                <w:sz w:val="19"/>
                <w:szCs w:val="19"/>
              </w:rPr>
              <w:t xml:space="preserve">0.880</w:t>
            </w:r>
          </w:p>
        </w:tc>
        <w:tc>
          <w:tcPr>
            <w:tcW w:type="dxa" w:w="1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center"/>
            </w:pPr>
            <w:r>
              <w:rPr>
                <w:rFonts w:ascii="Arial" w:cs="Arial" w:eastAsia="Arial" w:hAnsi="Arial"/>
                <w:b w:val="false"/>
                <w:bCs w:val="false"/>
                <w:sz w:val="19"/>
                <w:szCs w:val="19"/>
              </w:rPr>
              <w:t xml:space="preserve">0.871</w:t>
            </w:r>
          </w:p>
        </w:tc>
        <w:tc>
          <w:tcPr>
            <w:tcW w:type="dxa" w:w="1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center"/>
            </w:pPr>
            <w:r>
              <w:rPr>
                <w:rFonts w:ascii="Arial" w:cs="Arial" w:eastAsia="Arial" w:hAnsi="Arial"/>
                <w:b w:val="false"/>
                <w:bCs w:val="false"/>
                <w:sz w:val="19"/>
                <w:szCs w:val="19"/>
              </w:rPr>
              <w:t xml:space="preserve">51</w:t>
            </w:r>
          </w:p>
        </w:tc>
        <w:tc>
          <w:tcPr>
            <w:tcW w:type="dxa" w:w="1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center"/>
            </w:pPr>
            <w:r>
              <w:rPr>
                <w:rFonts w:ascii="Arial" w:cs="Arial" w:eastAsia="Arial" w:hAnsi="Arial"/>
                <w:b w:val="false"/>
                <w:bCs w:val="false"/>
                <w:sz w:val="19"/>
                <w:szCs w:val="19"/>
              </w:rPr>
              <w:t xml:space="preserve">100</w:t>
            </w:r>
          </w:p>
        </w:tc>
        <w:tc>
          <w:tcPr>
            <w:tcW w:type="dxa" w:w="1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center"/>
            </w:pPr>
            <w:r>
              <w:rPr>
                <w:rFonts w:ascii="Arial" w:cs="Arial" w:eastAsia="Arial" w:hAnsi="Arial"/>
                <w:b w:val="false"/>
                <w:bCs w:val="false"/>
                <w:sz w:val="19"/>
                <w:szCs w:val="19"/>
              </w:rPr>
              <w:t xml:space="preserve">151</w:t>
            </w:r>
          </w:p>
        </w:tc>
      </w:tr>
    </w:tbl>
    <w:p>
      <w:pPr>
        <w:spacing w:after="160" w:before="80"/>
        <w:jc w:val="center"/>
      </w:pPr>
      <w:r>
        <w:rPr>
          <w:rFonts w:ascii="Arial" w:cs="Arial" w:eastAsia="Arial" w:hAnsi="Arial"/>
          <w:b/>
          <w:bCs/>
          <w:color w:val="555555"/>
          <w:sz w:val="19"/>
          <w:szCs w:val="19"/>
        </w:rPr>
        <w:t xml:space="preserve">表三　三階段級聯於公開資料集之逐類別表現</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6"/>
        <w:gridCol w:w="1680"/>
        <w:gridCol w:w="1680"/>
        <w:gridCol w:w="1680"/>
        <w:gridCol w:w="1680"/>
      </w:tblGrid>
      <w:tr>
        <w:trPr>
          <w:tblHeader/>
        </w:trPr>
        <w:tc>
          <w:tcPr>
            <w:tcW w:type="dxa" w:w="2306"/>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jc w:val="left"/>
            </w:pPr>
            <w:r>
              <w:rPr>
                <w:rFonts w:ascii="Arial" w:cs="Arial" w:eastAsia="Arial" w:hAnsi="Arial"/>
                <w:b/>
                <w:bCs/>
                <w:sz w:val="19"/>
                <w:szCs w:val="19"/>
              </w:rPr>
              <w:t xml:space="preserve">類別</w:t>
            </w:r>
          </w:p>
        </w:tc>
        <w:tc>
          <w:tcPr>
            <w:tcW w:type="dxa" w:w="168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jc w:val="center"/>
            </w:pPr>
            <w:r>
              <w:rPr>
                <w:rFonts w:ascii="Arial" w:cs="Arial" w:eastAsia="Arial" w:hAnsi="Arial"/>
                <w:b/>
                <w:bCs/>
                <w:sz w:val="19"/>
                <w:szCs w:val="19"/>
              </w:rPr>
              <w:t xml:space="preserve">Precision</w:t>
            </w:r>
          </w:p>
        </w:tc>
        <w:tc>
          <w:tcPr>
            <w:tcW w:type="dxa" w:w="168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jc w:val="center"/>
            </w:pPr>
            <w:r>
              <w:rPr>
                <w:rFonts w:ascii="Arial" w:cs="Arial" w:eastAsia="Arial" w:hAnsi="Arial"/>
                <w:b/>
                <w:bCs/>
                <w:sz w:val="19"/>
                <w:szCs w:val="19"/>
              </w:rPr>
              <w:t xml:space="preserve">Recall</w:t>
            </w:r>
          </w:p>
        </w:tc>
        <w:tc>
          <w:tcPr>
            <w:tcW w:type="dxa" w:w="168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jc w:val="center"/>
            </w:pPr>
            <w:r>
              <w:rPr>
                <w:rFonts w:ascii="Arial" w:cs="Arial" w:eastAsia="Arial" w:hAnsi="Arial"/>
                <w:b/>
                <w:bCs/>
                <w:sz w:val="19"/>
                <w:szCs w:val="19"/>
              </w:rPr>
              <w:t xml:space="preserve">F1</w:t>
            </w:r>
          </w:p>
        </w:tc>
        <w:tc>
          <w:tcPr>
            <w:tcW w:type="dxa" w:w="168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jc w:val="center"/>
            </w:pPr>
            <w:r>
              <w:rPr>
                <w:rFonts w:ascii="Arial" w:cs="Arial" w:eastAsia="Arial" w:hAnsi="Arial"/>
                <w:b/>
                <w:bCs/>
                <w:sz w:val="19"/>
                <w:szCs w:val="19"/>
              </w:rPr>
              <w:t xml:space="preserve">樣本數</w:t>
            </w:r>
          </w:p>
        </w:tc>
      </w:tr>
      <w:tr>
        <w:tc>
          <w:tcPr>
            <w:tcW w:type="dxa" w:w="230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rFonts w:ascii="Arial" w:cs="Arial" w:eastAsia="Arial" w:hAnsi="Arial"/>
                <w:b/>
                <w:bCs/>
                <w:sz w:val="19"/>
                <w:szCs w:val="19"/>
              </w:rPr>
              <w:t xml:space="preserve">legitimate（正常）</w:t>
            </w:r>
          </w:p>
        </w:tc>
        <w:tc>
          <w:tcPr>
            <w:tcW w:type="dxa" w:w="16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center"/>
            </w:pPr>
            <w:r>
              <w:rPr>
                <w:rFonts w:ascii="Arial" w:cs="Arial" w:eastAsia="Arial" w:hAnsi="Arial"/>
                <w:b w:val="false"/>
                <w:bCs w:val="false"/>
                <w:sz w:val="19"/>
                <w:szCs w:val="19"/>
              </w:rPr>
              <w:t xml:space="preserve">0.88</w:t>
            </w:r>
          </w:p>
        </w:tc>
        <w:tc>
          <w:tcPr>
            <w:tcW w:type="dxa" w:w="16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center"/>
            </w:pPr>
            <w:r>
              <w:rPr>
                <w:rFonts w:ascii="Arial" w:cs="Arial" w:eastAsia="Arial" w:hAnsi="Arial"/>
                <w:b w:val="false"/>
                <w:bCs w:val="false"/>
                <w:sz w:val="19"/>
                <w:szCs w:val="19"/>
              </w:rPr>
              <w:t xml:space="preserve">0.86</w:t>
            </w:r>
          </w:p>
        </w:tc>
        <w:tc>
          <w:tcPr>
            <w:tcW w:type="dxa" w:w="16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center"/>
            </w:pPr>
            <w:r>
              <w:rPr>
                <w:rFonts w:ascii="Arial" w:cs="Arial" w:eastAsia="Arial" w:hAnsi="Arial"/>
                <w:b w:val="false"/>
                <w:bCs w:val="false"/>
                <w:sz w:val="19"/>
                <w:szCs w:val="19"/>
              </w:rPr>
              <w:t xml:space="preserve">0.87</w:t>
            </w:r>
          </w:p>
        </w:tc>
        <w:tc>
          <w:tcPr>
            <w:tcW w:type="dxa" w:w="16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center"/>
            </w:pPr>
            <w:r>
              <w:rPr>
                <w:rFonts w:ascii="Arial" w:cs="Arial" w:eastAsia="Arial" w:hAnsi="Arial"/>
                <w:b w:val="false"/>
                <w:bCs w:val="false"/>
                <w:sz w:val="19"/>
                <w:szCs w:val="19"/>
              </w:rPr>
              <w:t xml:space="preserve">50</w:t>
            </w:r>
          </w:p>
        </w:tc>
      </w:tr>
      <w:tr>
        <w:tc>
          <w:tcPr>
            <w:tcW w:type="dxa" w:w="230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rFonts w:ascii="Arial" w:cs="Arial" w:eastAsia="Arial" w:hAnsi="Arial"/>
                <w:b/>
                <w:bCs/>
                <w:sz w:val="19"/>
                <w:szCs w:val="19"/>
              </w:rPr>
              <w:t xml:space="preserve">phishing（釣魚）</w:t>
            </w:r>
          </w:p>
        </w:tc>
        <w:tc>
          <w:tcPr>
            <w:tcW w:type="dxa" w:w="16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center"/>
            </w:pPr>
            <w:r>
              <w:rPr>
                <w:rFonts w:ascii="Arial" w:cs="Arial" w:eastAsia="Arial" w:hAnsi="Arial"/>
                <w:b w:val="false"/>
                <w:bCs w:val="false"/>
                <w:sz w:val="19"/>
                <w:szCs w:val="19"/>
              </w:rPr>
              <w:t xml:space="preserve">0.86</w:t>
            </w:r>
          </w:p>
        </w:tc>
        <w:tc>
          <w:tcPr>
            <w:tcW w:type="dxa" w:w="16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center"/>
            </w:pPr>
            <w:r>
              <w:rPr>
                <w:rFonts w:ascii="Arial" w:cs="Arial" w:eastAsia="Arial" w:hAnsi="Arial"/>
                <w:b w:val="false"/>
                <w:bCs w:val="false"/>
                <w:sz w:val="19"/>
                <w:szCs w:val="19"/>
              </w:rPr>
              <w:t xml:space="preserve">0.88</w:t>
            </w:r>
          </w:p>
        </w:tc>
        <w:tc>
          <w:tcPr>
            <w:tcW w:type="dxa" w:w="16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center"/>
            </w:pPr>
            <w:r>
              <w:rPr>
                <w:rFonts w:ascii="Arial" w:cs="Arial" w:eastAsia="Arial" w:hAnsi="Arial"/>
                <w:b w:val="false"/>
                <w:bCs w:val="false"/>
                <w:sz w:val="19"/>
                <w:szCs w:val="19"/>
              </w:rPr>
              <w:t xml:space="preserve">0.87</w:t>
            </w:r>
          </w:p>
        </w:tc>
        <w:tc>
          <w:tcPr>
            <w:tcW w:type="dxa" w:w="16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center"/>
            </w:pPr>
            <w:r>
              <w:rPr>
                <w:rFonts w:ascii="Arial" w:cs="Arial" w:eastAsia="Arial" w:hAnsi="Arial"/>
                <w:b w:val="false"/>
                <w:bCs w:val="false"/>
                <w:sz w:val="19"/>
                <w:szCs w:val="19"/>
              </w:rPr>
              <w:t xml:space="preserve">50</w:t>
            </w:r>
          </w:p>
        </w:tc>
      </w:tr>
      <w:tr>
        <w:tc>
          <w:tcPr>
            <w:tcW w:type="dxa" w:w="230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rFonts w:ascii="Arial" w:cs="Arial" w:eastAsia="Arial" w:hAnsi="Arial"/>
                <w:b/>
                <w:bCs/>
                <w:sz w:val="19"/>
                <w:szCs w:val="19"/>
              </w:rPr>
              <w:t xml:space="preserve">整體 accuracy</w:t>
            </w:r>
          </w:p>
        </w:tc>
        <w:tc>
          <w:tcPr>
            <w:tcW w:type="dxa" w:w="16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center"/>
            </w:pPr>
            <w:r>
              <w:rPr>
                <w:rFonts w:ascii="Arial" w:cs="Arial" w:eastAsia="Arial" w:hAnsi="Arial"/>
                <w:b w:val="false"/>
                <w:bCs w:val="false"/>
                <w:sz w:val="19"/>
                <w:szCs w:val="19"/>
              </w:rPr>
              <w:t xml:space="preserve">—</w:t>
            </w:r>
          </w:p>
        </w:tc>
        <w:tc>
          <w:tcPr>
            <w:tcW w:type="dxa" w:w="16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center"/>
            </w:pPr>
            <w:r>
              <w:rPr>
                <w:rFonts w:ascii="Arial" w:cs="Arial" w:eastAsia="Arial" w:hAnsi="Arial"/>
                <w:b w:val="false"/>
                <w:bCs w:val="false"/>
                <w:sz w:val="19"/>
                <w:szCs w:val="19"/>
              </w:rPr>
              <w:t xml:space="preserve">—</w:t>
            </w:r>
          </w:p>
        </w:tc>
        <w:tc>
          <w:tcPr>
            <w:tcW w:type="dxa" w:w="16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center"/>
            </w:pPr>
            <w:r>
              <w:rPr>
                <w:rFonts w:ascii="Arial" w:cs="Arial" w:eastAsia="Arial" w:hAnsi="Arial"/>
                <w:b w:val="false"/>
                <w:bCs w:val="false"/>
                <w:sz w:val="19"/>
                <w:szCs w:val="19"/>
              </w:rPr>
              <w:t xml:space="preserve">0.87</w:t>
            </w:r>
          </w:p>
        </w:tc>
        <w:tc>
          <w:tcPr>
            <w:tcW w:type="dxa" w:w="168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center"/>
            </w:pPr>
            <w:r>
              <w:rPr>
                <w:rFonts w:ascii="Arial" w:cs="Arial" w:eastAsia="Arial" w:hAnsi="Arial"/>
                <w:b w:val="false"/>
                <w:bCs w:val="false"/>
                <w:sz w:val="19"/>
                <w:szCs w:val="19"/>
              </w:rPr>
              <w:t xml:space="preserve">100</w:t>
            </w:r>
          </w:p>
        </w:tc>
      </w:tr>
    </w:tbl>
    <w:p>
      <w:pPr>
        <w:spacing w:after="40" w:before="60"/>
        <w:jc w:val="center"/>
      </w:pPr>
      <w:r>
        <w:drawing>
          <wp:inline distT="0" distB="0" distL="0" distR="0">
            <wp:extent cx="5715000" cy="1819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819275"/>
                    </a:xfrm>
                    <a:prstGeom prst="rect">
                      <a:avLst/>
                    </a:prstGeom>
                  </pic:spPr>
                </pic:pic>
              </a:graphicData>
            </a:graphic>
          </wp:inline>
        </w:drawing>
      </w:r>
    </w:p>
    <w:p>
      <w:pPr>
        <w:spacing w:after="160" w:before="80"/>
        <w:jc w:val="center"/>
      </w:pPr>
      <w:r>
        <w:rPr>
          <w:rFonts w:ascii="Arial" w:cs="Arial" w:eastAsia="Arial" w:hAnsi="Arial"/>
          <w:b/>
          <w:bCs/>
          <w:color w:val="555555"/>
          <w:sz w:val="19"/>
          <w:szCs w:val="19"/>
        </w:rPr>
        <w:t xml:space="preserve">圖三　公開資料集之 compare.py／evaluate.py 終端機輸出（對應 tag v1.0）</w:t>
      </w:r>
    </w:p>
    <w:p>
      <w:pPr>
        <w:pStyle w:val="Heading1"/>
      </w:pPr>
      <w:r>
        <w:t xml:space="preserve">七、結果分析</w:t>
      </w:r>
    </w:p>
    <w:p>
      <w:pPr>
        <w:spacing w:after="140" w:line="300"/>
      </w:pPr>
      <w:r>
        <w:rPr>
          <w:rFonts w:ascii="Arial" w:cs="Arial" w:eastAsia="Arial" w:hAnsi="Arial"/>
          <w:b/>
          <w:bCs/>
          <w:sz w:val="22"/>
          <w:szCs w:val="22"/>
        </w:rPr>
        <w:t xml:space="preserve">自製測試集出現「假性滿分」。</w:t>
      </w:r>
      <w:r>
        <w:rPr>
          <w:rFonts w:ascii="Arial" w:cs="Arial" w:eastAsia="Arial" w:hAnsi="Arial"/>
          <w:sz w:val="22"/>
          <w:szCs w:val="22"/>
        </w:rPr>
        <w:t xml:space="preserve">由於樣本由團隊撰寫、特徵鮮明且同質性高，連單一大模型都能完全分類，因此此資料無法區分兩種架構的優劣；其滿分反映資料過於理想，而非系統能力。此點與本報告「評估限制」一節一致。</w:t>
      </w:r>
    </w:p>
    <w:p>
      <w:pPr>
        <w:spacing w:after="140" w:line="300"/>
      </w:pPr>
      <w:r>
        <w:rPr>
          <w:rFonts w:ascii="Arial" w:cs="Arial" w:eastAsia="Arial" w:hAnsi="Arial"/>
          <w:b/>
          <w:bCs/>
          <w:sz w:val="22"/>
          <w:szCs w:val="22"/>
        </w:rPr>
        <w:t xml:space="preserve">在真實郵件上，級聯更準。</w:t>
      </w:r>
      <w:r>
        <w:rPr>
          <w:rFonts w:ascii="Arial" w:cs="Arial" w:eastAsia="Arial" w:hAnsi="Arial"/>
          <w:sz w:val="22"/>
          <w:szCs w:val="22"/>
        </w:rPr>
        <w:t xml:space="preserve">其 F1（0.871）高於單一大模型（0.860），差距最大者為 Precision：級聯 0.863、單一僅 0.766，代表級聯的誤報明顯較少。推測因 Stage 1 先以輕量模型過濾掉特徵明顯的正常郵件，Stage 2 再對真正可疑者細究，兩道關卡共同壓低誤報。</w:t>
      </w:r>
    </w:p>
    <w:p>
      <w:pPr>
        <w:spacing w:after="140" w:line="300"/>
      </w:pPr>
      <w:r>
        <w:rPr>
          <w:rFonts w:ascii="Arial" w:cs="Arial" w:eastAsia="Arial" w:hAnsi="Arial"/>
          <w:b/>
          <w:bCs/>
          <w:sz w:val="22"/>
          <w:szCs w:val="22"/>
        </w:rPr>
        <w:t xml:space="preserve">成本亦更省。</w:t>
      </w:r>
      <w:r>
        <w:rPr>
          <w:rFonts w:ascii="Arial" w:cs="Arial" w:eastAsia="Arial" w:hAnsi="Arial"/>
          <w:sz w:val="22"/>
          <w:szCs w:val="22"/>
        </w:rPr>
        <w:t xml:space="preserve">級聯將昂貴的旗艦模型呼叫從 100 次降至 51 次（約減 49%）。惟須誠實指出：輕量模型呼叫非免費。若粗估旗艦（14B）每次成本約為輕量（7B）兩倍，則單一大模型約等於 100 個「14B 當量」，級聯約等於 51 次旗艦＋100 次輕量 ≈ 101 個「14B 當量」——在正常與釣魚各半的資料上，省下的旗艦呼叫幾乎被「每封先跑一次輕量」抵消，淨成本約略打平。級聯真正大幅省成本之處，是真實企業郵件「多數為正常信」時：若九成為正常，Stage 1 即能以低成本攔下大部分，僅少數進入旗艦模型，節省幅度將相當可觀。此正呼應本系統「以級聯換取真實流量下成本效益」的設計初衷。</w:t>
      </w:r>
    </w:p>
    <w:p>
      <w:pPr>
        <w:pStyle w:val="Heading1"/>
      </w:pPr>
      <w:r>
        <w:t xml:space="preserve">八、版本演進與 Recall／Precision 取捨</w:t>
      </w:r>
    </w:p>
    <w:p>
      <w:pPr>
        <w:spacing w:after="140" w:line="300"/>
      </w:pPr>
      <w:r>
        <w:rPr>
          <w:rFonts w:ascii="Arial" w:cs="Arial" w:eastAsia="Arial" w:hAnsi="Arial"/>
          <w:sz w:val="22"/>
          <w:szCs w:val="22"/>
        </w:rPr>
        <w:t xml:space="preserve">開發過程中，我們將 Stage 1 由 v1.1 升級至 v1.2，加入「初篩信心（confidence）」欄位，並讓信心偏低的案件在 Stage 2 啟用更保守策略。表四比較兩版級聯在同一份公開資料集上的表現。</w:t>
      </w:r>
    </w:p>
    <w:p>
      <w:pPr>
        <w:spacing w:after="160" w:before="80"/>
        <w:jc w:val="center"/>
      </w:pPr>
      <w:r>
        <w:rPr>
          <w:rFonts w:ascii="Arial" w:cs="Arial" w:eastAsia="Arial" w:hAnsi="Arial"/>
          <w:b/>
          <w:bCs/>
          <w:color w:val="555555"/>
          <w:sz w:val="19"/>
          <w:szCs w:val="19"/>
        </w:rPr>
        <w:t xml:space="preserve">表四　Stage 1 版本演進對級聯效能與成本之影響（公開資料集）</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86"/>
        <w:gridCol w:w="1560"/>
        <w:gridCol w:w="1560"/>
        <w:gridCol w:w="1560"/>
        <w:gridCol w:w="1560"/>
      </w:tblGrid>
      <w:tr>
        <w:trPr>
          <w:tblHeader/>
        </w:trPr>
        <w:tc>
          <w:tcPr>
            <w:tcW w:type="dxa" w:w="2786"/>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jc w:val="left"/>
            </w:pPr>
            <w:r>
              <w:rPr>
                <w:rFonts w:ascii="Arial" w:cs="Arial" w:eastAsia="Arial" w:hAnsi="Arial"/>
                <w:b/>
                <w:bCs/>
                <w:sz w:val="19"/>
                <w:szCs w:val="19"/>
              </w:rPr>
              <w:t xml:space="preserve">版本</w:t>
            </w:r>
          </w:p>
        </w:tc>
        <w:tc>
          <w:tcPr>
            <w:tcW w:type="dxa" w:w="156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jc w:val="center"/>
            </w:pPr>
            <w:r>
              <w:rPr>
                <w:rFonts w:ascii="Arial" w:cs="Arial" w:eastAsia="Arial" w:hAnsi="Arial"/>
                <w:b/>
                <w:bCs/>
                <w:sz w:val="19"/>
                <w:szCs w:val="19"/>
              </w:rPr>
              <w:t xml:space="preserve">Precision</w:t>
            </w:r>
          </w:p>
        </w:tc>
        <w:tc>
          <w:tcPr>
            <w:tcW w:type="dxa" w:w="156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jc w:val="center"/>
            </w:pPr>
            <w:r>
              <w:rPr>
                <w:rFonts w:ascii="Arial" w:cs="Arial" w:eastAsia="Arial" w:hAnsi="Arial"/>
                <w:b/>
                <w:bCs/>
                <w:sz w:val="19"/>
                <w:szCs w:val="19"/>
              </w:rPr>
              <w:t xml:space="preserve">Recall</w:t>
            </w:r>
          </w:p>
        </w:tc>
        <w:tc>
          <w:tcPr>
            <w:tcW w:type="dxa" w:w="156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jc w:val="center"/>
            </w:pPr>
            <w:r>
              <w:rPr>
                <w:rFonts w:ascii="Arial" w:cs="Arial" w:eastAsia="Arial" w:hAnsi="Arial"/>
                <w:b/>
                <w:bCs/>
                <w:sz w:val="19"/>
                <w:szCs w:val="19"/>
              </w:rPr>
              <w:t xml:space="preserve">F1</w:t>
            </w:r>
          </w:p>
        </w:tc>
        <w:tc>
          <w:tcPr>
            <w:tcW w:type="dxa" w:w="156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jc w:val="center"/>
            </w:pPr>
            <w:r>
              <w:rPr>
                <w:rFonts w:ascii="Arial" w:cs="Arial" w:eastAsia="Arial" w:hAnsi="Arial"/>
                <w:b/>
                <w:bCs/>
                <w:sz w:val="19"/>
                <w:szCs w:val="19"/>
              </w:rPr>
              <w:t xml:space="preserve">旗艦呼叫</w:t>
            </w:r>
          </w:p>
        </w:tc>
      </w:tr>
      <w:tr>
        <w:tc>
          <w:tcPr>
            <w:tcW w:type="dxa" w:w="278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rFonts w:ascii="Arial" w:cs="Arial" w:eastAsia="Arial" w:hAnsi="Arial"/>
                <w:b/>
                <w:bCs/>
                <w:sz w:val="19"/>
                <w:szCs w:val="19"/>
              </w:rPr>
              <w:t xml:space="preserve">v1.1（a442d73）</w:t>
            </w:r>
          </w:p>
        </w:tc>
        <w:tc>
          <w:tcPr>
            <w:tcW w:type="dxa" w:w="15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center"/>
            </w:pPr>
            <w:r>
              <w:rPr>
                <w:rFonts w:ascii="Arial" w:cs="Arial" w:eastAsia="Arial" w:hAnsi="Arial"/>
                <w:b w:val="false"/>
                <w:bCs w:val="false"/>
                <w:sz w:val="19"/>
                <w:szCs w:val="19"/>
              </w:rPr>
              <w:t xml:space="preserve">0.855</w:t>
            </w:r>
          </w:p>
        </w:tc>
        <w:tc>
          <w:tcPr>
            <w:tcW w:type="dxa" w:w="15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center"/>
            </w:pPr>
            <w:r>
              <w:rPr>
                <w:rFonts w:ascii="Arial" w:cs="Arial" w:eastAsia="Arial" w:hAnsi="Arial"/>
                <w:b w:val="false"/>
                <w:bCs w:val="false"/>
                <w:sz w:val="19"/>
                <w:szCs w:val="19"/>
              </w:rPr>
              <w:t xml:space="preserve">0.940</w:t>
            </w:r>
          </w:p>
        </w:tc>
        <w:tc>
          <w:tcPr>
            <w:tcW w:type="dxa" w:w="15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center"/>
            </w:pPr>
            <w:r>
              <w:rPr>
                <w:rFonts w:ascii="Arial" w:cs="Arial" w:eastAsia="Arial" w:hAnsi="Arial"/>
                <w:b w:val="false"/>
                <w:bCs w:val="false"/>
                <w:sz w:val="19"/>
                <w:szCs w:val="19"/>
              </w:rPr>
              <w:t xml:space="preserve">0.895</w:t>
            </w:r>
          </w:p>
        </w:tc>
        <w:tc>
          <w:tcPr>
            <w:tcW w:type="dxa" w:w="15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center"/>
            </w:pPr>
            <w:r>
              <w:rPr>
                <w:rFonts w:ascii="Arial" w:cs="Arial" w:eastAsia="Arial" w:hAnsi="Arial"/>
                <w:b w:val="false"/>
                <w:bCs w:val="false"/>
                <w:sz w:val="19"/>
                <w:szCs w:val="19"/>
              </w:rPr>
              <w:t xml:space="preserve">55</w:t>
            </w:r>
          </w:p>
        </w:tc>
      </w:tr>
      <w:tr>
        <w:tc>
          <w:tcPr>
            <w:tcW w:type="dxa" w:w="278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rFonts w:ascii="Arial" w:cs="Arial" w:eastAsia="Arial" w:hAnsi="Arial"/>
                <w:b/>
                <w:bCs/>
                <w:sz w:val="19"/>
                <w:szCs w:val="19"/>
              </w:rPr>
              <w:t xml:space="preserve">v1.2（dcefbee，本系統）</w:t>
            </w:r>
          </w:p>
        </w:tc>
        <w:tc>
          <w:tcPr>
            <w:tcW w:type="dxa" w:w="15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center"/>
            </w:pPr>
            <w:r>
              <w:rPr>
                <w:rFonts w:ascii="Arial" w:cs="Arial" w:eastAsia="Arial" w:hAnsi="Arial"/>
                <w:b w:val="false"/>
                <w:bCs w:val="false"/>
                <w:sz w:val="19"/>
                <w:szCs w:val="19"/>
              </w:rPr>
              <w:t xml:space="preserve">0.863</w:t>
            </w:r>
          </w:p>
        </w:tc>
        <w:tc>
          <w:tcPr>
            <w:tcW w:type="dxa" w:w="15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center"/>
            </w:pPr>
            <w:r>
              <w:rPr>
                <w:rFonts w:ascii="Arial" w:cs="Arial" w:eastAsia="Arial" w:hAnsi="Arial"/>
                <w:b w:val="false"/>
                <w:bCs w:val="false"/>
                <w:sz w:val="19"/>
                <w:szCs w:val="19"/>
              </w:rPr>
              <w:t xml:space="preserve">0.880</w:t>
            </w:r>
          </w:p>
        </w:tc>
        <w:tc>
          <w:tcPr>
            <w:tcW w:type="dxa" w:w="15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center"/>
            </w:pPr>
            <w:r>
              <w:rPr>
                <w:rFonts w:ascii="Arial" w:cs="Arial" w:eastAsia="Arial" w:hAnsi="Arial"/>
                <w:b w:val="false"/>
                <w:bCs w:val="false"/>
                <w:sz w:val="19"/>
                <w:szCs w:val="19"/>
              </w:rPr>
              <w:t xml:space="preserve">0.871</w:t>
            </w:r>
          </w:p>
        </w:tc>
        <w:tc>
          <w:tcPr>
            <w:tcW w:type="dxa" w:w="15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center"/>
            </w:pPr>
            <w:r>
              <w:rPr>
                <w:rFonts w:ascii="Arial" w:cs="Arial" w:eastAsia="Arial" w:hAnsi="Arial"/>
                <w:b w:val="false"/>
                <w:bCs w:val="false"/>
                <w:sz w:val="19"/>
                <w:szCs w:val="19"/>
              </w:rPr>
              <w:t xml:space="preserve">51</w:t>
            </w:r>
          </w:p>
        </w:tc>
      </w:tr>
    </w:tbl>
    <w:p>
      <w:pPr>
        <w:spacing w:after="140" w:before="160" w:line="300"/>
      </w:pPr>
      <w:r>
        <w:rPr>
          <w:rFonts w:ascii="Arial" w:cs="Arial" w:eastAsia="Arial" w:hAnsi="Arial"/>
          <w:sz w:val="22"/>
          <w:szCs w:val="22"/>
        </w:rPr>
        <w:t xml:space="preserve">升級後，Precision 由 0.855 微升至 0.863（誤報再降），Recall 由 0.940 降至 0.880（漏報增加），整體 F1 由 0.895 略降為 0.871。我們以 v1.2（0.871）作為最終回報數據，因其與目前程式碼一致。此變化具有意義：它顯示新增的「低信心轉保守」策略確實生效，並揭露資安偵測的核心張力——Recall（避免漏接攻擊）與 Precision（避免誤擾使用者）往往難以兼顧。目前調校偏向降低誤報；若部署更重視「絕不漏接」，可將策略進一步往 Recall 調整（例如讓中等信心也轉保守，或放寬 Stage 1 門檻）。</w:t>
      </w:r>
    </w:p>
    <w:p>
      <w:pPr>
        <w:spacing w:after="140" w:line="300"/>
      </w:pPr>
      <w:r>
        <w:rPr>
          <w:rFonts w:ascii="Arial" w:cs="Arial" w:eastAsia="Arial" w:hAnsi="Arial"/>
          <w:sz w:val="22"/>
          <w:szCs w:val="22"/>
        </w:rPr>
        <w:t xml:space="preserve">須補充，期末前的進度報告曾以人工方式於約 30 封郵件上測得約 0.91；該數字與本節自動化評估的 0.871 不同，主要源於資料規模（30 對 100）、來源（自測對公開真實）與評估方式（人工對程式自動化）之差異。本節改以程式自動化、且基於公開真實郵件之評估，結果更可重現、亦更具代表性。</w:t>
      </w:r>
    </w:p>
    <w:p>
      <w:pPr>
        <w:pStyle w:val="Heading1"/>
      </w:pPr>
      <w:r>
        <w:t xml:space="preserve">九、評估限制</w:t>
      </w:r>
    </w:p>
    <w:p>
      <w:pPr>
        <w:pStyle w:val="ListParagraph"/>
        <w:numPr>
          <w:ilvl w:val="0"/>
          <w:numId w:val="2"/>
        </w:numPr>
        <w:spacing w:after="100" w:line="290"/>
      </w:pPr>
      <w:r>
        <w:rPr>
          <w:rFonts w:ascii="Arial" w:cs="Arial" w:eastAsia="Arial" w:hAnsi="Arial"/>
          <w:sz w:val="22"/>
          <w:szCs w:val="22"/>
        </w:rPr>
        <w:t xml:space="preserve">資料集語言：公開評估集（SpamAssassin、Nazario）為英文，而系統 prompt 以中文撰寫；實測顯示模型仍能正確處理（間接驗證中英文混雜穩定性），惟中文真實釣魚語料將更貼近目標場景。</w:t>
      </w:r>
    </w:p>
    <w:p>
      <w:pPr>
        <w:pStyle w:val="ListParagraph"/>
        <w:numPr>
          <w:ilvl w:val="0"/>
          <w:numId w:val="2"/>
        </w:numPr>
        <w:spacing w:after="100" w:line="290"/>
      </w:pPr>
      <w:r>
        <w:rPr>
          <w:rFonts w:ascii="Arial" w:cs="Arial" w:eastAsia="Arial" w:hAnsi="Arial"/>
          <w:sz w:val="22"/>
          <w:szCs w:val="22"/>
        </w:rPr>
        <w:t xml:space="preserve">樣本規模：自製 50 封、公開 100 封，受 GPU 成本限制；更大樣本可使估計更穩定。</w:t>
      </w:r>
    </w:p>
    <w:p>
      <w:pPr>
        <w:pStyle w:val="ListParagraph"/>
        <w:numPr>
          <w:ilvl w:val="0"/>
          <w:numId w:val="2"/>
        </w:numPr>
        <w:spacing w:after="100" w:line="290"/>
      </w:pPr>
      <w:r>
        <w:rPr>
          <w:rFonts w:ascii="Arial" w:cs="Arial" w:eastAsia="Arial" w:hAnsi="Arial"/>
          <w:sz w:val="22"/>
          <w:szCs w:val="22"/>
        </w:rPr>
        <w:t xml:space="preserve">時間漂移：Nazario 語料年代較早，而真實釣魚手法持續演化（temporal drift）。</w:t>
      </w:r>
    </w:p>
    <w:p>
      <w:pPr>
        <w:pStyle w:val="ListParagraph"/>
        <w:numPr>
          <w:ilvl w:val="0"/>
          <w:numId w:val="2"/>
        </w:numPr>
        <w:spacing w:after="100" w:line="290"/>
      </w:pPr>
      <w:r>
        <w:rPr>
          <w:rFonts w:ascii="Arial" w:cs="Arial" w:eastAsia="Arial" w:hAnsi="Arial"/>
          <w:sz w:val="22"/>
          <w:szCs w:val="22"/>
        </w:rPr>
        <w:t xml:space="preserve">LLM 變異：評估為單次執行（temperature=0），跨環境數字會接近但未必完全一致。</w:t>
      </w:r>
    </w:p>
    <w:p>
      <w:pPr>
        <w:pStyle w:val="ListParagraph"/>
        <w:numPr>
          <w:ilvl w:val="0"/>
          <w:numId w:val="2"/>
        </w:numPr>
        <w:spacing w:after="100" w:line="290"/>
      </w:pPr>
      <w:r>
        <w:rPr>
          <w:rFonts w:ascii="Arial" w:cs="Arial" w:eastAsia="Arial" w:hAnsi="Arial"/>
          <w:b/>
          <w:bCs/>
          <w:sz w:val="22"/>
          <w:szCs w:val="22"/>
        </w:rPr>
        <w:t xml:space="preserve">範圍固定 email：</w:t>
      </w:r>
      <w:r>
        <w:rPr>
          <w:rFonts w:ascii="Arial" w:cs="Arial" w:eastAsia="Arial" w:hAnsi="Arial"/>
          <w:sz w:val="22"/>
          <w:szCs w:val="22"/>
        </w:rPr>
        <w:t xml:space="preserve">Message.channel 保留 line 欄位供未來擴充，現階段固定 email。</w:t>
      </w:r>
    </w:p>
    <w:p>
      <w:pPr>
        <w:pStyle w:val="Heading1"/>
      </w:pPr>
      <w:r>
        <w:t xml:space="preserve">十、可重現性與程式碼</w:t>
      </w:r>
    </w:p>
    <w:p>
      <w:pPr>
        <w:spacing w:after="140" w:line="300"/>
      </w:pPr>
      <w:r>
        <w:rPr>
          <w:rFonts w:ascii="Arial" w:cs="Arial" w:eastAsia="Arial" w:hAnsi="Arial"/>
          <w:sz w:val="22"/>
          <w:szCs w:val="22"/>
        </w:rPr>
        <w:t xml:space="preserve">完整程式碼公開於 GitHub：</w:t>
      </w:r>
      <w:hyperlink w:history="1" r:id="rIdi_ihttvanujdqgdlwze9q">
        <w:r>
          <w:rPr>
            <w:rFonts w:ascii="Arial" w:cs="Arial" w:eastAsia="Arial" w:hAnsi="Arial"/>
            <w:color w:val="0563C1"/>
            <w:sz w:val="22"/>
            <w:szCs w:val="22"/>
            <w:u w:val="single"/>
          </w:rPr>
          <w:t xml:space="preserve">https://github.com/otonifrio2812/phishing-defense-pipeline</w:t>
        </w:r>
      </w:hyperlink>
      <w:r>
        <w:rPr>
          <w:rFonts w:ascii="Arial" w:cs="Arial" w:eastAsia="Arial" w:hAnsi="Arial"/>
          <w:sz w:val="22"/>
          <w:szCs w:val="22"/>
        </w:rPr>
        <w:t xml:space="preserve">（本報告數據對應 tag v1.0）。重現分兩個層次：</w:t>
      </w:r>
    </w:p>
    <w:p>
      <w:pPr>
        <w:spacing w:after="140" w:line="300"/>
      </w:pPr>
      <w:r>
        <w:rPr>
          <w:rFonts w:ascii="Arial" w:cs="Arial" w:eastAsia="Arial" w:hAnsi="Arial"/>
          <w:b/>
          <w:bCs/>
          <w:sz w:val="22"/>
          <w:szCs w:val="22"/>
        </w:rPr>
        <w:t xml:space="preserve">（1）程式與邏輯——完全確定性，不需 GPU。</w:t>
      </w:r>
      <w:r>
        <w:rPr>
          <w:rFonts w:ascii="Arial" w:cs="Arial" w:eastAsia="Arial" w:hAnsi="Arial"/>
          <w:sz w:val="22"/>
          <w:szCs w:val="22"/>
        </w:rPr>
        <w:t xml:space="preserve">clone 後執行 pip install -r requirements.txt 與 pytest，可得 86 項測試全數通過，涵蓋 schema 驗證、PII 遮蔽（含 URL 保全）、三階段解析與重試、MITRE 對照、鑑識雜湊順序與 append-only、STIX 匯出、pipeline 整合與級聯比較。</w:t>
      </w:r>
    </w:p>
    <w:p>
      <w:pPr>
        <w:spacing w:after="140" w:line="300"/>
      </w:pPr>
      <w:r>
        <w:rPr>
          <w:rFonts w:ascii="Arial" w:cs="Arial" w:eastAsia="Arial" w:hAnsi="Arial"/>
          <w:b/>
          <w:bCs/>
          <w:sz w:val="22"/>
          <w:szCs w:val="22"/>
        </w:rPr>
        <w:t xml:space="preserve">（2）偵測數字——需 LLM 後端。</w:t>
      </w:r>
      <w:r>
        <w:rPr>
          <w:rFonts w:ascii="Arial" w:cs="Arial" w:eastAsia="Arial" w:hAnsi="Arial"/>
          <w:sz w:val="22"/>
          <w:szCs w:val="22"/>
        </w:rPr>
        <w:t xml:space="preserve">以 Ollama 部署 Qwen2.5-7B/14B 後，對 data/eval/labeled.jsonl（自製，隨 repo 提供）或由 eval/build_public_dataset.py 重建的公開資料集（seed=42，可得同一組 100 封）執行 eval/compare.py 與 eval/evaluate.py 即可重現。詳細步驟見 repo 之 README「重現評估」一節。註：LLM 在 temperature=0 大致穩定，但跨 Ollama 版本、量化與硬體可能略有差異，故重現數字應與本報告接近、未必逐位元相同。</w:t>
      </w:r>
    </w:p>
    <w:p>
      <w:pPr>
        <w:pStyle w:val="Heading1"/>
      </w:pPr>
      <w:r>
        <w:t xml:space="preserve">十一、執行環境佐證（Glows.ai GPU）</w:t>
      </w:r>
    </w:p>
    <w:p>
      <w:pPr>
        <w:spacing w:after="140" w:line="300"/>
      </w:pPr>
      <w:r>
        <w:rPr>
          <w:rFonts w:ascii="Arial" w:cs="Arial" w:eastAsia="Arial" w:hAnsi="Arial"/>
          <w:sz w:val="22"/>
          <w:szCs w:val="22"/>
        </w:rPr>
        <w:t xml:space="preserve">本研究之模型推論於 Glows.ai 雲端 GPU 執行個體上進行，透過 Ollama 服務 Qwen2.5；「評估結果」一節之圖二、圖三之終端機輸出即取自此環境。圖四為執行個體的運行狀態，圖五為其上相依套件之安裝與 Ollama 載入之模型。</w:t>
      </w:r>
    </w:p>
    <w:p>
      <w:pPr>
        <w:spacing w:after="40" w:before="60"/>
        <w:jc w:val="center"/>
      </w:pPr>
      <w:r>
        <w:drawing>
          <wp:inline distT="0" distB="0" distL="0" distR="0">
            <wp:extent cx="5334000"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724150"/>
                    </a:xfrm>
                    <a:prstGeom prst="rect">
                      <a:avLst/>
                    </a:prstGeom>
                  </pic:spPr>
                </pic:pic>
              </a:graphicData>
            </a:graphic>
          </wp:inline>
        </w:drawing>
      </w:r>
    </w:p>
    <w:p>
      <w:pPr>
        <w:spacing w:after="160" w:before="80"/>
        <w:jc w:val="center"/>
      </w:pPr>
      <w:r>
        <w:rPr>
          <w:rFonts w:ascii="Arial" w:cs="Arial" w:eastAsia="Arial" w:hAnsi="Arial"/>
          <w:b/>
          <w:bCs/>
          <w:color w:val="555555"/>
          <w:sz w:val="19"/>
          <w:szCs w:val="19"/>
        </w:rPr>
        <w:t xml:space="preserve">圖四　Glows.ai GPU 執行個體（名稱「釣魚郵件」，狀態 Running，區域 TW-04，開放 11434 埠供 Ollama 連線）</w:t>
      </w:r>
    </w:p>
    <w:p>
      <w:pPr>
        <w:spacing w:after="40" w:before="60"/>
        <w:jc w:val="center"/>
      </w:pPr>
      <w:r>
        <w:drawing>
          <wp:inline distT="0" distB="0" distL="0" distR="0">
            <wp:extent cx="5334000" cy="1266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1266825"/>
                    </a:xfrm>
                    <a:prstGeom prst="rect">
                      <a:avLst/>
                    </a:prstGeom>
                  </pic:spPr>
                </pic:pic>
              </a:graphicData>
            </a:graphic>
          </wp:inline>
        </w:drawing>
      </w:r>
    </w:p>
    <w:p>
      <w:pPr>
        <w:spacing w:after="160" w:before="80"/>
        <w:jc w:val="center"/>
      </w:pPr>
      <w:r>
        <w:rPr>
          <w:rFonts w:ascii="Arial" w:cs="Arial" w:eastAsia="Arial" w:hAnsi="Arial"/>
          <w:b/>
          <w:bCs/>
          <w:color w:val="555555"/>
          <w:sz w:val="19"/>
          <w:szCs w:val="19"/>
        </w:rPr>
        <w:t xml:space="preserve">圖五　執行個體上相依套件之安裝，及 Ollama 載入之 Qwen2.5-7B（7.6B）與 Qwen2.5-14B（14.8B）模型</w:t>
      </w:r>
    </w:p>
    <w:p>
      <w:pPr>
        <w:pStyle w:val="Heading1"/>
      </w:pPr>
      <w:r>
        <w:t xml:space="preserve">十二、AI 工具使用聲明</w:t>
      </w:r>
    </w:p>
    <w:p>
      <w:pPr>
        <w:spacing w:after="140" w:line="300"/>
      </w:pPr>
      <w:r>
        <w:rPr>
          <w:rFonts w:ascii="Arial" w:cs="Arial" w:eastAsia="Arial" w:hAnsi="Arial"/>
          <w:sz w:val="22"/>
          <w:szCs w:val="22"/>
        </w:rPr>
        <w:t xml:space="preserve">本專案於系統開發與報告撰寫過程中，使用 Anthropic 之 Claude（Opus 4.8）[9] 作為輔助工具，協助範圍包括：程式碼審查與重構建議、各階段實作與測試之撰寫協助、評估腳本撰寫，以及本報告之結構與文字草擬。所有系統設計決策、實驗執行（含 Glows.ai 上之模型部署與評估）、結果判讀與最終內容，均由作者檢核並負完全責任；所引用之數據皆來自作者實際執行之評估（見圖二至圖五）。</w:t>
      </w:r>
    </w:p>
    <w:p>
      <w:pPr>
        <w:pStyle w:val="Heading1"/>
      </w:pPr>
      <w:r>
        <w:t xml:space="preserve">十三、參考文獻</w:t>
      </w:r>
    </w:p>
    <w:p>
      <w:pPr>
        <w:spacing w:after="90" w:line="280"/>
        <w:ind w:left="480" w:hanging="480"/>
      </w:pPr>
      <w:r>
        <w:rPr>
          <w:rFonts w:ascii="Arial" w:cs="Arial" w:eastAsia="Arial" w:hAnsi="Arial"/>
          <w:b/>
          <w:bCs/>
          <w:sz w:val="20"/>
          <w:szCs w:val="20"/>
        </w:rPr>
        <w:t xml:space="preserve">[1] </w:t>
      </w:r>
      <w:r>
        <w:rPr>
          <w:rFonts w:ascii="Arial" w:cs="Arial" w:eastAsia="Arial" w:hAnsi="Arial"/>
          <w:sz w:val="20"/>
          <w:szCs w:val="20"/>
        </w:rPr>
        <w:t xml:space="preserve">The Apache SpamAssassin Project. SpamAssassin Public Corpus.</w:t>
      </w:r>
      <w:r>
        <w:rPr>
          <w:rFonts w:ascii="Arial" w:cs="Arial" w:eastAsia="Arial" w:hAnsi="Arial"/>
          <w:sz w:val="20"/>
          <w:szCs w:val="20"/>
        </w:rPr>
        <w:t xml:space="preserve"> </w:t>
      </w:r>
      <w:hyperlink w:history="1" r:id="rIdcq2u8ai0ss6oqwyvqzaw3">
        <w:r>
          <w:rPr>
            <w:rFonts w:ascii="Arial" w:cs="Arial" w:eastAsia="Arial" w:hAnsi="Arial"/>
            <w:color w:val="0563C1"/>
            <w:sz w:val="20"/>
            <w:szCs w:val="20"/>
            <w:u w:val="single"/>
          </w:rPr>
          <w:t xml:space="preserve">https://spamassassin.apache.org/old/publiccorpus/</w:t>
        </w:r>
      </w:hyperlink>
    </w:p>
    <w:p>
      <w:pPr>
        <w:spacing w:after="90" w:line="280"/>
        <w:ind w:left="480" w:hanging="480"/>
      </w:pPr>
      <w:r>
        <w:rPr>
          <w:rFonts w:ascii="Arial" w:cs="Arial" w:eastAsia="Arial" w:hAnsi="Arial"/>
          <w:b/>
          <w:bCs/>
          <w:sz w:val="20"/>
          <w:szCs w:val="20"/>
        </w:rPr>
        <w:t xml:space="preserve">[2] </w:t>
      </w:r>
      <w:r>
        <w:rPr>
          <w:rFonts w:ascii="Arial" w:cs="Arial" w:eastAsia="Arial" w:hAnsi="Arial"/>
          <w:sz w:val="20"/>
          <w:szCs w:val="20"/>
        </w:rPr>
        <w:t xml:space="preserve">Nazario, J. (2005). Nazario Phishing Corpus.</w:t>
      </w:r>
      <w:r>
        <w:rPr>
          <w:rFonts w:ascii="Arial" w:cs="Arial" w:eastAsia="Arial" w:hAnsi="Arial"/>
          <w:sz w:val="20"/>
          <w:szCs w:val="20"/>
        </w:rPr>
        <w:t xml:space="preserve"> </w:t>
      </w:r>
      <w:hyperlink w:history="1" r:id="rIdwmyn2ou0ay8mu124ccal6">
        <w:r>
          <w:rPr>
            <w:rFonts w:ascii="Arial" w:cs="Arial" w:eastAsia="Arial" w:hAnsi="Arial"/>
            <w:color w:val="0563C1"/>
            <w:sz w:val="20"/>
            <w:szCs w:val="20"/>
            <w:u w:val="single"/>
          </w:rPr>
          <w:t xml:space="preserve">https://monkey.org/~jose/phishing/</w:t>
        </w:r>
      </w:hyperlink>
    </w:p>
    <w:p>
      <w:pPr>
        <w:spacing w:after="90" w:line="280"/>
        <w:ind w:left="480" w:hanging="480"/>
      </w:pPr>
      <w:r>
        <w:rPr>
          <w:rFonts w:ascii="Arial" w:cs="Arial" w:eastAsia="Arial" w:hAnsi="Arial"/>
          <w:b/>
          <w:bCs/>
          <w:sz w:val="20"/>
          <w:szCs w:val="20"/>
        </w:rPr>
        <w:t xml:space="preserve">[3] </w:t>
      </w:r>
      <w:r>
        <w:rPr>
          <w:rFonts w:ascii="Arial" w:cs="Arial" w:eastAsia="Arial" w:hAnsi="Arial"/>
          <w:sz w:val="20"/>
          <w:szCs w:val="20"/>
        </w:rPr>
        <w:t xml:space="preserve">Champa, A. I., Rabbi, M. F., &amp; Zibran, M. F. (2024). Why Phishing Emails Escape Detection: A Closer Look at the Failure Points. In 12th International Symposium on Digital Forensics and Security (ISDFS).</w:t>
      </w:r>
    </w:p>
    <w:p>
      <w:pPr>
        <w:spacing w:after="90" w:line="280"/>
        <w:ind w:left="480" w:hanging="480"/>
      </w:pPr>
      <w:r>
        <w:rPr>
          <w:rFonts w:ascii="Arial" w:cs="Arial" w:eastAsia="Arial" w:hAnsi="Arial"/>
          <w:b/>
          <w:bCs/>
          <w:sz w:val="20"/>
          <w:szCs w:val="20"/>
        </w:rPr>
        <w:t xml:space="preserve">[4] </w:t>
      </w:r>
      <w:r>
        <w:rPr>
          <w:rFonts w:ascii="Arial" w:cs="Arial" w:eastAsia="Arial" w:hAnsi="Arial"/>
          <w:sz w:val="20"/>
          <w:szCs w:val="20"/>
        </w:rPr>
        <w:t xml:space="preserve">Alhuzali, A., Alloqmani, A., Aljabri, M., &amp; Alharbi, F. (2025). In-depth Analysis of Phishing Email Detection: Evaluating the Performance of Machine Learning and Deep Learning Models Across Multiple Datasets. Applied Sciences, 15(6), 3396.</w:t>
      </w:r>
      <w:r>
        <w:rPr>
          <w:rFonts w:ascii="Arial" w:cs="Arial" w:eastAsia="Arial" w:hAnsi="Arial"/>
          <w:sz w:val="20"/>
          <w:szCs w:val="20"/>
        </w:rPr>
        <w:t xml:space="preserve"> </w:t>
      </w:r>
      <w:hyperlink w:history="1" r:id="rIdvxo1vg4z7yir_gmqe5w_u">
        <w:r>
          <w:rPr>
            <w:rFonts w:ascii="Arial" w:cs="Arial" w:eastAsia="Arial" w:hAnsi="Arial"/>
            <w:color w:val="0563C1"/>
            <w:sz w:val="20"/>
            <w:szCs w:val="20"/>
            <w:u w:val="single"/>
          </w:rPr>
          <w:t xml:space="preserve">https://doi.org/10.3390/app15063396</w:t>
        </w:r>
      </w:hyperlink>
    </w:p>
    <w:p>
      <w:pPr>
        <w:spacing w:after="90" w:line="280"/>
        <w:ind w:left="480" w:hanging="480"/>
      </w:pPr>
      <w:r>
        <w:rPr>
          <w:rFonts w:ascii="Arial" w:cs="Arial" w:eastAsia="Arial" w:hAnsi="Arial"/>
          <w:b/>
          <w:bCs/>
          <w:sz w:val="20"/>
          <w:szCs w:val="20"/>
        </w:rPr>
        <w:t xml:space="preserve">[5] </w:t>
      </w:r>
      <w:r>
        <w:rPr>
          <w:rFonts w:ascii="Arial" w:cs="Arial" w:eastAsia="Arial" w:hAnsi="Arial"/>
          <w:sz w:val="20"/>
          <w:szCs w:val="20"/>
        </w:rPr>
        <w:t xml:space="preserve">Al-Subaiey, A., Al-Thani, M., Alam, N. A., Antora, K. F., Khandakar, A., &amp; Zaman, S. A. U. (2024). Novel Interpretable and Robust Web-based AI Platform for Phishing Email Detection. arXiv:2405.11619.</w:t>
      </w:r>
      <w:r>
        <w:rPr>
          <w:rFonts w:ascii="Arial" w:cs="Arial" w:eastAsia="Arial" w:hAnsi="Arial"/>
          <w:sz w:val="20"/>
          <w:szCs w:val="20"/>
        </w:rPr>
        <w:t xml:space="preserve"> </w:t>
      </w:r>
      <w:hyperlink w:history="1" r:id="rId44uwovwuaqowtcwciwsmz">
        <w:r>
          <w:rPr>
            <w:rFonts w:ascii="Arial" w:cs="Arial" w:eastAsia="Arial" w:hAnsi="Arial"/>
            <w:color w:val="0563C1"/>
            <w:sz w:val="20"/>
            <w:szCs w:val="20"/>
            <w:u w:val="single"/>
          </w:rPr>
          <w:t xml:space="preserve">https://arxiv.org/abs/2405.11619</w:t>
        </w:r>
      </w:hyperlink>
    </w:p>
    <w:p>
      <w:pPr>
        <w:spacing w:after="90" w:line="280"/>
        <w:ind w:left="480" w:hanging="480"/>
      </w:pPr>
      <w:r>
        <w:rPr>
          <w:rFonts w:ascii="Arial" w:cs="Arial" w:eastAsia="Arial" w:hAnsi="Arial"/>
          <w:b/>
          <w:bCs/>
          <w:sz w:val="20"/>
          <w:szCs w:val="20"/>
        </w:rPr>
        <w:t xml:space="preserve">[6] </w:t>
      </w:r>
      <w:r>
        <w:rPr>
          <w:rFonts w:ascii="Arial" w:cs="Arial" w:eastAsia="Arial" w:hAnsi="Arial"/>
          <w:sz w:val="20"/>
          <w:szCs w:val="20"/>
        </w:rPr>
        <w:t xml:space="preserve">The MITRE Corporation. MITRE ATT&amp;CK（T1566 Phishing；M1017 User Training）.</w:t>
      </w:r>
      <w:r>
        <w:rPr>
          <w:rFonts w:ascii="Arial" w:cs="Arial" w:eastAsia="Arial" w:hAnsi="Arial"/>
          <w:sz w:val="20"/>
          <w:szCs w:val="20"/>
        </w:rPr>
        <w:t xml:space="preserve"> </w:t>
      </w:r>
      <w:hyperlink w:history="1" r:id="rIdwlst1mcx5jeysvmey9fwq">
        <w:r>
          <w:rPr>
            <w:rFonts w:ascii="Arial" w:cs="Arial" w:eastAsia="Arial" w:hAnsi="Arial"/>
            <w:color w:val="0563C1"/>
            <w:sz w:val="20"/>
            <w:szCs w:val="20"/>
            <w:u w:val="single"/>
          </w:rPr>
          <w:t xml:space="preserve">https://attack.mitre.org/</w:t>
        </w:r>
      </w:hyperlink>
    </w:p>
    <w:p>
      <w:pPr>
        <w:spacing w:after="90" w:line="280"/>
        <w:ind w:left="480" w:hanging="480"/>
      </w:pPr>
      <w:r>
        <w:rPr>
          <w:rFonts w:ascii="Arial" w:cs="Arial" w:eastAsia="Arial" w:hAnsi="Arial"/>
          <w:b/>
          <w:bCs/>
          <w:sz w:val="20"/>
          <w:szCs w:val="20"/>
        </w:rPr>
        <w:t xml:space="preserve">[7] </w:t>
      </w:r>
      <w:r>
        <w:rPr>
          <w:rFonts w:ascii="Arial" w:cs="Arial" w:eastAsia="Arial" w:hAnsi="Arial"/>
          <w:sz w:val="20"/>
          <w:szCs w:val="20"/>
        </w:rPr>
        <w:t xml:space="preserve">OASIS Open. (2021). STIX Version 2.1, OASIS Standard.</w:t>
      </w:r>
      <w:r>
        <w:rPr>
          <w:rFonts w:ascii="Arial" w:cs="Arial" w:eastAsia="Arial" w:hAnsi="Arial"/>
          <w:sz w:val="20"/>
          <w:szCs w:val="20"/>
        </w:rPr>
        <w:t xml:space="preserve"> </w:t>
      </w:r>
      <w:hyperlink w:history="1" r:id="rIdjbrcknssk30gxtsgwcn-_">
        <w:r>
          <w:rPr>
            <w:rFonts w:ascii="Arial" w:cs="Arial" w:eastAsia="Arial" w:hAnsi="Arial"/>
            <w:color w:val="0563C1"/>
            <w:sz w:val="20"/>
            <w:szCs w:val="20"/>
            <w:u w:val="single"/>
          </w:rPr>
          <w:t xml:space="preserve">https://docs.oasis-open.org/cti/stix/v2.1/os/stix-v2.1-os.html</w:t>
        </w:r>
      </w:hyperlink>
    </w:p>
    <w:p>
      <w:pPr>
        <w:spacing w:after="90" w:line="280"/>
        <w:ind w:left="480" w:hanging="480"/>
      </w:pPr>
      <w:r>
        <w:rPr>
          <w:rFonts w:ascii="Arial" w:cs="Arial" w:eastAsia="Arial" w:hAnsi="Arial"/>
          <w:b/>
          <w:bCs/>
          <w:sz w:val="20"/>
          <w:szCs w:val="20"/>
        </w:rPr>
        <w:t xml:space="preserve">[8] </w:t>
      </w:r>
      <w:r>
        <w:rPr>
          <w:rFonts w:ascii="Arial" w:cs="Arial" w:eastAsia="Arial" w:hAnsi="Arial"/>
          <w:sz w:val="20"/>
          <w:szCs w:val="20"/>
        </w:rPr>
        <w:t xml:space="preserve">Qwen Team, Alibaba Group. Qwen2.5〔大型語言模型〕.</w:t>
      </w:r>
      <w:r>
        <w:rPr>
          <w:rFonts w:ascii="Arial" w:cs="Arial" w:eastAsia="Arial" w:hAnsi="Arial"/>
          <w:sz w:val="20"/>
          <w:szCs w:val="20"/>
        </w:rPr>
        <w:t xml:space="preserve"> </w:t>
      </w:r>
      <w:hyperlink w:history="1" r:id="rIdamhmrzdngifb9opbxkxur">
        <w:r>
          <w:rPr>
            <w:rFonts w:ascii="Arial" w:cs="Arial" w:eastAsia="Arial" w:hAnsi="Arial"/>
            <w:color w:val="0563C1"/>
            <w:sz w:val="20"/>
            <w:szCs w:val="20"/>
            <w:u w:val="single"/>
          </w:rPr>
          <w:t xml:space="preserve">https://qwenlm.github.io/</w:t>
        </w:r>
      </w:hyperlink>
    </w:p>
    <w:p>
      <w:pPr>
        <w:spacing w:after="90" w:line="280"/>
        <w:ind w:left="480" w:hanging="480"/>
      </w:pPr>
      <w:r>
        <w:rPr>
          <w:rFonts w:ascii="Arial" w:cs="Arial" w:eastAsia="Arial" w:hAnsi="Arial"/>
          <w:b/>
          <w:bCs/>
          <w:sz w:val="20"/>
          <w:szCs w:val="20"/>
        </w:rPr>
        <w:t xml:space="preserve">[9] </w:t>
      </w:r>
      <w:r>
        <w:rPr>
          <w:rFonts w:ascii="Arial" w:cs="Arial" w:eastAsia="Arial" w:hAnsi="Arial"/>
          <w:sz w:val="20"/>
          <w:szCs w:val="20"/>
        </w:rPr>
        <w:t xml:space="preserve">Anthropic. (2026). Claude（Opus 4.8）〔大型語言模型〕.</w:t>
      </w:r>
      <w:r>
        <w:rPr>
          <w:rFonts w:ascii="Arial" w:cs="Arial" w:eastAsia="Arial" w:hAnsi="Arial"/>
          <w:sz w:val="20"/>
          <w:szCs w:val="20"/>
        </w:rPr>
        <w:t xml:space="preserve"> </w:t>
      </w:r>
      <w:hyperlink w:history="1" r:id="rIdrxfat8-uyv--1mitpva-v">
        <w:r>
          <w:rPr>
            <w:rFonts w:ascii="Arial" w:cs="Arial" w:eastAsia="Arial" w:hAnsi="Arial"/>
            <w:color w:val="0563C1"/>
            <w:sz w:val="20"/>
            <w:szCs w:val="20"/>
            <w:u w:val="single"/>
          </w:rPr>
          <w:t xml:space="preserve">https://www.anthropic.com/claude</w:t>
        </w:r>
      </w:hyperlink>
    </w:p>
    <w:p>
      <w:pPr>
        <w:spacing w:after="90" w:line="280"/>
        <w:ind w:left="480" w:hanging="480"/>
      </w:pPr>
      <w:r>
        <w:rPr>
          <w:rFonts w:ascii="Arial" w:cs="Arial" w:eastAsia="Arial" w:hAnsi="Arial"/>
          <w:b/>
          <w:bCs/>
          <w:sz w:val="20"/>
          <w:szCs w:val="20"/>
        </w:rPr>
        <w:t xml:space="preserve">[10] </w:t>
      </w:r>
      <w:r>
        <w:rPr>
          <w:rFonts w:ascii="Arial" w:cs="Arial" w:eastAsia="Arial" w:hAnsi="Arial"/>
          <w:sz w:val="20"/>
          <w:szCs w:val="20"/>
        </w:rPr>
        <w:t xml:space="preserve">Lin, R.（林俊叡）. AI for Cybersecurity: Mastering the Transformer Revolution in Digital Defense（課程 Week 12 講義）. 台科大資訊安全科技與管理碩士班.</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60" w:before="28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20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i_ihttvanujdqgdlwze9q" Type="http://schemas.openxmlformats.org/officeDocument/2006/relationships/hyperlink" Target="https://github.com/otonifrio2812/phishing-defense-pipeline" TargetMode="External"/><Relationship Id="rIdcq2u8ai0ss6oqwyvqzaw3" Type="http://schemas.openxmlformats.org/officeDocument/2006/relationships/hyperlink" Target="https://spamassassin.apache.org/old/publiccorpus/" TargetMode="External"/><Relationship Id="rIdwmyn2ou0ay8mu124ccal6" Type="http://schemas.openxmlformats.org/officeDocument/2006/relationships/hyperlink" Target="https://monkey.org/~jose/phishing/" TargetMode="External"/><Relationship Id="rIdvxo1vg4z7yir_gmqe5w_u" Type="http://schemas.openxmlformats.org/officeDocument/2006/relationships/hyperlink" Target="https://doi.org/10.3390/app15063396" TargetMode="External"/><Relationship Id="rId44uwovwuaqowtcwciwsmz" Type="http://schemas.openxmlformats.org/officeDocument/2006/relationships/hyperlink" Target="https://arxiv.org/abs/2405.11619" TargetMode="External"/><Relationship Id="rIdwlst1mcx5jeysvmey9fwq" Type="http://schemas.openxmlformats.org/officeDocument/2006/relationships/hyperlink" Target="https://attack.mitre.org/" TargetMode="External"/><Relationship Id="rIdjbrcknssk30gxtsgwcn-_" Type="http://schemas.openxmlformats.org/officeDocument/2006/relationships/hyperlink" Target="https://docs.oasis-open.org/cti/stix/v2.1/os/stix-v2.1-os.html" TargetMode="External"/><Relationship Id="rIdamhmrzdngifb9opbxkxur" Type="http://schemas.openxmlformats.org/officeDocument/2006/relationships/hyperlink" Target="https://qwenlm.github.io/" TargetMode="External"/><Relationship Id="rIdrxfat8-uyv--1mitpva-v" Type="http://schemas.openxmlformats.org/officeDocument/2006/relationships/hyperlink" Target="https://www.anthropic.com/claude" TargetMode="External"/><Relationship Id="rId7" Type="http://schemas.openxmlformats.org/officeDocument/2006/relationships/image" Target="media/9f76e4757bb37f533dc9045a3de8807539e48380.png"/><Relationship Id="rId8" Type="http://schemas.openxmlformats.org/officeDocument/2006/relationships/image" Target="media/7eaf10b0a616d71613bb32920abd0a22cb474abd.png"/><Relationship Id="rId9" Type="http://schemas.openxmlformats.org/officeDocument/2006/relationships/image" Target="media/3da0ee6720d908fc79a883dae2e009c3c7fe7637.png"/><Relationship Id="rId10" Type="http://schemas.openxmlformats.org/officeDocument/2006/relationships/image" Target="media/a2b9050706921cc0a0588914fe3c2fef18d4bc3a.png"/><Relationship Id="rId11" Type="http://schemas.openxmlformats.org/officeDocument/2006/relationships/image" Target="media/21df1332b8c25f741d1be439da0d1c51389129d9.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2026-06-10T07:31:52.837Z</dcterms:created>
  <dcterms:modified xsi:type="dcterms:W3CDTF">2026-06-10T07:31:52.838Z</dcterms:modified>
</cp:coreProperties>
</file>

<file path=docProps/custom.xml><?xml version="1.0" encoding="utf-8"?>
<Properties xmlns="http://schemas.openxmlformats.org/officeDocument/2006/custom-properties" xmlns:vt="http://schemas.openxmlformats.org/officeDocument/2006/docPropsVTypes"/>
</file>