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OTROSÍ A CONTRATO DE PROMESA DE COMPRAVENTA</w:t>
      </w:r>
    </w:p>
    <w:p>
      <w:pPr>
        <w:ind w:left="360"/>
      </w:pPr>
      <w:r>
        <w:rPr>
          <w:b/>
          <w:i/>
        </w:rPr>
        <w:t>BORRADOR PARA REVISIÓN CON ABOGADO.</w:t>
      </w:r>
      <w:r>
        <w:rPr>
          <w:i/>
        </w:rPr>
        <w:t xml:space="preserve"> Versión consolidada que incorpora la entrega, la facultad de designar tercero y las cláusulas de protección (saneamiento, paz y salvos, poder y gastos). Campos entre </w:t>
      </w:r>
      <w:r>
        <w:rPr>
          <w:rFonts w:ascii="Consolas" w:hAnsi="Consolas"/>
          <w:i/>
        </w:rPr>
        <w:t>[ ]</w:t>
      </w:r>
      <w:r>
        <w:rPr>
          <w:i/>
        </w:rPr>
        <w:t xml:space="preserve"> por completar.</w:t>
      </w:r>
    </w:p>
    <w:p>
      <w:r>
        <w:t xml:space="preserve">Los suscritos a saber: </w:t>
      </w:r>
      <w:r>
        <w:rPr>
          <w:b/>
        </w:rPr>
        <w:t>MARÍA VILLALY MONTOYA SERNA</w:t>
      </w:r>
      <w:r>
        <w:t>, mayor de edad, domiciliada</w:t>
      </w:r>
    </w:p>
    <w:p>
      <w:r>
        <w:t>en el municipio de Medellín, identificada con la cédula de ciudadanía número</w:t>
      </w:r>
    </w:p>
    <w:p>
      <w:r>
        <w:rPr>
          <w:b/>
        </w:rPr>
        <w:t>43.491.607</w:t>
      </w:r>
      <w:r>
        <w:t>, de estado civil soltera sin unión marital de hecho, quien actúa en</w:t>
      </w:r>
    </w:p>
    <w:p>
      <w:r>
        <w:t>este acto en su propio nombre y representación, y para todos los efectos de este</w:t>
      </w:r>
    </w:p>
    <w:p>
      <w:r>
        <w:t xml:space="preserve">contrato se denominará </w:t>
      </w:r>
      <w:r>
        <w:rPr>
          <w:b/>
        </w:rPr>
        <w:t>LA PROMITENTE VENDEDORA</w:t>
      </w:r>
      <w:r>
        <w:t xml:space="preserve">; y </w:t>
      </w:r>
      <w:r>
        <w:rPr>
          <w:b/>
        </w:rPr>
        <w:t>NICOLÁS MEJÍA ACEVEDO</w:t>
      </w:r>
      <w:r>
        <w:t>,</w:t>
      </w:r>
    </w:p>
    <w:p>
      <w:r>
        <w:t>mayor de edad, domiciliado en el municipio de Medellín, identificado con la cédula</w:t>
      </w:r>
    </w:p>
    <w:p>
      <w:r>
        <w:t xml:space="preserve">de ciudadanía número </w:t>
      </w:r>
      <w:r>
        <w:rPr>
          <w:b/>
        </w:rPr>
        <w:t>1.028.031.225</w:t>
      </w:r>
      <w:r>
        <w:t>, de estado civil soltero sin unión marital</w:t>
      </w:r>
    </w:p>
    <w:p>
      <w:r>
        <w:t>de hecho, quien actúa en su propio nombre y representación, y se denominará **EL</w:t>
      </w:r>
    </w:p>
    <w:p>
      <w:r>
        <w:t>PROMITENTE COMPRADOR**, hemos decidido de mutuo acuerdo modificar y adicionar el</w:t>
      </w:r>
    </w:p>
    <w:p>
      <w:r>
        <w:t>contrato de promesa de compraventa suscrito entre las partes el **13 de mayo de</w:t>
      </w:r>
    </w:p>
    <w:p>
      <w:r>
        <w:t>2026</w:t>
      </w:r>
      <w:r>
        <w:rPr>
          <w:b/>
        </w:rPr>
        <w:t xml:space="preserve">, relacionado con el bien inmueble identificado con el </w:t>
      </w:r>
      <w:r>
        <w:t>Folio de Matrícula</w:t>
      </w:r>
    </w:p>
    <w:p>
      <w:r>
        <w:t>Inmobiliaria número 01N-5433424** de la Oficina de Registro de Instrumentos</w:t>
      </w:r>
    </w:p>
    <w:p>
      <w:r>
        <w:t>Públicos de Medellín Norte (Apartamento 9844, Torre 7, Piso -2, urbanización</w:t>
      </w:r>
    </w:p>
    <w:p>
      <w:r>
        <w:t>[El Tirol 3]), en los siguientes términos:</w:t>
      </w:r>
    </w:p>
    <w:p>
      <w:r>
        <w:rPr>
          <w:b/>
        </w:rPr>
        <w:t>PRIMERA. ENTREGA.</w:t>
      </w:r>
      <w:r>
        <w:t xml:space="preserve"> Se modifica la cláusula OCTAVA del contrato original,</w:t>
      </w:r>
    </w:p>
    <w:p>
      <w:r>
        <w:t>estableciendo que la entrega real y material del inmueble se realizará el día</w:t>
      </w:r>
    </w:p>
    <w:p>
      <w:r>
        <w:rPr>
          <w:b/>
        </w:rPr>
        <w:t>30 de junio de 2026</w:t>
      </w:r>
      <w:r>
        <w:t>.</w:t>
      </w:r>
    </w:p>
    <w:p>
      <w:r>
        <w:rPr>
          <w:b/>
        </w:rPr>
        <w:t>SEGUNDA. FACULTAD DE DESIGNAR TERCERO ADQUIRENTE (CESIÓN).</w:t>
      </w:r>
      <w:r>
        <w:t xml:space="preserve"> Las partes</w:t>
      </w:r>
    </w:p>
    <w:p>
      <w:r>
        <w:t>adicionan la promesa en el sentido de facultar al PROMITENTE COMPRADOR para que,</w:t>
      </w:r>
    </w:p>
    <w:p>
      <w:r>
        <w:t>al momento de la suscripción de la escritura pública de compraventa, pueda</w:t>
      </w:r>
    </w:p>
    <w:p>
      <w:r>
        <w:t>**designar como adquirente del inmueble a una persona natural o jurídica distinta</w:t>
      </w:r>
    </w:p>
    <w:p>
      <w:r>
        <w:t>de él</w:t>
      </w:r>
      <w:r>
        <w:rPr>
          <w:b/>
        </w:rPr>
        <w:t xml:space="preserve">, o </w:t>
      </w:r>
      <w:r>
        <w:t>ceder su posición contractual** en la presente promesa. Para tal</w:t>
      </w:r>
    </w:p>
    <w:p>
      <w:r>
        <w:t>efecto, el PROMITENTE COMPRADOR deberá informar por escrito a LA PROMITENTE</w:t>
      </w:r>
    </w:p>
    <w:p>
      <w:r>
        <w:t>VENDEDORA la identidad del tercero designado con anterioridad al otorgamiento de</w:t>
      </w:r>
    </w:p>
    <w:p>
      <w:r>
        <w:t>la escritura. La comparecencia de dicho tercero como comprador no alterará el</w:t>
      </w:r>
    </w:p>
    <w:p>
      <w:r>
        <w:t>precio, plazos, obligaciones ni demás estipulaciones pactadas. Esta autorización</w:t>
      </w:r>
    </w:p>
    <w:p>
      <w:r>
        <w:t>no libera al PROMITENTE COMPRADOR de las obligaciones derivadas de la promesa</w:t>
      </w:r>
    </w:p>
    <w:p>
      <w:r>
        <w:t>hasta tanto se otorgue y perfeccione la escritura pública, salvo acuerdo expreso y</w:t>
      </w:r>
    </w:p>
    <w:p>
      <w:r>
        <w:t>escrito en contrario.</w:t>
      </w:r>
    </w:p>
    <w:p>
      <w:r>
        <w:rPr>
          <w:b/>
        </w:rPr>
        <w:t>TERCERA. SANEAMIENTO PREVIO DEL FOLIO (CONDICIÓN).</w:t>
      </w:r>
      <w:r>
        <w:t xml:space="preserve"> LA PROMITENTE VENDEDORA se</w:t>
      </w:r>
    </w:p>
    <w:p>
      <w:r>
        <w:t>obliga a entregar el inmueble y el folio de matrícula **libre de todo gravamen y</w:t>
      </w:r>
    </w:p>
    <w:p>
      <w:r>
        <w:t>limitación al dominio</w:t>
      </w:r>
      <w:r>
        <w:rPr>
          <w:b/>
        </w:rPr>
        <w:t xml:space="preserve">, y como </w:t>
      </w:r>
      <w:r>
        <w:t>condición** para el otorgamiento de la escritura</w:t>
      </w:r>
    </w:p>
    <w:p>
      <w:r>
        <w:t>pública de compraventa, a obtener —a su costa y con anterioridad a la fecha de</w:t>
      </w:r>
    </w:p>
    <w:p>
      <w:r>
        <w:t xml:space="preserve">escrituración— el levantamiento y la </w:t>
      </w:r>
      <w:r>
        <w:rPr>
          <w:b/>
        </w:rPr>
        <w:t>cancelación registral</w:t>
      </w:r>
      <w:r>
        <w:t xml:space="preserve"> de las siguientes</w:t>
      </w:r>
    </w:p>
    <w:p>
      <w:r>
        <w:t>anotaciones del folio 01N-5433424:</w:t>
      </w:r>
    </w:p>
    <w:p>
      <w:pPr>
        <w:pStyle w:val="ListNumber"/>
      </w:pPr>
      <w:r>
        <w:t xml:space="preserve">Anotación </w:t>
      </w:r>
      <w:r>
        <w:rPr>
          <w:b/>
        </w:rPr>
        <w:t>009</w:t>
      </w:r>
      <w:r>
        <w:t xml:space="preserve"> — Constitución de Patrimonio de Familia (Resolución 505 del</w:t>
      </w:r>
    </w:p>
    <w:p>
      <w:r>
        <w:t xml:space="preserve">   01-03-2017 de ISVIMED, registrada el 09-05-2017).</w:t>
      </w:r>
    </w:p>
    <w:p>
      <w:pPr>
        <w:pStyle w:val="ListNumber"/>
      </w:pPr>
      <w:r>
        <w:t xml:space="preserve">Anotación </w:t>
      </w:r>
      <w:r>
        <w:rPr>
          <w:b/>
        </w:rPr>
        <w:t>010</w:t>
      </w:r>
      <w:r>
        <w:t xml:space="preserve"> — Afectación a Vivienda Familiar (misma resolución y fecha).</w:t>
      </w:r>
    </w:p>
    <w:p>
      <w:pPr>
        <w:pStyle w:val="ListNumber"/>
      </w:pPr>
      <w:r>
        <w:t xml:space="preserve">Anotaciones </w:t>
      </w:r>
      <w:r>
        <w:rPr>
          <w:b/>
        </w:rPr>
        <w:t>007 y 008</w:t>
      </w:r>
      <w:r>
        <w:t xml:space="preserve"> — Prohibición de transferencia y Derecho de</w:t>
      </w:r>
    </w:p>
    <w:p>
      <w:r>
        <w:t xml:space="preserve">   preferencia (Ley 1537 de 2012): deberá quedar **registrado el retiro o</w:t>
      </w:r>
    </w:p>
    <w:p>
      <w:r>
        <w:t xml:space="preserve">   autorización de ISVIMED/FONVIVIENDA** que habilita la transferencia.</w:t>
      </w:r>
    </w:p>
    <w:p>
      <w:r>
        <w:t>LA PROMITENTE VENDEDORA gestionará las comparecencias necesarias para dichos</w:t>
      </w:r>
    </w:p>
    <w:p>
      <w:r>
        <w:t>levantamientos (entre ellas, la de los beneficiarios del patrimonio de familia y</w:t>
      </w:r>
    </w:p>
    <w:p>
      <w:r>
        <w:t>la del beneficiario de la afectación a vivienda familiar).</w:t>
      </w:r>
    </w:p>
    <w:p>
      <w:r>
        <w:rPr>
          <w:b/>
        </w:rPr>
        <w:t>CUARTA. PAZ Y SALVOS.</w:t>
      </w:r>
      <w:r>
        <w:t xml:space="preserve"> LA PROMITENTE VENDEDORA entregará, a más tardar en la</w:t>
      </w:r>
    </w:p>
    <w:p>
      <w:r>
        <w:t>fecha de la escritura, los paz y salvos de **administración (propiedad</w:t>
      </w:r>
    </w:p>
    <w:p>
      <w:r>
        <w:t>horizontal)</w:t>
      </w:r>
      <w:r>
        <w:rPr>
          <w:b/>
        </w:rPr>
        <w:t xml:space="preserve">, </w:t>
      </w:r>
      <w:r>
        <w:t>impuesto predial</w:t>
      </w:r>
      <w:r>
        <w:rPr>
          <w:b/>
        </w:rPr>
        <w:t xml:space="preserve"> y </w:t>
      </w:r>
      <w:r>
        <w:t>valorización** del inmueble.</w:t>
      </w:r>
    </w:p>
    <w:p>
      <w:r>
        <w:rPr>
          <w:b/>
        </w:rPr>
        <w:t>QUINTA. PODER PARA ESCRITURAR.</w:t>
      </w:r>
      <w:r>
        <w:t xml:space="preserve"> En caso de no poder comparecer personalmente al</w:t>
      </w:r>
    </w:p>
    <w:p>
      <w:r>
        <w:t>otorgamiento de la escritura pública de compraventa, LA PROMITENTE VENDEDORA</w:t>
      </w:r>
    </w:p>
    <w:p>
      <w:r>
        <w:t xml:space="preserve">otorgará </w:t>
      </w:r>
      <w:r>
        <w:rPr>
          <w:b/>
        </w:rPr>
        <w:t>poder especial por escritura pública</w:t>
      </w:r>
      <w:r>
        <w:t xml:space="preserve"> para que en su nombre se suscriba</w:t>
      </w:r>
    </w:p>
    <w:p>
      <w:r>
        <w:t>dicha escritura, sin que ello altere las condiciones aquí pactadas.</w:t>
      </w:r>
    </w:p>
    <w:p>
      <w:r>
        <w:rPr>
          <w:b/>
        </w:rPr>
        <w:t>SEXTA. GASTOS.</w:t>
      </w:r>
      <w:r>
        <w:t xml:space="preserve"> Los gastos notariales, de registro e impuesto de registro</w:t>
      </w:r>
    </w:p>
    <w:p>
      <w:r>
        <w:t>derivados de la compraventa se asumirán así: **[por definir entre las partes / por</w:t>
      </w:r>
    </w:p>
    <w:p>
      <w:r>
        <w:t>mitades / por cuenta del comprador]**. Los costos del saneamiento del folio</w:t>
      </w:r>
    </w:p>
    <w:p>
      <w:r>
        <w:t xml:space="preserve">(cláusula TERCERA) estarán a cargo de </w:t>
      </w:r>
      <w:r>
        <w:rPr>
          <w:b/>
        </w:rPr>
        <w:t>LA PROMITENTE VENDEDORA</w:t>
      </w:r>
      <w:r>
        <w:t>.</w:t>
      </w:r>
    </w:p>
    <w:p>
      <w:r>
        <w:rPr>
          <w:b/>
        </w:rPr>
        <w:t>SÉPTIMA. VIGENCIA.</w:t>
      </w:r>
      <w:r>
        <w:t xml:space="preserve"> En todo lo demás continúa vigente el contrato de promesa de</w:t>
      </w:r>
    </w:p>
    <w:p>
      <w:r>
        <w:t>compraventa suscrito el 13 de mayo de 2026.</w:t>
      </w:r>
    </w:p>
    <w:p>
      <w:r>
        <w:t>En señal de conformidad, se lee y firma por los interesados en dos (2) ejemplares</w:t>
      </w:r>
    </w:p>
    <w:p>
      <w:r>
        <w:t>de igual valor y tenor, en Medellín, a los [__] días del mes de [____] del año</w:t>
      </w:r>
    </w:p>
    <w:p>
      <w:r>
        <w:t>2026.</w:t>
      </w:r>
    </w:p>
    <w:p>
      <w:r>
        <w:t>LA PROMITENTE VENDEDORA,                     EL PROMITENTE COMPRADOR,</w:t>
      </w:r>
    </w:p>
    <w:p>
      <w:r>
        <w:t>_____________________________               _____________________________</w:t>
      </w:r>
    </w:p>
    <w:p>
      <w:r>
        <w:t>MARÍA VILLALY MONTOYA SERNA                  NICOLÁS MEJÍA ACEVEDO</w:t>
      </w:r>
    </w:p>
    <w:p>
      <w:r>
        <w:t>C.C. No. 43.491.607                          C.C. No. 1.028.031.225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