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OTROSÍ A CONTRATO DE PROMESA DE COMPRAVENTA — APTO 9840</w:t>
      </w:r>
    </w:p>
    <w:p>
      <w:pPr>
        <w:ind w:left="360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BORRADOR — apoyo informativo, NO asesoría legal.</w:t>
      </w:r>
      <w:r>
        <w:rPr>
          <w:i/>
          <w:color w:val="555555"/>
        </w:rPr>
        <w:t xml:space="preserve"> Debe revisarlo el abogado</w:t>
      </w:r>
    </w:p>
    <w:p>
      <w:pPr>
        <w:ind w:left="360"/>
      </w:pPr>
      <w:r>
        <w:rPr>
          <w:i/>
          <w:color w:val="555555"/>
        </w:rPr>
        <w:t>y la notaría. Campos entre `[ ]` por completar.</w:t>
      </w:r>
    </w:p>
    <w:p>
      <w:r>
        <w:t xml:space="preserve">Los suscritos a saber: </w:t>
      </w:r>
      <w:r>
        <w:rPr>
          <w:b/>
        </w:rPr>
        <w:t>MARTHA LUCÍA MORALES ESPINAL</w:t>
      </w:r>
      <w:r>
        <w:t>, mayor de edad, domiciliada</w:t>
      </w:r>
    </w:p>
    <w:p>
      <w:r>
        <w:t>en el municipio de Medellín, identificada con la cédula de ciudadanía número</w:t>
      </w:r>
    </w:p>
    <w:p>
      <w:r>
        <w:rPr>
          <w:b/>
        </w:rPr>
        <w:t>42.677.313</w:t>
      </w:r>
      <w:r>
        <w:t>, quien para todos los efectos de este contrato se denominará **LA</w:t>
      </w:r>
    </w:p>
    <w:p>
      <w:r>
        <w:t>PROMITENTE VENDEDORA</w:t>
      </w:r>
      <w:r>
        <w:rPr>
          <w:b/>
        </w:rPr>
        <w:t xml:space="preserve">; y </w:t>
      </w:r>
      <w:r>
        <w:t>NICOLÁS MEJÍA ACEVEDO**, mayor de edad,</w:t>
      </w:r>
    </w:p>
    <w:p>
      <w:r>
        <w:t>domiciliado en el municipio de Medellín, identificado con la cédula de ciudadanía</w:t>
      </w:r>
    </w:p>
    <w:p>
      <w:r>
        <w:t xml:space="preserve">número </w:t>
      </w:r>
      <w:r>
        <w:rPr>
          <w:b/>
        </w:rPr>
        <w:t>1.028.031.225</w:t>
      </w:r>
      <w:r>
        <w:t xml:space="preserve">, quien se denominará </w:t>
      </w:r>
      <w:r>
        <w:rPr>
          <w:b/>
        </w:rPr>
        <w:t>EL PROMITENTE COMPRADOR</w:t>
      </w:r>
      <w:r>
        <w:t>; hemos</w:t>
      </w:r>
    </w:p>
    <w:p>
      <w:r>
        <w:t>decidido de mutuo acuerdo modificar y adicionar el contrato de promesa de</w:t>
      </w:r>
    </w:p>
    <w:p>
      <w:r>
        <w:t xml:space="preserve">compraventa suscrito entre las partes el </w:t>
      </w:r>
      <w:r>
        <w:rPr>
          <w:b/>
        </w:rPr>
        <w:t>21 de agosto de 2026</w:t>
      </w:r>
      <w:r>
        <w:t>, relacionado con</w:t>
      </w:r>
    </w:p>
    <w:p>
      <w:r>
        <w:t>el bien inmueble identificado con el **Folio de Matrícula Inmobiliaria número</w:t>
      </w:r>
    </w:p>
    <w:p>
      <w:r>
        <w:t>01N-5433420** de la Oficina de Registro de Instrumentos Públicos de Medellín Norte</w:t>
      </w:r>
    </w:p>
    <w:p>
      <w:r>
        <w:t xml:space="preserve">(Apartamento </w:t>
      </w:r>
      <w:r>
        <w:rPr>
          <w:b/>
        </w:rPr>
        <w:t>9840</w:t>
      </w:r>
      <w:r>
        <w:t>, Torre 7, Piso -2, urbanización El Tirol 3, área privada</w:t>
      </w:r>
    </w:p>
    <w:p>
      <w:r>
        <w:t>45,95 m², coeficiente 0,148 %), en los siguientes términos:</w:t>
      </w:r>
    </w:p>
    <w:p>
      <w:r>
        <w:rPr>
          <w:b/>
        </w:rPr>
        <w:t>PRIMERA. MODIFICACIÓN DE LA FECHA DE LA ESCRITURA.</w:t>
      </w:r>
      <w:r>
        <w:t xml:space="preserve"> Las partes acuerdan, **de</w:t>
      </w:r>
    </w:p>
    <w:p>
      <w:r>
        <w:t>mutuo acuerdo</w:t>
      </w:r>
      <w:r>
        <w:rPr>
          <w:b/>
        </w:rPr>
        <w:t xml:space="preserve">, modificar la fecha para el otorgamiento de la </w:t>
      </w:r>
      <w:r>
        <w:t>escritura pública</w:t>
      </w:r>
    </w:p>
    <w:p>
      <w:r>
        <w:t>de compraventa</w:t>
      </w:r>
      <w:r>
        <w:rPr>
          <w:b/>
        </w:rPr>
        <w:t xml:space="preserve">. En consecuencia, esta se otorgará </w:t>
      </w:r>
      <w:r>
        <w:t>el 21 de octubre de 2026**, o</w:t>
      </w:r>
    </w:p>
    <w:p>
      <w:r>
        <w:rPr>
          <w:b/>
        </w:rPr>
        <w:t>en la fecha en que el folio quede saneado</w:t>
      </w:r>
      <w:r>
        <w:t xml:space="preserve"> si el saneamiento se prolongara más</w:t>
      </w:r>
    </w:p>
    <w:p>
      <w:r>
        <w:t>allá de dicha fecha —dado que actualmente se está demorando—, quedando **sin efecto</w:t>
      </w:r>
    </w:p>
    <w:p>
      <w:r>
        <w:t>la fecha de escrituración inicialmente prevista** en la promesa.</w:t>
      </w:r>
    </w:p>
    <w:p>
      <w:r>
        <w:rPr>
          <w:b/>
        </w:rPr>
        <w:t>SEGUNDA. LEVANTAMIENTOS Y SANEAMIENTO DEL FOLIO (CONDICIÓN).</w:t>
      </w:r>
      <w:r>
        <w:t xml:space="preserve"> Como </w:t>
      </w:r>
      <w:r>
        <w:rPr>
          <w:b/>
        </w:rPr>
        <w:t>condición</w:t>
      </w:r>
    </w:p>
    <w:p>
      <w:r>
        <w:t>para el otorgamiento de la escritura de compraventa, LA PROMITENTE VENDEDORA se</w:t>
      </w:r>
    </w:p>
    <w:p>
      <w:r>
        <w:t xml:space="preserve">obliga a dejar el folio </w:t>
      </w:r>
      <w:r>
        <w:rPr>
          <w:b/>
        </w:rPr>
        <w:t>libre de las limitaciones al dominio</w:t>
      </w:r>
      <w:r>
        <w:t>, así:</w:t>
      </w:r>
    </w:p>
    <w:p>
      <w:pPr>
        <w:pStyle w:val="ListNumber"/>
      </w:pPr>
      <w:r>
        <w:t xml:space="preserve">El día </w:t>
      </w:r>
      <w:r>
        <w:rPr>
          <w:b/>
        </w:rPr>
        <w:t>25 de agosto de 2026</w:t>
      </w:r>
      <w:r>
        <w:t xml:space="preserve"> se otorgará(n) la(s) escritura(s) pública(s) de:</w:t>
      </w:r>
    </w:p>
    <w:p>
      <w:r>
        <w:t xml:space="preserve">   - </w:t>
      </w:r>
      <w:r>
        <w:rPr>
          <w:b/>
        </w:rPr>
        <w:t>Cancelación del Patrimonio de Familia</w:t>
      </w:r>
      <w:r>
        <w:t xml:space="preserve"> (anotación 009), con la comparecencia</w:t>
      </w:r>
    </w:p>
    <w:p>
      <w:r>
        <w:t xml:space="preserve">     de LA PROMITENTE VENDEDORA y de </w:t>
      </w:r>
      <w:r>
        <w:rPr>
          <w:b/>
        </w:rPr>
        <w:t>sus hijos mayores de edad</w:t>
      </w:r>
      <w:r>
        <w:t>.</w:t>
      </w:r>
    </w:p>
    <w:p>
      <w:r>
        <w:t xml:space="preserve">   - </w:t>
      </w:r>
      <w:r>
        <w:rPr>
          <w:b/>
        </w:rPr>
        <w:t>Levantamiento de la Afectación a Vivienda Familiar</w:t>
      </w:r>
      <w:r>
        <w:t xml:space="preserve"> (anotación 010), con la</w:t>
      </w:r>
    </w:p>
    <w:p>
      <w:r>
        <w:t xml:space="preserve">     comparecencia de LA PROMITENTE VENDEDORA y del señor **LUIS EDUARDO CHAVARRÍA</w:t>
      </w:r>
    </w:p>
    <w:p>
      <w:r>
        <w:t xml:space="preserve">     CARVAJAL** (C.C. 70.576.777).</w:t>
      </w:r>
    </w:p>
    <w:p>
      <w:pPr>
        <w:pStyle w:val="ListNumber"/>
      </w:pPr>
      <w:r>
        <w:t>Adicionalmente, deberá quedar **registrado el retiro o autorización de</w:t>
      </w:r>
    </w:p>
    <w:p>
      <w:r>
        <w:t xml:space="preserve">   ISVIMED/FONVIVIENDA</w:t>
      </w:r>
      <w:r>
        <w:rPr>
          <w:b/>
        </w:rPr>
        <w:t xml:space="preserve"> (Resolución 710 de 2017) que cancela las anotaciones </w:t>
      </w:r>
      <w:r>
        <w:t>007</w:t>
      </w:r>
    </w:p>
    <w:p>
      <w:r>
        <w:t xml:space="preserve">   (derecho de preferencia)</w:t>
      </w:r>
      <w:r>
        <w:rPr>
          <w:b/>
        </w:rPr>
        <w:t xml:space="preserve"> y </w:t>
      </w:r>
      <w:r>
        <w:t>008 (prohibición de transferencia)** de la Ley</w:t>
      </w:r>
    </w:p>
    <w:p>
      <w:r>
        <w:t xml:space="preserve">   1537 de 2012.</w:t>
      </w:r>
    </w:p>
    <w:p>
      <w:r>
        <w:t xml:space="preserve">Todos los levantamientos anteriores deberán quedar </w:t>
      </w:r>
      <w:r>
        <w:rPr>
          <w:b/>
        </w:rPr>
        <w:t>inscritos en la ORIP</w:t>
      </w:r>
      <w:r>
        <w:t xml:space="preserve"> para</w:t>
      </w:r>
    </w:p>
    <w:p>
      <w:r>
        <w:t>que el folio quede limpio antes de la escritura de compraventa.</w:t>
      </w:r>
    </w:p>
    <w:p>
      <w:r>
        <w:rPr>
          <w:b/>
        </w:rPr>
        <w:t>TERCERA. PRECIO, ABONOS Y FORMA DE PAGO.</w:t>
      </w:r>
      <w:r>
        <w:t xml:space="preserve"> El precio total de la compraventa es la</w:t>
      </w:r>
    </w:p>
    <w:p>
      <w:r>
        <w:t xml:space="preserve">suma de </w:t>
      </w:r>
      <w:r>
        <w:rPr>
          <w:b/>
        </w:rPr>
        <w:t>$120.000.000</w:t>
      </w:r>
      <w:r>
        <w:t xml:space="preserve"> M/CTE, que se paga así:</w:t>
      </w:r>
    </w:p>
    <w:p>
      <w:pPr>
        <w:pStyle w:val="ListNumber"/>
      </w:pPr>
      <w:r>
        <w:rPr>
          <w:b/>
        </w:rPr>
        <w:t>$15.000.000</w:t>
      </w:r>
      <w:r>
        <w:t xml:space="preserve"> M/CTE </w:t>
      </w:r>
      <w:r>
        <w:rPr>
          <w:b/>
        </w:rPr>
        <w:t>ya pagados</w:t>
      </w:r>
      <w:r>
        <w:t xml:space="preserve"> por EL PROMITENTE COMPRADOR como **adelanto</w:t>
      </w:r>
    </w:p>
    <w:p>
      <w:r>
        <w:t xml:space="preserve">   para la firma de la compraventa**.</w:t>
      </w:r>
    </w:p>
    <w:p>
      <w:pPr>
        <w:pStyle w:val="ListNumber"/>
      </w:pPr>
      <w:r>
        <w:rPr>
          <w:b/>
        </w:rPr>
        <w:t>$58.000.000</w:t>
      </w:r>
      <w:r>
        <w:t xml:space="preserve"> M/CTE que se entregan a LA PROMITENTE VENDEDORA el **25 de agosto</w:t>
      </w:r>
    </w:p>
    <w:p>
      <w:r>
        <w:t xml:space="preserve">   de 2026</w:t>
      </w:r>
      <w:r>
        <w:rPr>
          <w:b/>
        </w:rPr>
        <w:t xml:space="preserve">, como </w:t>
      </w:r>
      <w:r>
        <w:t>adelanto/abono a la compra**, el mismo día de los</w:t>
      </w:r>
    </w:p>
    <w:p>
      <w:r>
        <w:t xml:space="preserve">   levantamientos (cláusula SEGUNDA).</w:t>
      </w:r>
    </w:p>
    <w:p>
      <w:pPr>
        <w:pStyle w:val="ListNumber"/>
      </w:pPr>
      <w:r>
        <w:rPr>
          <w:b/>
        </w:rPr>
        <w:t>$47.000.000</w:t>
      </w:r>
      <w:r>
        <w:t xml:space="preserve"> M/CTE, correspondientes al </w:t>
      </w:r>
      <w:r>
        <w:rPr>
          <w:b/>
        </w:rPr>
        <w:t>saldo</w:t>
      </w:r>
      <w:r>
        <w:t>, que se entregan a **la firma</w:t>
      </w:r>
    </w:p>
    <w:p>
      <w:r>
        <w:t xml:space="preserve">   de la escritura pública de compraventa**.</w:t>
      </w:r>
    </w:p>
    <w:p>
      <w:r>
        <w:t xml:space="preserve">LA PROMITENTE VENDEDORA </w:t>
      </w:r>
      <w:r>
        <w:rPr>
          <w:b/>
        </w:rPr>
        <w:t>declara y reconoce</w:t>
      </w:r>
      <w:r>
        <w:t xml:space="preserve"> haber recibido a satisfacción los</w:t>
      </w:r>
    </w:p>
    <w:p>
      <w:r>
        <w:t xml:space="preserve">abonos de los numerales 1 y 2 (por </w:t>
      </w:r>
      <w:r>
        <w:rPr>
          <w:b/>
        </w:rPr>
        <w:t>$73.000.000</w:t>
      </w:r>
      <w:r>
        <w:t>), imputables al precio, y las</w:t>
      </w:r>
    </w:p>
    <w:p>
      <w:r>
        <w:t>partes conservarán los soportes de pago. El saldo (numeral 3) se paga contra la</w:t>
      </w:r>
    </w:p>
    <w:p>
      <w:r>
        <w:t>firma de la escritura, momento en el cual el inmueble se transfiere a EL PROMITENTE</w:t>
      </w:r>
    </w:p>
    <w:p>
      <w:r>
        <w:t>COMPRADOR o al tercero que este designe.</w:t>
      </w:r>
    </w:p>
    <w:p>
      <w:r>
        <w:rPr>
          <w:b/>
        </w:rPr>
        <w:t>CUARTA. VIGENCIA.</w:t>
      </w:r>
      <w:r>
        <w:t xml:space="preserve"> En todo lo demás continúa vigente el contrato de promesa de</w:t>
      </w:r>
    </w:p>
    <w:p>
      <w:r>
        <w:t xml:space="preserve">compraventa suscrito el </w:t>
      </w:r>
      <w:r>
        <w:rPr>
          <w:b/>
        </w:rPr>
        <w:t>21 de agosto de 2026</w:t>
      </w:r>
      <w:r>
        <w:t>.</w:t>
      </w:r>
    </w:p>
    <w:p>
      <w:r>
        <w:t>En señal de conformidad, se firma en Medellín, a los **25 días del mes de agosto</w:t>
      </w:r>
    </w:p>
    <w:p>
      <w:r>
        <w:t>de 2026**, en dos (2) ejemplares de igual valor y tenor.</w:t>
      </w:r>
    </w:p>
    <w:p>
      <w:r>
        <w:t>LA PROMITENTE VENDEDORA,                      EL PROMITENTE COMPRADOR,</w:t>
      </w:r>
    </w:p>
    <w:p>
      <w:r>
        <w:t>_____________________________               _____________________________</w:t>
      </w:r>
    </w:p>
    <w:p>
      <w:r>
        <w:t>MARTHA LUCÍA MORALES ESPINAL                 NICOLÁS MEJÍA ACEVEDO</w:t>
      </w:r>
    </w:p>
    <w:p>
      <w:r>
        <w:t>C.C. No. 42.677.313                          C.C. No. 1.028.031.225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