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Revisión del Otrosí a la Promesa (María ↔ Nicolás Mejía) + frentes por cubrir</w:t>
      </w:r>
    </w:p>
    <w:p>
      <w:pPr>
        <w:ind w:left="360"/>
      </w:pPr>
      <w:r>
        <w:rPr>
          <w:b/>
          <w:i/>
        </w:rPr>
        <w:t>Aviso:</w:t>
      </w:r>
      <w:r>
        <w:rPr>
          <w:i/>
        </w:rPr>
        <w:t xml:space="preserve"> Revisión informativa, </w:t>
      </w:r>
      <w:r>
        <w:rPr>
          <w:b/>
          <w:i/>
        </w:rPr>
        <w:t>no es asesoría legal</w:t>
      </w:r>
      <w:r>
        <w:rPr>
          <w:i/>
        </w:rPr>
        <w:t>. Confírmalo con el abogado y la notaría.</w:t>
      </w:r>
    </w:p>
    <w:p>
      <w:pPr>
        <w:pStyle w:val="Heading2"/>
      </w:pPr>
      <w:r/>
      <w:r>
        <w:t>Qué dice el otrosí (12-jun-2026)</w:t>
      </w:r>
    </w:p>
    <w:p>
      <w:pPr>
        <w:pStyle w:val="ListBullet"/>
      </w:pPr>
      <w:r>
        <w:rPr>
          <w:b/>
        </w:rPr>
        <w:t>Partes:</w:t>
      </w:r>
      <w:r>
        <w:t xml:space="preserve"> María Villaly Montoya Serna (C.C. 43.491.607), **soltera sin unión</w:t>
      </w:r>
    </w:p>
    <w:p>
      <w:r>
        <w:t xml:space="preserve">  marital de hecho** = PROMITENTE VENDEDORA. Nicolás Mejía Acevedo</w:t>
      </w:r>
    </w:p>
    <w:p>
      <w:r>
        <w:t xml:space="preserve">  (C.C. 1.028.031.225) = PROMITENTE COMPRADOR.</w:t>
      </w:r>
    </w:p>
    <w:p>
      <w:pPr>
        <w:pStyle w:val="ListBullet"/>
      </w:pPr>
      <w:r>
        <w:rPr>
          <w:b/>
        </w:rPr>
        <w:t>Promesa original:</w:t>
      </w:r>
      <w:r>
        <w:t xml:space="preserve"> 13-mayo-2026. Inmueble: matrícula </w:t>
      </w:r>
      <w:r>
        <w:rPr>
          <w:b/>
        </w:rPr>
        <w:t>01N-5433424</w:t>
      </w:r>
      <w:r>
        <w:t>.</w:t>
      </w:r>
    </w:p>
    <w:p>
      <w:pPr>
        <w:pStyle w:val="ListBullet"/>
      </w:pPr>
      <w:r>
        <w:rPr>
          <w:b/>
        </w:rPr>
        <w:t>Primero:</w:t>
      </w:r>
      <w:r>
        <w:t xml:space="preserve"> entrega material el </w:t>
      </w:r>
      <w:r>
        <w:rPr>
          <w:b/>
        </w:rPr>
        <w:t>30-junio-2026</w:t>
      </w:r>
      <w:r>
        <w:t>.</w:t>
      </w:r>
    </w:p>
    <w:p>
      <w:pPr>
        <w:pStyle w:val="ListBullet"/>
      </w:pPr>
      <w:r>
        <w:rPr>
          <w:b/>
        </w:rPr>
        <w:t>Segundo:</w:t>
      </w:r>
      <w:r>
        <w:t xml:space="preserve"> faculta al comprador (Nicolás) a </w:t>
      </w:r>
      <w:r>
        <w:rPr>
          <w:b/>
        </w:rPr>
        <w:t>designar un tercero</w:t>
      </w:r>
      <w:r>
        <w:t xml:space="preserve"> (natural o</w:t>
      </w:r>
    </w:p>
    <w:p>
      <w:r>
        <w:t xml:space="preserve">  jurídico) como adquirente al momento de la escritura, avisando por escrito antes;</w:t>
      </w:r>
    </w:p>
    <w:p>
      <w:r>
        <w:t xml:space="preserve">  no cambia precio ni condiciones; no libera a Nicolás de sus obligaciones hasta</w:t>
      </w:r>
    </w:p>
    <w:p>
      <w:r>
        <w:t xml:space="preserve">  perfeccionar la escritura.</w:t>
      </w:r>
    </w:p>
    <w:p>
      <w:pPr>
        <w:pStyle w:val="ListBullet"/>
      </w:pPr>
      <w:r>
        <w:rPr>
          <w:b/>
        </w:rPr>
        <w:t>Tercero:</w:t>
      </w:r>
      <w:r>
        <w:t xml:space="preserve"> lo demás de la promesa sigue vigente.</w:t>
      </w:r>
    </w:p>
    <w:p>
      <w:pPr>
        <w:pStyle w:val="Heading2"/>
      </w:pPr>
      <w:r/>
      <w:r>
        <w:t>Lo bueno ✅</w:t>
      </w:r>
    </w:p>
    <w:p>
      <w:pPr>
        <w:pStyle w:val="ListBullet"/>
      </w:pPr>
      <w:r>
        <w:t xml:space="preserve">La cláusula de </w:t>
      </w:r>
      <w:r>
        <w:rPr>
          <w:b/>
        </w:rPr>
        <w:t>designar tercero</w:t>
      </w:r>
      <w:r>
        <w:t xml:space="preserve"> habilita la **cesión de posición</w:t>
      </w:r>
    </w:p>
    <w:p>
      <w:r>
        <w:t xml:space="preserve">  contractual** (una sola escritura María → tercero). Es la estructura correcta.</w:t>
      </w:r>
    </w:p>
    <w:p>
      <w:pPr>
        <w:pStyle w:val="ListBullet"/>
      </w:pPr>
      <w:r>
        <w:t xml:space="preserve">Mantener obligado a Nicolás hasta el perfeccionamiento </w:t>
      </w:r>
      <w:r>
        <w:rPr>
          <w:b/>
        </w:rPr>
        <w:t>protege a María</w:t>
      </w:r>
      <w:r>
        <w:t xml:space="preserve"> y da</w:t>
      </w:r>
    </w:p>
    <w:p>
      <w:r>
        <w:t xml:space="preserve">  seriedad.</w:t>
      </w:r>
    </w:p>
    <w:p>
      <w:pPr>
        <w:pStyle w:val="Heading2"/>
      </w:pPr>
      <w:r/>
      <w:r>
        <w:t>Lo que falta o hay que afinar ⚠️</w:t>
      </w:r>
    </w:p>
    <w:p>
      <w:pPr>
        <w:pStyle w:val="ListNumber"/>
      </w:pPr>
      <w:r>
        <w:rPr>
          <w:b/>
        </w:rPr>
        <w:t>Cédulas en blanco en las firmas</w:t>
      </w:r>
      <w:r>
        <w:t xml:space="preserve"> ("C.C. No. ___"): completarlas.</w:t>
      </w:r>
    </w:p>
    <w:p>
      <w:pPr>
        <w:pStyle w:val="ListNumber"/>
      </w:pPr>
      <w:r>
        <w:rPr>
          <w:b/>
        </w:rPr>
        <w:t>NO cubre el lado vendedor (poder).</w:t>
      </w:r>
      <w:r>
        <w:t xml:space="preserve"> María se va de la ciudad → falta el</w:t>
      </w:r>
    </w:p>
    <w:p>
      <w:r>
        <w:t xml:space="preserve">   </w:t>
      </w:r>
      <w:r>
        <w:rPr>
          <w:b/>
        </w:rPr>
        <w:t>poder de María a Nicolás</w:t>
      </w:r>
      <w:r>
        <w:t xml:space="preserve"> para firmar la escritura en su nombre. → Se</w:t>
      </w:r>
    </w:p>
    <w:p>
      <w:r>
        <w:t xml:space="preserve">   redacta aparte (ver </w:t>
      </w:r>
      <w:r>
        <w:rPr>
          <w:rFonts w:ascii="Consolas" w:hAnsi="Consolas"/>
        </w:rPr>
        <w:t>minuta-poder-maria-a-nicolas-BORRADOR.md</w:t>
      </w:r>
      <w:r>
        <w:t>).</w:t>
      </w:r>
    </w:p>
    <w:p>
      <w:pPr>
        <w:pStyle w:val="ListNumber"/>
      </w:pPr>
      <w:r>
        <w:rPr>
          <w:b/>
        </w:rPr>
        <w:t>Saneamiento del folio (clave).</w:t>
      </w:r>
      <w:r>
        <w:t xml:space="preserve"> El otrosí no menciona que, antes de la</w:t>
      </w:r>
    </w:p>
    <w:p>
      <w:r>
        <w:t xml:space="preserve">   escritura, deben quedar </w:t>
      </w:r>
      <w:r>
        <w:rPr>
          <w:b/>
        </w:rPr>
        <w:t>levantadas</w:t>
      </w:r>
      <w:r>
        <w:t xml:space="preserve"> las anotaciones:</w:t>
      </w:r>
    </w:p>
    <w:p>
      <w:r>
        <w:t xml:space="preserve">   - 009 </w:t>
      </w:r>
      <w:r>
        <w:rPr>
          <w:b/>
        </w:rPr>
        <w:t>Patrimonio de familia</w:t>
      </w:r>
      <w:r>
        <w:t xml:space="preserve"> (a favor de María y sus dos hijos, ya mayores).</w:t>
      </w:r>
    </w:p>
    <w:p>
      <w:r>
        <w:t xml:space="preserve">   - 010 </w:t>
      </w:r>
      <w:r>
        <w:rPr>
          <w:b/>
        </w:rPr>
        <w:t>Afectación a vivienda familiar</w:t>
      </w:r>
      <w:r>
        <w:t xml:space="preserve"> (a favor de Wilson Betancur Quiroz).</w:t>
      </w:r>
    </w:p>
    <w:p>
      <w:r>
        <w:t xml:space="preserve">   - 007 y 008 </w:t>
      </w:r>
      <w:r>
        <w:rPr>
          <w:b/>
        </w:rPr>
        <w:t>prohibición de transferencia / derecho de preferencia</w:t>
      </w:r>
      <w:r>
        <w:t xml:space="preserve"> de</w:t>
      </w:r>
    </w:p>
    <w:p>
      <w:r>
        <w:t xml:space="preserve">     </w:t>
      </w:r>
      <w:r>
        <w:rPr>
          <w:b/>
        </w:rPr>
        <w:t>ISVIMED</w:t>
      </w:r>
      <w:r>
        <w:t xml:space="preserve"> (debe quedar </w:t>
      </w:r>
      <w:r>
        <w:rPr>
          <w:b/>
        </w:rPr>
        <w:t>registrado</w:t>
      </w:r>
      <w:r>
        <w:t xml:space="preserve"> el retiro que autorizó ISVIMED).</w:t>
      </w:r>
    </w:p>
    <w:p>
      <w:r>
        <w:t xml:space="preserve">   → Recomendado: dejar por escrito (en otrosí o en la escritura) que **la venta</w:t>
      </w:r>
    </w:p>
    <w:p>
      <w:r>
        <w:t xml:space="preserve">   está condicionada al saneamiento total</w:t>
      </w:r>
      <w:r>
        <w:rPr>
          <w:b/>
        </w:rPr>
        <w:t xml:space="preserve"> y a la entrega de </w:t>
      </w:r>
      <w:r>
        <w:t>paz y salvos**.</w:t>
      </w:r>
    </w:p>
    <w:p>
      <w:pPr>
        <w:pStyle w:val="ListNumber"/>
      </w:pPr>
      <w:r>
        <w:rPr>
          <w:b/>
        </w:rPr>
        <w:t>OJO con la afectación y el estado civil.</w:t>
      </w:r>
      <w:r>
        <w:t xml:space="preserve"> María declara **soltera sin unión</w:t>
      </w:r>
    </w:p>
    <w:p>
      <w:r>
        <w:t xml:space="preserve">   marital</w:t>
      </w:r>
      <w:r>
        <w:rPr>
          <w:b/>
        </w:rPr>
        <w:t xml:space="preserve">; pero la afectación (anot. 010) figura a favor de </w:t>
      </w:r>
      <w:r>
        <w:t>Wilson Betancur**.</w:t>
      </w:r>
    </w:p>
    <w:p>
      <w:r>
        <w:t xml:space="preserve">   El levantamiento de mutuo acuerdo </w:t>
      </w:r>
      <w:r>
        <w:rPr>
          <w:b/>
        </w:rPr>
        <w:t>requiere la comparecencia de Wilson</w:t>
      </w:r>
      <w:r>
        <w:t>; si</w:t>
      </w:r>
    </w:p>
    <w:p>
      <w:r>
        <w:t xml:space="preserve">   ya no están juntos y él no comparece, tocaría </w:t>
      </w:r>
      <w:r>
        <w:rPr>
          <w:b/>
        </w:rPr>
        <w:t>vía judicial</w:t>
      </w:r>
      <w:r>
        <w:t>. Confírmalo —</w:t>
      </w:r>
    </w:p>
    <w:p>
      <w:r>
        <w:t xml:space="preserve">   este es el frente más delicado para cumplir la fecha.</w:t>
      </w:r>
    </w:p>
    <w:p>
      <w:pPr>
        <w:pStyle w:val="ListNumber"/>
      </w:pPr>
      <w:r>
        <w:rPr>
          <w:b/>
        </w:rPr>
        <w:t>Patrimonio de familia:</w:t>
      </w:r>
      <w:r>
        <w:t xml:space="preserve"> como los </w:t>
      </w:r>
      <w:r>
        <w:rPr>
          <w:b/>
        </w:rPr>
        <w:t>dos hijos ya son mayores</w:t>
      </w:r>
      <w:r>
        <w:t>, se cancela</w:t>
      </w:r>
    </w:p>
    <w:p>
      <w:r>
        <w:t xml:space="preserve">   por </w:t>
      </w:r>
      <w:r>
        <w:rPr>
          <w:b/>
        </w:rPr>
        <w:t>escritura</w:t>
      </w:r>
      <w:r>
        <w:t xml:space="preserve"> con el </w:t>
      </w:r>
      <w:r>
        <w:rPr>
          <w:b/>
        </w:rPr>
        <w:t>consentimiento de ellos</w:t>
      </w:r>
      <w:r>
        <w:t xml:space="preserve"> (no basta María). Asegurar</w:t>
      </w:r>
    </w:p>
    <w:p>
      <w:r>
        <w:t xml:space="preserve">   su comparecencia.</w:t>
      </w:r>
    </w:p>
    <w:p>
      <w:pPr>
        <w:pStyle w:val="ListNumber"/>
      </w:pPr>
      <w:r>
        <w:rPr>
          <w:b/>
        </w:rPr>
        <w:t>Precio y forma de pago / arras:</w:t>
      </w:r>
      <w:r>
        <w:t xml:space="preserve"> verificar que la </w:t>
      </w:r>
      <w:r>
        <w:rPr>
          <w:b/>
        </w:rPr>
        <w:t>promesa original</w:t>
      </w:r>
      <w:r>
        <w:t xml:space="preserve"> ya</w:t>
      </w:r>
    </w:p>
    <w:p>
      <w:r>
        <w:t xml:space="preserve">   tenga precio ($121.000.000), forma de pago, </w:t>
      </w:r>
      <w:r>
        <w:rPr>
          <w:b/>
        </w:rPr>
        <w:t>arras o cláusula penal</w:t>
      </w:r>
      <w:r>
        <w:t>, y quién</w:t>
      </w:r>
    </w:p>
    <w:p>
      <w:r>
        <w:t xml:space="preserve">   asume </w:t>
      </w:r>
      <w:r>
        <w:rPr>
          <w:b/>
        </w:rPr>
        <w:t>gastos notariales, de registro e impuesto de registro</w:t>
      </w:r>
      <w:r>
        <w:t>. Si no, vale la</w:t>
      </w:r>
    </w:p>
    <w:p>
      <w:r>
        <w:t xml:space="preserve">   pena un otrosí adicional.</w:t>
      </w:r>
    </w:p>
    <w:p>
      <w:pPr>
        <w:pStyle w:val="ListNumber"/>
      </w:pPr>
      <w:r>
        <w:rPr>
          <w:b/>
        </w:rPr>
        <w:t>Valor a declarar en la escritura María → tercero:</w:t>
      </w:r>
      <w:r>
        <w:t xml:space="preserve"> decisión tributaria</w:t>
      </w:r>
    </w:p>
    <w:p>
      <w:r>
        <w:t xml:space="preserve">   (¿$121M de la promesa o el valor comercial?). Definirlo con el </w:t>
      </w:r>
      <w:r>
        <w:rPr>
          <w:b/>
        </w:rPr>
        <w:t>tributarista</w:t>
      </w:r>
    </w:p>
    <w:p>
      <w:r>
        <w:t xml:space="preserve">   para no incurrir en subvaluación/simulación (ver </w:t>
      </w:r>
      <w:r>
        <w:rPr>
          <w:rFonts w:ascii="Consolas" w:hAnsi="Consolas"/>
        </w:rPr>
        <w:t>evitar-doble-escrituracion.md</w:t>
      </w:r>
      <w:r>
        <w:t>).</w:t>
      </w:r>
    </w:p>
    <w:p>
      <w:pPr>
        <w:pStyle w:val="Heading2"/>
      </w:pPr>
      <w:r/>
      <w:r>
        <w:t>Checklist "cubiertos en todos los frentes"</w:t>
      </w:r>
    </w:p>
    <w:p>
      <w:pPr>
        <w:pStyle w:val="ListBullet"/>
      </w:pPr>
      <w:r>
        <w:t>[ ] Completar cédulas en el otrosí.</w:t>
      </w:r>
    </w:p>
    <w:p>
      <w:pPr>
        <w:pStyle w:val="ListBullet"/>
      </w:pPr>
      <w:r>
        <w:t xml:space="preserve">[ ] </w:t>
      </w:r>
      <w:r>
        <w:rPr>
          <w:b/>
        </w:rPr>
        <w:t>Poder de María a Nicolás</w:t>
      </w:r>
      <w:r>
        <w:t xml:space="preserve"> por escritura pública (blindado).</w:t>
      </w:r>
    </w:p>
    <w:p>
      <w:pPr>
        <w:pStyle w:val="ListBullet"/>
      </w:pPr>
      <w:r>
        <w:t xml:space="preserve">[ ] Registro del </w:t>
      </w:r>
      <w:r>
        <w:rPr>
          <w:b/>
        </w:rPr>
        <w:t>retiro de ISVIMED</w:t>
      </w:r>
      <w:r>
        <w:t xml:space="preserve"> (anot. 007 y 008).</w:t>
      </w:r>
    </w:p>
    <w:p>
      <w:pPr>
        <w:pStyle w:val="ListBullet"/>
      </w:pPr>
      <w:r>
        <w:t xml:space="preserve">[ ] </w:t>
      </w:r>
      <w:r>
        <w:rPr>
          <w:b/>
        </w:rPr>
        <w:t>Cancelación de patrimonio de familia</w:t>
      </w:r>
      <w:r>
        <w:t xml:space="preserve"> (María + 2 hijos mayores).</w:t>
      </w:r>
    </w:p>
    <w:p>
      <w:pPr>
        <w:pStyle w:val="ListBullet"/>
      </w:pPr>
      <w:r>
        <w:t xml:space="preserve">[ ] </w:t>
      </w:r>
      <w:r>
        <w:rPr>
          <w:b/>
        </w:rPr>
        <w:t>Levantamiento de afectación</w:t>
      </w:r>
      <w:r>
        <w:t xml:space="preserve"> (María + Wilson, o vía judicial).</w:t>
      </w:r>
    </w:p>
    <w:p>
      <w:pPr>
        <w:pStyle w:val="ListBullet"/>
      </w:pPr>
      <w:r>
        <w:t>[ ] Paz y salvos: administración, predial, valorización.</w:t>
      </w:r>
    </w:p>
    <w:p>
      <w:pPr>
        <w:pStyle w:val="ListBullet"/>
      </w:pPr>
      <w:r>
        <w:t>[ ] Definir valor a declarar y quién paga gastos.</w:t>
      </w:r>
    </w:p>
    <w:p>
      <w:pPr>
        <w:pStyle w:val="ListBullet"/>
      </w:pPr>
      <w:r>
        <w:t xml:space="preserve">[ ] Contrato de </w:t>
      </w:r>
      <w:r>
        <w:rPr>
          <w:b/>
        </w:rPr>
        <w:t>cesión de posición contractual</w:t>
      </w:r>
      <w:r>
        <w:t xml:space="preserve"> Nicolás → tercero (con su</w:t>
      </w:r>
    </w:p>
    <w:p>
      <w:r>
        <w:t xml:space="preserve">      margen documentado como ingreso).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