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3EA79" w14:textId="77777777" w:rsidR="00897A84" w:rsidRDefault="00B277D0">
      <w:pPr>
        <w:jc w:val="center"/>
        <w:rPr>
          <w:b/>
          <w:sz w:val="24"/>
          <w:szCs w:val="24"/>
          <w:u w:val="single"/>
        </w:rPr>
      </w:pPr>
      <w:r>
        <w:rPr>
          <w:b/>
          <w:sz w:val="28"/>
          <w:szCs w:val="28"/>
        </w:rPr>
        <w:t>Groupwork_2nd_Submission</w:t>
      </w:r>
    </w:p>
    <w:p w14:paraId="3FE6D449" w14:textId="77777777" w:rsidR="00897A84" w:rsidRDefault="00897A84">
      <w:pPr>
        <w:rPr>
          <w:b/>
          <w:u w:val="single"/>
        </w:rPr>
      </w:pPr>
    </w:p>
    <w:p w14:paraId="156AD46E" w14:textId="77777777" w:rsidR="00897A84" w:rsidRDefault="00B277D0">
      <w:pPr>
        <w:jc w:val="center"/>
      </w:pPr>
      <w:r>
        <w:t xml:space="preserve">Xing Tao  </w:t>
      </w:r>
      <w:hyperlink r:id="rId5">
        <w:r>
          <w:rPr>
            <w:color w:val="1155CC"/>
            <w:u w:val="single"/>
          </w:rPr>
          <w:t>tao.xing@qq.com</w:t>
        </w:r>
      </w:hyperlink>
    </w:p>
    <w:p w14:paraId="3E64469E" w14:textId="77777777" w:rsidR="00897A84" w:rsidRDefault="00B277D0">
      <w:pPr>
        <w:spacing w:before="240" w:after="240"/>
        <w:jc w:val="center"/>
      </w:pPr>
      <w:r>
        <w:t xml:space="preserve">Tanguy de La </w:t>
      </w:r>
      <w:proofErr w:type="spellStart"/>
      <w:r>
        <w:t>Sablieret</w:t>
      </w:r>
      <w:proofErr w:type="spellEnd"/>
      <w:r>
        <w:t>, tanguy.delasabliere@gmail.com</w:t>
      </w:r>
    </w:p>
    <w:p w14:paraId="27F60041" w14:textId="77777777" w:rsidR="00897A84" w:rsidRDefault="00B277D0">
      <w:pPr>
        <w:spacing w:before="240" w:after="240"/>
        <w:jc w:val="center"/>
      </w:pPr>
      <w:proofErr w:type="spellStart"/>
      <w:r>
        <w:t>Abishek</w:t>
      </w:r>
      <w:proofErr w:type="spellEnd"/>
      <w:r>
        <w:t xml:space="preserve"> </w:t>
      </w:r>
      <w:proofErr w:type="spellStart"/>
      <w:r>
        <w:t>Puri</w:t>
      </w:r>
      <w:proofErr w:type="spellEnd"/>
      <w:r>
        <w:t xml:space="preserve">, </w:t>
      </w:r>
      <w:hyperlink r:id="rId6">
        <w:r>
          <w:rPr>
            <w:color w:val="1155CC"/>
            <w:u w:val="single"/>
          </w:rPr>
          <w:t>apuri@connect.ust.hk</w:t>
        </w:r>
      </w:hyperlink>
    </w:p>
    <w:p w14:paraId="237483D3" w14:textId="77777777" w:rsidR="00897A84" w:rsidRDefault="00B277D0">
      <w:pPr>
        <w:spacing w:before="240" w:after="240"/>
        <w:jc w:val="center"/>
      </w:pPr>
      <w:proofErr w:type="spellStart"/>
      <w:r>
        <w:t>Ningxi</w:t>
      </w:r>
      <w:proofErr w:type="spellEnd"/>
      <w:r>
        <w:t xml:space="preserve"> Wang, </w:t>
      </w:r>
      <w:hyperlink r:id="rId7">
        <w:r>
          <w:rPr>
            <w:color w:val="1155CC"/>
            <w:u w:val="single"/>
          </w:rPr>
          <w:t>bashu_wnx@163.com</w:t>
        </w:r>
      </w:hyperlink>
    </w:p>
    <w:p w14:paraId="47F1F0B2" w14:textId="77777777" w:rsidR="00897A84" w:rsidRDefault="00897A84">
      <w:pPr>
        <w:jc w:val="center"/>
      </w:pPr>
    </w:p>
    <w:p w14:paraId="27ABBB9A" w14:textId="77777777" w:rsidR="00897A84" w:rsidRDefault="00B277D0">
      <w:pPr>
        <w:jc w:val="center"/>
        <w:rPr>
          <w:b/>
          <w:sz w:val="24"/>
          <w:szCs w:val="24"/>
          <w:u w:val="single"/>
        </w:rPr>
      </w:pPr>
      <w:r>
        <w:rPr>
          <w:rFonts w:ascii="Arial Unicode MS" w:eastAsia="Arial Unicode MS" w:hAnsi="Arial Unicode MS" w:cs="Arial Unicode MS"/>
          <w:b/>
          <w:sz w:val="24"/>
          <w:szCs w:val="24"/>
          <w:u w:val="single"/>
        </w:rPr>
        <w:t>PART</w:t>
      </w:r>
      <w:r>
        <w:rPr>
          <w:rFonts w:ascii="Arial Unicode MS" w:eastAsia="Arial Unicode MS" w:hAnsi="Arial Unicode MS" w:cs="Arial Unicode MS"/>
          <w:b/>
          <w:sz w:val="24"/>
          <w:szCs w:val="24"/>
          <w:u w:val="single"/>
        </w:rPr>
        <w:t xml:space="preserve">　Ｉ：</w:t>
      </w:r>
      <w:r>
        <w:rPr>
          <w:rFonts w:ascii="Arial Unicode MS" w:eastAsia="Arial Unicode MS" w:hAnsi="Arial Unicode MS" w:cs="Arial Unicode MS"/>
          <w:b/>
          <w:sz w:val="24"/>
          <w:szCs w:val="24"/>
          <w:u w:val="single"/>
        </w:rPr>
        <w:t>Volatility Analysis</w:t>
      </w:r>
    </w:p>
    <w:p w14:paraId="0248BBBF" w14:textId="77777777" w:rsidR="00897A84" w:rsidRDefault="00897A84">
      <w:pPr>
        <w:jc w:val="both"/>
        <w:rPr>
          <w:b/>
          <w:u w:val="single"/>
        </w:rPr>
      </w:pPr>
    </w:p>
    <w:p w14:paraId="3B5735BA" w14:textId="77777777" w:rsidR="00897A84" w:rsidRDefault="00897A84">
      <w:pPr>
        <w:jc w:val="both"/>
        <w:rPr>
          <w:b/>
          <w:u w:val="single"/>
        </w:rPr>
      </w:pPr>
    </w:p>
    <w:p w14:paraId="1BB4E1EA" w14:textId="77777777" w:rsidR="00897A84" w:rsidRDefault="00B277D0">
      <w:pPr>
        <w:numPr>
          <w:ilvl w:val="0"/>
          <w:numId w:val="1"/>
        </w:numPr>
        <w:rPr>
          <w:b/>
        </w:rPr>
      </w:pPr>
      <w:r>
        <w:rPr>
          <w:b/>
        </w:rPr>
        <w:t>Data preparing</w:t>
      </w:r>
    </w:p>
    <w:p w14:paraId="054B811D" w14:textId="77777777" w:rsidR="00897A84" w:rsidRDefault="00897A84">
      <w:pPr>
        <w:ind w:firstLine="720"/>
        <w:jc w:val="center"/>
      </w:pPr>
    </w:p>
    <w:p w14:paraId="3CA4E45E" w14:textId="77777777" w:rsidR="00897A84" w:rsidRDefault="00B277D0">
      <w:pPr>
        <w:ind w:firstLine="720"/>
      </w:pPr>
      <w:r>
        <w:t>Download ten years’ Apple daily stock trading data between 2010-10-1 to 2020-10-1 from Yahoo Finance and calculate daily return, and re</w:t>
      </w:r>
      <w:r>
        <w:t>scaled the return by multiplying 100.</w:t>
      </w:r>
    </w:p>
    <w:p w14:paraId="1CD9B1C8" w14:textId="77777777" w:rsidR="00897A84" w:rsidRDefault="00B277D0">
      <w:pPr>
        <w:ind w:firstLine="720"/>
      </w:pPr>
      <w:r>
        <w:rPr>
          <w:noProof/>
        </w:rPr>
        <w:drawing>
          <wp:inline distT="114300" distB="114300" distL="114300" distR="114300" wp14:anchorId="3FF5E68D" wp14:editId="579A96C6">
            <wp:extent cx="4929188" cy="40546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29188" cy="405465"/>
                    </a:xfrm>
                    <a:prstGeom prst="rect">
                      <a:avLst/>
                    </a:prstGeom>
                    <a:ln/>
                  </pic:spPr>
                </pic:pic>
              </a:graphicData>
            </a:graphic>
          </wp:inline>
        </w:drawing>
      </w:r>
    </w:p>
    <w:p w14:paraId="66861202" w14:textId="77777777" w:rsidR="00897A84" w:rsidRDefault="00897A84">
      <w:pPr>
        <w:ind w:firstLine="720"/>
        <w:jc w:val="center"/>
      </w:pPr>
    </w:p>
    <w:p w14:paraId="406DB416" w14:textId="77777777" w:rsidR="00897A84" w:rsidRDefault="00B277D0">
      <w:pPr>
        <w:ind w:firstLine="720"/>
        <w:jc w:val="both"/>
        <w:rPr>
          <w:sz w:val="21"/>
          <w:szCs w:val="21"/>
          <w:highlight w:val="white"/>
        </w:rPr>
      </w:pPr>
      <w:r>
        <w:t>The rescaled daily return series exhibits only limited autocorrelation, but the squared deviations from the mean do have substantial memory reflected in the slowly-decaying ACF and the PACF high for the first two an</w:t>
      </w:r>
      <w:r>
        <w:t xml:space="preserve">d cutting off only after the first six </w:t>
      </w:r>
      <w:proofErr w:type="spellStart"/>
      <w:r>
        <w:t>lags</w:t>
      </w:r>
      <w:proofErr w:type="spellEnd"/>
      <w:r>
        <w:t>.</w:t>
      </w:r>
    </w:p>
    <w:p w14:paraId="4BA29645" w14:textId="77777777" w:rsidR="00897A84" w:rsidRDefault="00897A84">
      <w:pPr>
        <w:jc w:val="both"/>
        <w:rPr>
          <w:sz w:val="21"/>
          <w:szCs w:val="21"/>
          <w:highlight w:val="white"/>
        </w:rPr>
      </w:pPr>
    </w:p>
    <w:p w14:paraId="376BAC95" w14:textId="77777777" w:rsidR="00897A84" w:rsidRDefault="00B277D0">
      <w:pPr>
        <w:jc w:val="both"/>
        <w:rPr>
          <w:sz w:val="21"/>
          <w:szCs w:val="21"/>
          <w:highlight w:val="white"/>
        </w:rPr>
      </w:pPr>
      <w:r>
        <w:rPr>
          <w:noProof/>
          <w:sz w:val="21"/>
          <w:szCs w:val="21"/>
          <w:highlight w:val="white"/>
        </w:rPr>
        <w:drawing>
          <wp:inline distT="114300" distB="114300" distL="114300" distR="114300" wp14:anchorId="609704D1" wp14:editId="1CA0AC6E">
            <wp:extent cx="5819430" cy="3348038"/>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819430" cy="3348038"/>
                    </a:xfrm>
                    <a:prstGeom prst="rect">
                      <a:avLst/>
                    </a:prstGeom>
                    <a:ln/>
                  </pic:spPr>
                </pic:pic>
              </a:graphicData>
            </a:graphic>
          </wp:inline>
        </w:drawing>
      </w:r>
    </w:p>
    <w:p w14:paraId="38C8AFF7" w14:textId="77777777" w:rsidR="00897A84" w:rsidRDefault="00B277D0">
      <w:pPr>
        <w:jc w:val="both"/>
        <w:rPr>
          <w:sz w:val="21"/>
          <w:szCs w:val="21"/>
          <w:highlight w:val="white"/>
        </w:rPr>
      </w:pPr>
      <w:r>
        <w:rPr>
          <w:sz w:val="21"/>
          <w:szCs w:val="21"/>
          <w:highlight w:val="white"/>
        </w:rPr>
        <w:t xml:space="preserve">                                              Figure 1. The daily Return of AAPL</w:t>
      </w:r>
    </w:p>
    <w:p w14:paraId="0613566C" w14:textId="77777777" w:rsidR="00897A84" w:rsidRDefault="00B277D0">
      <w:pPr>
        <w:jc w:val="both"/>
        <w:rPr>
          <w:sz w:val="21"/>
          <w:szCs w:val="21"/>
          <w:highlight w:val="white"/>
        </w:rPr>
      </w:pPr>
      <w:r>
        <w:rPr>
          <w:noProof/>
          <w:sz w:val="21"/>
          <w:szCs w:val="21"/>
          <w:highlight w:val="white"/>
        </w:rPr>
        <w:lastRenderedPageBreak/>
        <w:drawing>
          <wp:inline distT="114300" distB="114300" distL="114300" distR="114300" wp14:anchorId="5B03BE04" wp14:editId="399D994A">
            <wp:extent cx="5943600" cy="3340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2EE72FD9" w14:textId="77777777" w:rsidR="00897A84" w:rsidRDefault="00B277D0">
      <w:pPr>
        <w:jc w:val="center"/>
        <w:rPr>
          <w:sz w:val="21"/>
          <w:szCs w:val="21"/>
          <w:highlight w:val="white"/>
        </w:rPr>
      </w:pPr>
      <w:r>
        <w:rPr>
          <w:sz w:val="21"/>
          <w:szCs w:val="21"/>
          <w:highlight w:val="white"/>
        </w:rPr>
        <w:t xml:space="preserve"> Figure 2. The daily Volatility of AAPL</w:t>
      </w:r>
    </w:p>
    <w:p w14:paraId="76235DAA" w14:textId="77777777" w:rsidR="00897A84" w:rsidRDefault="00897A84">
      <w:pPr>
        <w:jc w:val="both"/>
        <w:rPr>
          <w:sz w:val="21"/>
          <w:szCs w:val="21"/>
          <w:highlight w:val="white"/>
        </w:rPr>
      </w:pPr>
    </w:p>
    <w:p w14:paraId="45CD27B0" w14:textId="77777777" w:rsidR="00897A84" w:rsidRDefault="00B277D0">
      <w:pPr>
        <w:ind w:firstLine="720"/>
        <w:jc w:val="both"/>
      </w:pPr>
      <w:r>
        <w:t>We run Augmented Dickey-Fuller Test and the p-value is less than the critical  value</w:t>
      </w:r>
      <w:r>
        <w:t xml:space="preserve"> (1%), the series is stationary.</w:t>
      </w:r>
    </w:p>
    <w:p w14:paraId="6A785830" w14:textId="77777777" w:rsidR="00897A84" w:rsidRDefault="00B277D0">
      <w:pPr>
        <w:jc w:val="center"/>
        <w:rPr>
          <w:color w:val="FFFFFF"/>
        </w:rPr>
      </w:pPr>
      <w:r>
        <w:rPr>
          <w:color w:val="FFFFFF"/>
        </w:rPr>
        <w:t>the model residuals and squared residuals for autocorrelation</w:t>
      </w:r>
      <w:r>
        <w:rPr>
          <w:noProof/>
        </w:rPr>
        <w:drawing>
          <wp:anchor distT="114300" distB="114300" distL="114300" distR="114300" simplePos="0" relativeHeight="251658240" behindDoc="0" locked="0" layoutInCell="1" hidden="0" allowOverlap="1" wp14:anchorId="6E0E6CB1" wp14:editId="3A6CC713">
            <wp:simplePos x="0" y="0"/>
            <wp:positionH relativeFrom="column">
              <wp:posOffset>266700</wp:posOffset>
            </wp:positionH>
            <wp:positionV relativeFrom="paragraph">
              <wp:posOffset>184738</wp:posOffset>
            </wp:positionV>
            <wp:extent cx="5265360" cy="609600"/>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65360" cy="609600"/>
                    </a:xfrm>
                    <a:prstGeom prst="rect">
                      <a:avLst/>
                    </a:prstGeom>
                    <a:ln/>
                  </pic:spPr>
                </pic:pic>
              </a:graphicData>
            </a:graphic>
          </wp:anchor>
        </w:drawing>
      </w:r>
    </w:p>
    <w:p w14:paraId="25DC0DB2" w14:textId="77777777" w:rsidR="00897A84" w:rsidRDefault="00897A84">
      <w:pPr>
        <w:jc w:val="both"/>
        <w:rPr>
          <w:color w:val="FFFFFF"/>
        </w:rPr>
      </w:pPr>
    </w:p>
    <w:p w14:paraId="06061A7E" w14:textId="77777777" w:rsidR="00897A84" w:rsidRDefault="00B277D0">
      <w:pPr>
        <w:ind w:firstLine="720"/>
      </w:pPr>
      <w:r>
        <w:rPr>
          <w:rFonts w:ascii="Arial Unicode MS" w:eastAsia="Arial Unicode MS" w:hAnsi="Arial Unicode MS" w:cs="Arial Unicode MS"/>
          <w:b/>
        </w:rPr>
        <w:t>２．</w:t>
      </w:r>
      <w:r>
        <w:rPr>
          <w:rFonts w:ascii="Arial Unicode MS" w:eastAsia="Arial Unicode MS" w:hAnsi="Arial Unicode MS" w:cs="Arial Unicode MS"/>
          <w:b/>
        </w:rPr>
        <w:t xml:space="preserve"> Build a Model to fit the data</w:t>
      </w:r>
    </w:p>
    <w:p w14:paraId="3333096C" w14:textId="77777777" w:rsidR="00897A84" w:rsidRDefault="00897A84">
      <w:pPr>
        <w:ind w:firstLine="720"/>
        <w:jc w:val="both"/>
      </w:pPr>
    </w:p>
    <w:p w14:paraId="47FD502C" w14:textId="77777777" w:rsidR="00897A84" w:rsidRDefault="00B277D0">
      <w:pPr>
        <w:ind w:firstLine="720"/>
        <w:jc w:val="both"/>
      </w:pPr>
      <w:r>
        <w:t>The process of building model include the following components:</w:t>
      </w:r>
    </w:p>
    <w:p w14:paraId="5BF97CF4" w14:textId="77777777" w:rsidR="00897A84" w:rsidRDefault="00B277D0">
      <w:pPr>
        <w:numPr>
          <w:ilvl w:val="0"/>
          <w:numId w:val="3"/>
        </w:numPr>
        <w:jc w:val="both"/>
      </w:pPr>
      <w:r>
        <w:t>Find an optimal  mean model using ARIMA(</w:t>
      </w:r>
      <w:proofErr w:type="spellStart"/>
      <w:r>
        <w:t>p,d,q</w:t>
      </w:r>
      <w:proofErr w:type="spellEnd"/>
      <w:r>
        <w:t>)</w:t>
      </w:r>
    </w:p>
    <w:p w14:paraId="0D3B75BC" w14:textId="77777777" w:rsidR="00897A84" w:rsidRDefault="00B277D0">
      <w:pPr>
        <w:numPr>
          <w:ilvl w:val="0"/>
          <w:numId w:val="3"/>
        </w:numPr>
        <w:jc w:val="both"/>
      </w:pPr>
      <w:r>
        <w:t>Through grid searching, we fit the residual of ARIMA(</w:t>
      </w:r>
      <w:proofErr w:type="spellStart"/>
      <w:r>
        <w:t>p,d,q</w:t>
      </w:r>
      <w:proofErr w:type="spellEnd"/>
      <w:r>
        <w:t xml:space="preserve">) with one of the volatility models( </w:t>
      </w:r>
      <w:r>
        <w:rPr>
          <w:rFonts w:ascii="Courier New" w:eastAsia="Courier New" w:hAnsi="Courier New" w:cs="Courier New"/>
          <w:sz w:val="24"/>
          <w:szCs w:val="24"/>
        </w:rPr>
        <w:t>[</w:t>
      </w:r>
      <w:r>
        <w:rPr>
          <w:rFonts w:ascii="Courier New" w:eastAsia="Courier New" w:hAnsi="Courier New" w:cs="Courier New"/>
          <w:color w:val="CE9178"/>
          <w:sz w:val="24"/>
          <w:szCs w:val="24"/>
        </w:rPr>
        <w:t>"GARCH"</w:t>
      </w:r>
      <w:r>
        <w:rPr>
          <w:rFonts w:ascii="Courier New" w:eastAsia="Courier New" w:hAnsi="Courier New" w:cs="Courier New"/>
          <w:sz w:val="24"/>
          <w:szCs w:val="24"/>
        </w:rPr>
        <w:t>,</w:t>
      </w:r>
      <w:r>
        <w:rPr>
          <w:rFonts w:ascii="Courier New" w:eastAsia="Courier New" w:hAnsi="Courier New" w:cs="Courier New"/>
          <w:color w:val="CE9178"/>
          <w:sz w:val="24"/>
          <w:szCs w:val="24"/>
        </w:rPr>
        <w:t>"IGARCH"</w:t>
      </w:r>
      <w:r>
        <w:rPr>
          <w:rFonts w:ascii="Courier New" w:eastAsia="Courier New" w:hAnsi="Courier New" w:cs="Courier New"/>
          <w:sz w:val="24"/>
          <w:szCs w:val="24"/>
        </w:rPr>
        <w:t>,</w:t>
      </w:r>
      <w:r>
        <w:rPr>
          <w:rFonts w:ascii="Courier New" w:eastAsia="Courier New" w:hAnsi="Courier New" w:cs="Courier New"/>
          <w:color w:val="CE9178"/>
          <w:sz w:val="24"/>
          <w:szCs w:val="24"/>
        </w:rPr>
        <w:t>"EGARCH"</w:t>
      </w:r>
      <w:r>
        <w:rPr>
          <w:rFonts w:ascii="Courier New" w:eastAsia="Courier New" w:hAnsi="Courier New" w:cs="Courier New"/>
          <w:sz w:val="24"/>
          <w:szCs w:val="24"/>
        </w:rPr>
        <w:t>,</w:t>
      </w:r>
      <w:r>
        <w:rPr>
          <w:rFonts w:ascii="Courier New" w:eastAsia="Courier New" w:hAnsi="Courier New" w:cs="Courier New"/>
          <w:color w:val="CE9178"/>
          <w:sz w:val="24"/>
          <w:szCs w:val="24"/>
        </w:rPr>
        <w:t>"ARCH"</w:t>
      </w:r>
      <w:r>
        <w:rPr>
          <w:rFonts w:ascii="Courier New" w:eastAsia="Courier New" w:hAnsi="Courier New" w:cs="Courier New"/>
          <w:sz w:val="24"/>
          <w:szCs w:val="24"/>
        </w:rPr>
        <w:t>,</w:t>
      </w:r>
      <w:r>
        <w:rPr>
          <w:rFonts w:ascii="Courier New" w:eastAsia="Courier New" w:hAnsi="Courier New" w:cs="Courier New"/>
          <w:color w:val="CE9178"/>
          <w:sz w:val="24"/>
          <w:szCs w:val="24"/>
        </w:rPr>
        <w:t>"TARCH"</w:t>
      </w:r>
      <w:r>
        <w:rPr>
          <w:rFonts w:ascii="Courier New" w:eastAsia="Courier New" w:hAnsi="Courier New" w:cs="Courier New"/>
          <w:sz w:val="24"/>
          <w:szCs w:val="24"/>
        </w:rPr>
        <w:t>]</w:t>
      </w:r>
      <w:r>
        <w:t xml:space="preserve">) and </w:t>
      </w:r>
      <w:r>
        <w:rPr>
          <w:b/>
        </w:rPr>
        <w:t xml:space="preserve"> o</w:t>
      </w:r>
      <w:r>
        <w:rPr>
          <w:b/>
        </w:rPr>
        <w:t xml:space="preserve">ne of </w:t>
      </w:r>
      <w:r>
        <w:t>distribution for the standardized residuals (</w:t>
      </w:r>
      <w:r>
        <w:rPr>
          <w:rFonts w:ascii="Courier New" w:eastAsia="Courier New" w:hAnsi="Courier New" w:cs="Courier New"/>
          <w:sz w:val="24"/>
          <w:szCs w:val="24"/>
        </w:rPr>
        <w:t>[</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gaussian"</w:t>
      </w:r>
      <w:r>
        <w:rPr>
          <w:rFonts w:ascii="Courier New" w:eastAsia="Courier New" w:hAnsi="Courier New" w:cs="Courier New"/>
          <w:sz w:val="24"/>
          <w:szCs w:val="24"/>
        </w:rPr>
        <w:t>,</w:t>
      </w:r>
      <w:r>
        <w:rPr>
          <w:rFonts w:ascii="Courier New" w:eastAsia="Courier New" w:hAnsi="Courier New" w:cs="Courier New"/>
          <w:color w:val="CE9178"/>
          <w:sz w:val="24"/>
          <w:szCs w:val="24"/>
        </w:rPr>
        <w:t>"normal</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 xml:space="preserve">, </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studentst</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skewstudent</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w:t>
      </w:r>
      <w:r>
        <w:rPr>
          <w:rFonts w:ascii="Courier New" w:eastAsia="Courier New" w:hAnsi="Courier New" w:cs="Courier New"/>
          <w:color w:val="CE9178"/>
          <w:sz w:val="24"/>
          <w:szCs w:val="24"/>
        </w:rPr>
        <w:t>"generalized error"</w:t>
      </w:r>
      <w:r>
        <w:rPr>
          <w:rFonts w:ascii="Courier New" w:eastAsia="Courier New" w:hAnsi="Courier New" w:cs="Courier New"/>
          <w:sz w:val="24"/>
          <w:szCs w:val="24"/>
        </w:rPr>
        <w:t>])</w:t>
      </w:r>
    </w:p>
    <w:p w14:paraId="3D205FA6" w14:textId="77777777" w:rsidR="00897A84" w:rsidRDefault="00B277D0">
      <w:pPr>
        <w:numPr>
          <w:ilvl w:val="0"/>
          <w:numId w:val="3"/>
        </w:numPr>
        <w:jc w:val="both"/>
        <w:rPr>
          <w:rFonts w:ascii="Courier New" w:eastAsia="Courier New" w:hAnsi="Courier New" w:cs="Courier New"/>
          <w:sz w:val="24"/>
          <w:szCs w:val="24"/>
        </w:rPr>
      </w:pPr>
      <w:r>
        <w:t>Then we analyze the residual of the volatility model.</w:t>
      </w:r>
    </w:p>
    <w:p w14:paraId="1E023F8B" w14:textId="77777777" w:rsidR="00897A84" w:rsidRDefault="00897A84">
      <w:pPr>
        <w:jc w:val="both"/>
      </w:pPr>
    </w:p>
    <w:p w14:paraId="574C81F9" w14:textId="77777777" w:rsidR="00897A84" w:rsidRDefault="00B277D0">
      <w:pPr>
        <w:ind w:firstLine="720"/>
        <w:jc w:val="both"/>
        <w:rPr>
          <w:b/>
        </w:rPr>
      </w:pPr>
      <w:r>
        <w:rPr>
          <w:b/>
        </w:rPr>
        <w:t>2.1 find the best choice of (</w:t>
      </w:r>
      <w:proofErr w:type="spellStart"/>
      <w:r>
        <w:rPr>
          <w:b/>
        </w:rPr>
        <w:t>p,d,q</w:t>
      </w:r>
      <w:proofErr w:type="spellEnd"/>
      <w:r>
        <w:rPr>
          <w:b/>
        </w:rPr>
        <w:t>) for ARIMA model</w:t>
      </w:r>
    </w:p>
    <w:p w14:paraId="2D231C6D" w14:textId="77777777" w:rsidR="00897A84" w:rsidRDefault="00B277D0">
      <w:pPr>
        <w:ind w:firstLine="720"/>
        <w:jc w:val="both"/>
      </w:pPr>
      <w:r>
        <w:t xml:space="preserve">We use the </w:t>
      </w:r>
      <w:proofErr w:type="spellStart"/>
      <w:r>
        <w:rPr>
          <w:rFonts w:ascii="Courier New" w:eastAsia="Courier New" w:hAnsi="Courier New" w:cs="Courier New"/>
          <w:sz w:val="24"/>
          <w:szCs w:val="24"/>
        </w:rPr>
        <w:t>auto_arima</w:t>
      </w:r>
      <w:proofErr w:type="spellEnd"/>
      <w:r>
        <w:rPr>
          <w:rFonts w:ascii="Courier New" w:eastAsia="Courier New" w:hAnsi="Courier New" w:cs="Courier New"/>
          <w:sz w:val="24"/>
          <w:szCs w:val="24"/>
        </w:rPr>
        <w:t xml:space="preserve"> </w:t>
      </w:r>
      <w:r>
        <w:t>functi</w:t>
      </w:r>
      <w:r>
        <w:t xml:space="preserve">on of </w:t>
      </w:r>
      <w:proofErr w:type="spellStart"/>
      <w:r>
        <w:rPr>
          <w:rFonts w:ascii="Courier New" w:eastAsia="Courier New" w:hAnsi="Courier New" w:cs="Courier New"/>
          <w:sz w:val="24"/>
          <w:szCs w:val="24"/>
        </w:rPr>
        <w:t>pmdarima</w:t>
      </w:r>
      <w:proofErr w:type="spellEnd"/>
      <w:r>
        <w:t xml:space="preserve"> package, and  discover the optimal order for an ARIMA model. The optimal order is (p=2, d=0, q=2). The fitting result of ARIMA(2,0,2):</w:t>
      </w:r>
    </w:p>
    <w:p w14:paraId="37065BD0" w14:textId="77777777" w:rsidR="00897A84" w:rsidRDefault="00897A84">
      <w:pPr>
        <w:jc w:val="both"/>
      </w:pPr>
    </w:p>
    <w:p w14:paraId="09FD08B7" w14:textId="77777777" w:rsidR="00897A84" w:rsidRDefault="00B277D0">
      <w:pPr>
        <w:jc w:val="center"/>
        <w:rPr>
          <w:b/>
          <w:u w:val="single"/>
        </w:rPr>
      </w:pPr>
      <w:r>
        <w:rPr>
          <w:b/>
          <w:noProof/>
          <w:u w:val="single"/>
        </w:rPr>
        <w:lastRenderedPageBreak/>
        <w:drawing>
          <wp:inline distT="114300" distB="114300" distL="114300" distR="114300" wp14:anchorId="7A1DF8A5" wp14:editId="6AD8BC7D">
            <wp:extent cx="5600700" cy="26955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600700" cy="2695575"/>
                    </a:xfrm>
                    <a:prstGeom prst="rect">
                      <a:avLst/>
                    </a:prstGeom>
                    <a:ln/>
                  </pic:spPr>
                </pic:pic>
              </a:graphicData>
            </a:graphic>
          </wp:inline>
        </w:drawing>
      </w:r>
    </w:p>
    <w:p w14:paraId="4B441944" w14:textId="77777777" w:rsidR="00897A84" w:rsidRDefault="00B277D0">
      <w:pPr>
        <w:jc w:val="center"/>
        <w:rPr>
          <w:b/>
          <w:u w:val="single"/>
        </w:rPr>
      </w:pPr>
      <w:r>
        <w:rPr>
          <w:b/>
          <w:noProof/>
          <w:u w:val="single"/>
        </w:rPr>
        <w:drawing>
          <wp:inline distT="114300" distB="114300" distL="114300" distR="114300" wp14:anchorId="17C3ECA4" wp14:editId="525A1257">
            <wp:extent cx="5610225" cy="7620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610225" cy="762000"/>
                    </a:xfrm>
                    <a:prstGeom prst="rect">
                      <a:avLst/>
                    </a:prstGeom>
                    <a:ln/>
                  </pic:spPr>
                </pic:pic>
              </a:graphicData>
            </a:graphic>
          </wp:inline>
        </w:drawing>
      </w:r>
    </w:p>
    <w:p w14:paraId="0E8A15CE" w14:textId="77777777" w:rsidR="00897A84" w:rsidRDefault="00897A84">
      <w:pPr>
        <w:jc w:val="center"/>
        <w:rPr>
          <w:b/>
          <w:u w:val="single"/>
        </w:rPr>
      </w:pPr>
    </w:p>
    <w:p w14:paraId="627339FB" w14:textId="77777777" w:rsidR="00897A84" w:rsidRDefault="00B277D0">
      <w:pPr>
        <w:rPr>
          <w:b/>
          <w:u w:val="single"/>
        </w:rPr>
      </w:pPr>
      <w:r>
        <w:t>Plot the residual of ARIMA(2,0,2):</w:t>
      </w:r>
    </w:p>
    <w:p w14:paraId="79842A39" w14:textId="77777777" w:rsidR="00897A84" w:rsidRDefault="00B277D0">
      <w:pPr>
        <w:jc w:val="center"/>
        <w:rPr>
          <w:b/>
          <w:u w:val="single"/>
        </w:rPr>
      </w:pPr>
      <w:r>
        <w:rPr>
          <w:b/>
          <w:noProof/>
          <w:u w:val="single"/>
        </w:rPr>
        <w:drawing>
          <wp:inline distT="114300" distB="114300" distL="114300" distR="114300" wp14:anchorId="647E6760" wp14:editId="6050AA8F">
            <wp:extent cx="5143500" cy="4010651"/>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t="1158"/>
                    <a:stretch>
                      <a:fillRect/>
                    </a:stretch>
                  </pic:blipFill>
                  <pic:spPr>
                    <a:xfrm>
                      <a:off x="0" y="0"/>
                      <a:ext cx="5143500" cy="4010651"/>
                    </a:xfrm>
                    <a:prstGeom prst="rect">
                      <a:avLst/>
                    </a:prstGeom>
                    <a:ln/>
                  </pic:spPr>
                </pic:pic>
              </a:graphicData>
            </a:graphic>
          </wp:inline>
        </w:drawing>
      </w:r>
    </w:p>
    <w:p w14:paraId="5E54B6F4" w14:textId="77777777" w:rsidR="00897A84" w:rsidRDefault="00897A84">
      <w:pPr>
        <w:ind w:left="720"/>
      </w:pPr>
    </w:p>
    <w:p w14:paraId="72FB9E5B" w14:textId="77777777" w:rsidR="00897A84" w:rsidRDefault="00B277D0">
      <w:pPr>
        <w:ind w:left="720"/>
        <w:rPr>
          <w:b/>
        </w:rPr>
      </w:pPr>
      <w:r>
        <w:rPr>
          <w:b/>
        </w:rPr>
        <w:lastRenderedPageBreak/>
        <w:t>2.2  Find the best model for volatility process</w:t>
      </w:r>
    </w:p>
    <w:p w14:paraId="39F70298" w14:textId="77777777" w:rsidR="00897A84" w:rsidRDefault="00897A84">
      <w:pPr>
        <w:ind w:left="720"/>
        <w:rPr>
          <w:b/>
        </w:rPr>
      </w:pPr>
    </w:p>
    <w:p w14:paraId="542B4CAC" w14:textId="77777777" w:rsidR="00897A84" w:rsidRDefault="00B277D0">
      <w:pPr>
        <w:ind w:firstLine="720"/>
        <w:jc w:val="both"/>
        <w:rPr>
          <w:b/>
        </w:rPr>
      </w:pPr>
      <w:r>
        <w:t xml:space="preserve">We use a grid searching method to find the optimal order for ARCH kind models to fit ARIMA residuals. The searching range for p and q is [0,1,2,3,4,5], and the range </w:t>
      </w:r>
      <w:proofErr w:type="spellStart"/>
      <w:r>
        <w:t>for d</w:t>
      </w:r>
      <w:proofErr w:type="spellEnd"/>
      <w:r>
        <w:t xml:space="preserve"> is [0,1]. The quality of the models</w:t>
      </w:r>
      <w:r>
        <w:t xml:space="preserve"> is valued by AIC and BIC. The searching result indicates a TARCH(1,1,2).</w:t>
      </w:r>
    </w:p>
    <w:p w14:paraId="1C2938F4" w14:textId="77777777" w:rsidR="00897A84" w:rsidRDefault="00897A84">
      <w:pPr>
        <w:ind w:firstLine="720"/>
        <w:jc w:val="both"/>
        <w:rPr>
          <w:b/>
        </w:rPr>
      </w:pPr>
    </w:p>
    <w:p w14:paraId="747AB3A4" w14:textId="77777777" w:rsidR="00897A84" w:rsidRDefault="00B277D0">
      <w:pPr>
        <w:jc w:val="both"/>
      </w:pPr>
      <w:r>
        <w:rPr>
          <w:noProof/>
        </w:rPr>
        <w:drawing>
          <wp:inline distT="114300" distB="114300" distL="114300" distR="114300" wp14:anchorId="11AC243E" wp14:editId="13F70E68">
            <wp:extent cx="5943600" cy="1485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485900"/>
                    </a:xfrm>
                    <a:prstGeom prst="rect">
                      <a:avLst/>
                    </a:prstGeom>
                    <a:ln/>
                  </pic:spPr>
                </pic:pic>
              </a:graphicData>
            </a:graphic>
          </wp:inline>
        </w:drawing>
      </w:r>
    </w:p>
    <w:p w14:paraId="224A93F7" w14:textId="77777777" w:rsidR="00897A84" w:rsidRDefault="00897A84">
      <w:pPr>
        <w:jc w:val="both"/>
      </w:pPr>
    </w:p>
    <w:p w14:paraId="221B2819" w14:textId="77777777" w:rsidR="00897A84" w:rsidRDefault="00B277D0">
      <w:pPr>
        <w:ind w:firstLine="720"/>
        <w:jc w:val="both"/>
      </w:pPr>
      <w:r>
        <w:t xml:space="preserve">The table </w:t>
      </w:r>
      <w:proofErr w:type="spellStart"/>
      <w:r>
        <w:t>table</w:t>
      </w:r>
      <w:proofErr w:type="spellEnd"/>
      <w:r>
        <w:t xml:space="preserve"> shows different configurations for different volatility models. Due to the limitation of Python packages, we failed to use GARCH-M as an option.</w:t>
      </w:r>
    </w:p>
    <w:p w14:paraId="06DE17DC" w14:textId="77777777" w:rsidR="00897A84" w:rsidRDefault="00897A84">
      <w:pPr>
        <w:ind w:firstLine="720"/>
        <w:jc w:val="both"/>
        <w:rPr>
          <w:b/>
        </w:rPr>
      </w:pPr>
    </w:p>
    <w:tbl>
      <w:tblPr>
        <w:tblStyle w:val="a5"/>
        <w:tblW w:w="8580" w:type="dxa"/>
        <w:tblInd w:w="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4890"/>
        <w:gridCol w:w="2415"/>
      </w:tblGrid>
      <w:tr w:rsidR="00897A84" w14:paraId="2C6657B9" w14:textId="77777777">
        <w:trPr>
          <w:trHeight w:val="597"/>
        </w:trPr>
        <w:tc>
          <w:tcPr>
            <w:tcW w:w="1275" w:type="dxa"/>
            <w:shd w:val="clear" w:color="auto" w:fill="auto"/>
            <w:tcMar>
              <w:top w:w="100" w:type="dxa"/>
              <w:left w:w="100" w:type="dxa"/>
              <w:bottom w:w="100" w:type="dxa"/>
              <w:right w:w="100" w:type="dxa"/>
            </w:tcMar>
            <w:vAlign w:val="center"/>
          </w:tcPr>
          <w:p w14:paraId="1145FF0F" w14:textId="77777777" w:rsidR="00897A84" w:rsidRDefault="00B277D0">
            <w:pPr>
              <w:widowControl w:val="0"/>
              <w:spacing w:line="240" w:lineRule="auto"/>
              <w:jc w:val="center"/>
              <w:rPr>
                <w:b/>
                <w:sz w:val="20"/>
                <w:szCs w:val="20"/>
              </w:rPr>
            </w:pPr>
            <w:r>
              <w:rPr>
                <w:b/>
                <w:sz w:val="20"/>
                <w:szCs w:val="20"/>
              </w:rPr>
              <w:t>Models</w:t>
            </w:r>
          </w:p>
        </w:tc>
        <w:tc>
          <w:tcPr>
            <w:tcW w:w="4890" w:type="dxa"/>
            <w:shd w:val="clear" w:color="auto" w:fill="auto"/>
            <w:tcMar>
              <w:top w:w="100" w:type="dxa"/>
              <w:left w:w="100" w:type="dxa"/>
              <w:bottom w:w="100" w:type="dxa"/>
              <w:right w:w="100" w:type="dxa"/>
            </w:tcMar>
            <w:vAlign w:val="center"/>
          </w:tcPr>
          <w:p w14:paraId="45569567" w14:textId="77777777" w:rsidR="00897A84" w:rsidRDefault="00B277D0">
            <w:pPr>
              <w:widowControl w:val="0"/>
              <w:spacing w:line="240" w:lineRule="auto"/>
              <w:jc w:val="center"/>
              <w:rPr>
                <w:b/>
                <w:sz w:val="20"/>
                <w:szCs w:val="20"/>
              </w:rPr>
            </w:pPr>
            <w:r>
              <w:rPr>
                <w:b/>
                <w:sz w:val="20"/>
                <w:szCs w:val="20"/>
              </w:rPr>
              <w:t>Formulas</w:t>
            </w:r>
          </w:p>
        </w:tc>
        <w:tc>
          <w:tcPr>
            <w:tcW w:w="2415" w:type="dxa"/>
            <w:shd w:val="clear" w:color="auto" w:fill="auto"/>
            <w:tcMar>
              <w:top w:w="100" w:type="dxa"/>
              <w:left w:w="100" w:type="dxa"/>
              <w:bottom w:w="100" w:type="dxa"/>
              <w:right w:w="100" w:type="dxa"/>
            </w:tcMar>
            <w:vAlign w:val="center"/>
          </w:tcPr>
          <w:p w14:paraId="25AE57AD" w14:textId="77777777" w:rsidR="00897A84" w:rsidRDefault="00B277D0">
            <w:pPr>
              <w:widowControl w:val="0"/>
              <w:spacing w:line="240" w:lineRule="auto"/>
              <w:jc w:val="center"/>
              <w:rPr>
                <w:b/>
                <w:sz w:val="20"/>
                <w:szCs w:val="20"/>
              </w:rPr>
            </w:pPr>
            <w:r>
              <w:rPr>
                <w:b/>
                <w:sz w:val="20"/>
                <w:szCs w:val="20"/>
              </w:rPr>
              <w:t>Python code</w:t>
            </w:r>
          </w:p>
        </w:tc>
      </w:tr>
      <w:tr w:rsidR="00897A84" w14:paraId="3FD9BDE4" w14:textId="77777777">
        <w:trPr>
          <w:trHeight w:val="1379"/>
        </w:trPr>
        <w:tc>
          <w:tcPr>
            <w:tcW w:w="1275" w:type="dxa"/>
            <w:shd w:val="clear" w:color="auto" w:fill="auto"/>
            <w:tcMar>
              <w:top w:w="100" w:type="dxa"/>
              <w:left w:w="100" w:type="dxa"/>
              <w:bottom w:w="100" w:type="dxa"/>
              <w:right w:w="100" w:type="dxa"/>
            </w:tcMar>
            <w:vAlign w:val="center"/>
          </w:tcPr>
          <w:p w14:paraId="6D401FCF" w14:textId="77777777" w:rsidR="00897A84" w:rsidRDefault="00B277D0">
            <w:pPr>
              <w:widowControl w:val="0"/>
              <w:spacing w:line="240" w:lineRule="auto"/>
              <w:jc w:val="center"/>
              <w:rPr>
                <w:b/>
                <w:sz w:val="20"/>
                <w:szCs w:val="20"/>
              </w:rPr>
            </w:pPr>
            <w:r>
              <w:rPr>
                <w:b/>
                <w:sz w:val="20"/>
                <w:szCs w:val="20"/>
              </w:rPr>
              <w:t>ARCH</w:t>
            </w:r>
          </w:p>
        </w:tc>
        <w:tc>
          <w:tcPr>
            <w:tcW w:w="4890" w:type="dxa"/>
            <w:shd w:val="clear" w:color="auto" w:fill="auto"/>
            <w:tcMar>
              <w:top w:w="100" w:type="dxa"/>
              <w:left w:w="100" w:type="dxa"/>
              <w:bottom w:w="100" w:type="dxa"/>
              <w:right w:w="100" w:type="dxa"/>
            </w:tcMar>
            <w:vAlign w:val="center"/>
          </w:tcPr>
          <w:p w14:paraId="50112C9A" w14:textId="77777777" w:rsidR="00897A84" w:rsidRDefault="00897A84">
            <w:pPr>
              <w:widowControl w:val="0"/>
              <w:spacing w:line="240" w:lineRule="auto"/>
              <w:rPr>
                <w:b/>
                <w:sz w:val="20"/>
                <w:szCs w:val="20"/>
              </w:rPr>
            </w:pPr>
          </w:p>
          <w:p w14:paraId="3DE8F912"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07F061E2" wp14:editId="2BE7D420">
                  <wp:extent cx="762000" cy="2095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762000" cy="209550"/>
                          </a:xfrm>
                          <a:prstGeom prst="rect">
                            <a:avLst/>
                          </a:prstGeom>
                          <a:ln/>
                        </pic:spPr>
                      </pic:pic>
                    </a:graphicData>
                  </a:graphic>
                </wp:inline>
              </w:drawing>
            </w:r>
          </w:p>
          <w:p w14:paraId="2DA7FB4F"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77C18BDD" wp14:editId="571F9EFC">
                  <wp:extent cx="2462213" cy="38159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462213" cy="381598"/>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2060E263" w14:textId="77777777" w:rsidR="00897A84" w:rsidRDefault="00B277D0">
            <w:pPr>
              <w:widowControl w:val="0"/>
              <w:spacing w:line="240" w:lineRule="auto"/>
              <w:rPr>
                <w:sz w:val="20"/>
                <w:szCs w:val="20"/>
              </w:rPr>
            </w:pPr>
            <w:proofErr w:type="spellStart"/>
            <w:r>
              <w:rPr>
                <w:rFonts w:ascii="Courier New" w:eastAsia="Courier New" w:hAnsi="Courier New" w:cs="Courier New"/>
                <w:color w:val="404040"/>
                <w:sz w:val="20"/>
                <w:szCs w:val="20"/>
                <w:shd w:val="clear" w:color="auto" w:fill="F5F5F5"/>
              </w:rPr>
              <w:t>arch_model</w:t>
            </w:r>
            <w:proofErr w:type="spellEnd"/>
            <w:r>
              <w:rPr>
                <w:rFonts w:ascii="Courier New" w:eastAsia="Courier New" w:hAnsi="Courier New" w:cs="Courier New"/>
                <w:color w:val="404040"/>
                <w:sz w:val="20"/>
                <w:szCs w:val="20"/>
                <w:shd w:val="clear" w:color="auto" w:fill="F5F5F5"/>
              </w:rPr>
              <w:t>(returns, vol=’GARCH’, p=</w:t>
            </w:r>
            <w:proofErr w:type="spellStart"/>
            <w:r>
              <w:rPr>
                <w:rFonts w:ascii="Courier New" w:eastAsia="Courier New" w:hAnsi="Courier New" w:cs="Courier New"/>
                <w:color w:val="404040"/>
                <w:sz w:val="20"/>
                <w:szCs w:val="20"/>
                <w:shd w:val="clear" w:color="auto" w:fill="F5F5F5"/>
              </w:rPr>
              <w:t>m,o</w:t>
            </w:r>
            <w:proofErr w:type="spellEnd"/>
            <w:r>
              <w:rPr>
                <w:rFonts w:ascii="Courier New" w:eastAsia="Courier New" w:hAnsi="Courier New" w:cs="Courier New"/>
                <w:color w:val="404040"/>
                <w:sz w:val="20"/>
                <w:szCs w:val="20"/>
                <w:shd w:val="clear" w:color="auto" w:fill="F5F5F5"/>
              </w:rPr>
              <w:t>=0,q=0)</w:t>
            </w:r>
          </w:p>
        </w:tc>
      </w:tr>
      <w:tr w:rsidR="00897A84" w14:paraId="6AAF8297" w14:textId="77777777">
        <w:trPr>
          <w:trHeight w:val="1569"/>
        </w:trPr>
        <w:tc>
          <w:tcPr>
            <w:tcW w:w="1275" w:type="dxa"/>
            <w:shd w:val="clear" w:color="auto" w:fill="auto"/>
            <w:tcMar>
              <w:top w:w="100" w:type="dxa"/>
              <w:left w:w="100" w:type="dxa"/>
              <w:bottom w:w="100" w:type="dxa"/>
              <w:right w:w="100" w:type="dxa"/>
            </w:tcMar>
            <w:vAlign w:val="center"/>
          </w:tcPr>
          <w:p w14:paraId="1F56AA13" w14:textId="77777777" w:rsidR="00897A84" w:rsidRDefault="00B277D0">
            <w:pPr>
              <w:jc w:val="center"/>
              <w:rPr>
                <w:b/>
                <w:sz w:val="20"/>
                <w:szCs w:val="20"/>
              </w:rPr>
            </w:pPr>
            <w:r>
              <w:rPr>
                <w:b/>
                <w:sz w:val="20"/>
                <w:szCs w:val="20"/>
              </w:rPr>
              <w:t xml:space="preserve">GARCH </w:t>
            </w:r>
          </w:p>
        </w:tc>
        <w:tc>
          <w:tcPr>
            <w:tcW w:w="4890" w:type="dxa"/>
            <w:shd w:val="clear" w:color="auto" w:fill="auto"/>
            <w:tcMar>
              <w:top w:w="100" w:type="dxa"/>
              <w:left w:w="100" w:type="dxa"/>
              <w:bottom w:w="100" w:type="dxa"/>
              <w:right w:w="100" w:type="dxa"/>
            </w:tcMar>
            <w:vAlign w:val="center"/>
          </w:tcPr>
          <w:p w14:paraId="5AC75100"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73231391" wp14:editId="23B2A2B4">
                  <wp:extent cx="800100" cy="342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800100" cy="342900"/>
                          </a:xfrm>
                          <a:prstGeom prst="rect">
                            <a:avLst/>
                          </a:prstGeom>
                          <a:ln/>
                        </pic:spPr>
                      </pic:pic>
                    </a:graphicData>
                  </a:graphic>
                </wp:inline>
              </w:drawing>
            </w:r>
          </w:p>
          <w:p w14:paraId="2B7B4C63"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1718A524" wp14:editId="27841013">
                  <wp:extent cx="2309813" cy="552346"/>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309813" cy="552346"/>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342E2E35" w14:textId="77777777" w:rsidR="00897A84" w:rsidRDefault="00B277D0">
            <w:pPr>
              <w:widowControl w:val="0"/>
              <w:spacing w:line="240" w:lineRule="auto"/>
              <w:rPr>
                <w:sz w:val="20"/>
                <w:szCs w:val="20"/>
              </w:rPr>
            </w:pPr>
            <w:proofErr w:type="spellStart"/>
            <w:r>
              <w:rPr>
                <w:rFonts w:ascii="Courier New" w:eastAsia="Courier New" w:hAnsi="Courier New" w:cs="Courier New"/>
                <w:color w:val="404040"/>
                <w:sz w:val="20"/>
                <w:szCs w:val="20"/>
                <w:shd w:val="clear" w:color="auto" w:fill="F5F5F5"/>
              </w:rPr>
              <w:t>arch_model</w:t>
            </w:r>
            <w:proofErr w:type="spellEnd"/>
            <w:r>
              <w:rPr>
                <w:rFonts w:ascii="Courier New" w:eastAsia="Courier New" w:hAnsi="Courier New" w:cs="Courier New"/>
                <w:color w:val="404040"/>
                <w:sz w:val="20"/>
                <w:szCs w:val="20"/>
                <w:shd w:val="clear" w:color="auto" w:fill="F5F5F5"/>
              </w:rPr>
              <w:t>(returns, vol=’GARCH’, p=</w:t>
            </w:r>
            <w:proofErr w:type="spellStart"/>
            <w:r>
              <w:rPr>
                <w:rFonts w:ascii="Courier New" w:eastAsia="Courier New" w:hAnsi="Courier New" w:cs="Courier New"/>
                <w:color w:val="404040"/>
                <w:sz w:val="20"/>
                <w:szCs w:val="20"/>
                <w:shd w:val="clear" w:color="auto" w:fill="F5F5F5"/>
              </w:rPr>
              <w:t>m,o</w:t>
            </w:r>
            <w:proofErr w:type="spellEnd"/>
            <w:r>
              <w:rPr>
                <w:rFonts w:ascii="Courier New" w:eastAsia="Courier New" w:hAnsi="Courier New" w:cs="Courier New"/>
                <w:color w:val="404040"/>
                <w:sz w:val="20"/>
                <w:szCs w:val="20"/>
                <w:shd w:val="clear" w:color="auto" w:fill="F5F5F5"/>
              </w:rPr>
              <w:t>=0,q=s)</w:t>
            </w:r>
          </w:p>
        </w:tc>
      </w:tr>
      <w:tr w:rsidR="00897A84" w14:paraId="02F1525B" w14:textId="77777777">
        <w:trPr>
          <w:trHeight w:val="1035"/>
        </w:trPr>
        <w:tc>
          <w:tcPr>
            <w:tcW w:w="1275" w:type="dxa"/>
            <w:shd w:val="clear" w:color="auto" w:fill="auto"/>
            <w:tcMar>
              <w:top w:w="100" w:type="dxa"/>
              <w:left w:w="100" w:type="dxa"/>
              <w:bottom w:w="100" w:type="dxa"/>
              <w:right w:w="100" w:type="dxa"/>
            </w:tcMar>
            <w:vAlign w:val="center"/>
          </w:tcPr>
          <w:p w14:paraId="6A31C4CD" w14:textId="77777777" w:rsidR="00897A84" w:rsidRDefault="00B277D0">
            <w:pPr>
              <w:jc w:val="center"/>
              <w:rPr>
                <w:b/>
                <w:sz w:val="20"/>
                <w:szCs w:val="20"/>
              </w:rPr>
            </w:pPr>
            <w:r>
              <w:rPr>
                <w:b/>
                <w:sz w:val="20"/>
                <w:szCs w:val="20"/>
              </w:rPr>
              <w:t>IGARCH</w:t>
            </w:r>
          </w:p>
        </w:tc>
        <w:tc>
          <w:tcPr>
            <w:tcW w:w="4890" w:type="dxa"/>
            <w:shd w:val="clear" w:color="auto" w:fill="auto"/>
            <w:tcMar>
              <w:top w:w="100" w:type="dxa"/>
              <w:left w:w="100" w:type="dxa"/>
              <w:bottom w:w="100" w:type="dxa"/>
              <w:right w:w="100" w:type="dxa"/>
            </w:tcMar>
            <w:vAlign w:val="center"/>
          </w:tcPr>
          <w:p w14:paraId="1257E689"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10697302" wp14:editId="386DDFDB">
                  <wp:extent cx="819150" cy="31432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819150" cy="314325"/>
                          </a:xfrm>
                          <a:prstGeom prst="rect">
                            <a:avLst/>
                          </a:prstGeom>
                          <a:ln/>
                        </pic:spPr>
                      </pic:pic>
                    </a:graphicData>
                  </a:graphic>
                </wp:inline>
              </w:drawing>
            </w:r>
          </w:p>
          <w:p w14:paraId="5133C520"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6A319D03" wp14:editId="0C616EBC">
                  <wp:extent cx="2543175" cy="342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543175" cy="342900"/>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4A1E2EAC" w14:textId="77777777" w:rsidR="00897A84" w:rsidRDefault="00B277D0">
            <w:pPr>
              <w:widowControl w:val="0"/>
              <w:spacing w:line="240" w:lineRule="auto"/>
              <w:rPr>
                <w:sz w:val="20"/>
                <w:szCs w:val="20"/>
              </w:rPr>
            </w:pPr>
            <w:proofErr w:type="spellStart"/>
            <w:r>
              <w:rPr>
                <w:rFonts w:ascii="Courier New" w:eastAsia="Courier New" w:hAnsi="Courier New" w:cs="Courier New"/>
                <w:color w:val="404040"/>
                <w:sz w:val="20"/>
                <w:szCs w:val="20"/>
                <w:shd w:val="clear" w:color="auto" w:fill="F5F5F5"/>
              </w:rPr>
              <w:t>arch_model</w:t>
            </w:r>
            <w:proofErr w:type="spellEnd"/>
            <w:r>
              <w:rPr>
                <w:rFonts w:ascii="Courier New" w:eastAsia="Courier New" w:hAnsi="Courier New" w:cs="Courier New"/>
                <w:color w:val="404040"/>
                <w:sz w:val="20"/>
                <w:szCs w:val="20"/>
                <w:shd w:val="clear" w:color="auto" w:fill="F5F5F5"/>
              </w:rPr>
              <w:t>(returns, vol=’GARCH’, p=1,o=1,q=1)</w:t>
            </w:r>
          </w:p>
        </w:tc>
      </w:tr>
      <w:tr w:rsidR="00897A84" w14:paraId="011FEF13" w14:textId="77777777">
        <w:trPr>
          <w:trHeight w:val="1035"/>
        </w:trPr>
        <w:tc>
          <w:tcPr>
            <w:tcW w:w="1275" w:type="dxa"/>
            <w:shd w:val="clear" w:color="auto" w:fill="auto"/>
            <w:tcMar>
              <w:top w:w="100" w:type="dxa"/>
              <w:left w:w="100" w:type="dxa"/>
              <w:bottom w:w="100" w:type="dxa"/>
              <w:right w:w="100" w:type="dxa"/>
            </w:tcMar>
            <w:vAlign w:val="center"/>
          </w:tcPr>
          <w:p w14:paraId="7EF126AD" w14:textId="77777777" w:rsidR="00897A84" w:rsidRDefault="00B277D0">
            <w:pPr>
              <w:jc w:val="center"/>
              <w:rPr>
                <w:b/>
                <w:sz w:val="20"/>
                <w:szCs w:val="20"/>
              </w:rPr>
            </w:pPr>
            <w:r>
              <w:rPr>
                <w:b/>
                <w:sz w:val="20"/>
                <w:szCs w:val="20"/>
              </w:rPr>
              <w:t>GARCH-M</w:t>
            </w:r>
          </w:p>
        </w:tc>
        <w:tc>
          <w:tcPr>
            <w:tcW w:w="4890" w:type="dxa"/>
            <w:shd w:val="clear" w:color="auto" w:fill="auto"/>
            <w:tcMar>
              <w:top w:w="100" w:type="dxa"/>
              <w:left w:w="100" w:type="dxa"/>
              <w:bottom w:w="100" w:type="dxa"/>
              <w:right w:w="100" w:type="dxa"/>
            </w:tcMar>
            <w:vAlign w:val="center"/>
          </w:tcPr>
          <w:p w14:paraId="0465AED8"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10E1D254" wp14:editId="424EA48D">
                  <wp:extent cx="2657475" cy="5810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581025"/>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4BF13F8D" w14:textId="77777777" w:rsidR="00897A84" w:rsidRDefault="00897A84">
            <w:pPr>
              <w:widowControl w:val="0"/>
              <w:spacing w:line="240" w:lineRule="auto"/>
              <w:rPr>
                <w:sz w:val="20"/>
                <w:szCs w:val="20"/>
              </w:rPr>
            </w:pPr>
          </w:p>
        </w:tc>
      </w:tr>
      <w:tr w:rsidR="00897A84" w14:paraId="6892E6EC" w14:textId="77777777">
        <w:trPr>
          <w:trHeight w:val="1035"/>
        </w:trPr>
        <w:tc>
          <w:tcPr>
            <w:tcW w:w="1275" w:type="dxa"/>
            <w:shd w:val="clear" w:color="auto" w:fill="auto"/>
            <w:tcMar>
              <w:top w:w="100" w:type="dxa"/>
              <w:left w:w="100" w:type="dxa"/>
              <w:bottom w:w="100" w:type="dxa"/>
              <w:right w:w="100" w:type="dxa"/>
            </w:tcMar>
            <w:vAlign w:val="center"/>
          </w:tcPr>
          <w:p w14:paraId="41236021" w14:textId="77777777" w:rsidR="00897A84" w:rsidRDefault="00B277D0">
            <w:pPr>
              <w:jc w:val="center"/>
              <w:rPr>
                <w:b/>
                <w:sz w:val="20"/>
                <w:szCs w:val="20"/>
              </w:rPr>
            </w:pPr>
            <w:r>
              <w:rPr>
                <w:b/>
                <w:sz w:val="20"/>
                <w:szCs w:val="20"/>
              </w:rPr>
              <w:lastRenderedPageBreak/>
              <w:t>EGARCH</w:t>
            </w:r>
          </w:p>
        </w:tc>
        <w:tc>
          <w:tcPr>
            <w:tcW w:w="4890" w:type="dxa"/>
            <w:shd w:val="clear" w:color="auto" w:fill="auto"/>
            <w:tcMar>
              <w:top w:w="100" w:type="dxa"/>
              <w:left w:w="100" w:type="dxa"/>
              <w:bottom w:w="100" w:type="dxa"/>
              <w:right w:w="100" w:type="dxa"/>
            </w:tcMar>
            <w:vAlign w:val="center"/>
          </w:tcPr>
          <w:p w14:paraId="052B9C9F"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5E0B8C5D" wp14:editId="7C14AF23">
                  <wp:extent cx="2495550" cy="3524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495550" cy="352425"/>
                          </a:xfrm>
                          <a:prstGeom prst="rect">
                            <a:avLst/>
                          </a:prstGeom>
                          <a:ln/>
                        </pic:spPr>
                      </pic:pic>
                    </a:graphicData>
                  </a:graphic>
                </wp:inline>
              </w:drawing>
            </w:r>
          </w:p>
          <w:p w14:paraId="75243B67"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408FCC5F" wp14:editId="67A03FB0">
                  <wp:extent cx="2924175" cy="4699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924175" cy="469900"/>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0A07CEBD" w14:textId="77777777" w:rsidR="00897A84" w:rsidRDefault="00B277D0">
            <w:pPr>
              <w:widowControl w:val="0"/>
              <w:spacing w:line="240" w:lineRule="auto"/>
              <w:rPr>
                <w:sz w:val="20"/>
                <w:szCs w:val="20"/>
              </w:rPr>
            </w:pPr>
            <w:proofErr w:type="spellStart"/>
            <w:r>
              <w:rPr>
                <w:rFonts w:ascii="Courier New" w:eastAsia="Courier New" w:hAnsi="Courier New" w:cs="Courier New"/>
                <w:color w:val="404040"/>
                <w:sz w:val="20"/>
                <w:szCs w:val="20"/>
                <w:shd w:val="clear" w:color="auto" w:fill="F5F5F5"/>
              </w:rPr>
              <w:t>arch_model</w:t>
            </w:r>
            <w:proofErr w:type="spellEnd"/>
            <w:r>
              <w:rPr>
                <w:rFonts w:ascii="Courier New" w:eastAsia="Courier New" w:hAnsi="Courier New" w:cs="Courier New"/>
                <w:color w:val="404040"/>
                <w:sz w:val="20"/>
                <w:szCs w:val="20"/>
                <w:shd w:val="clear" w:color="auto" w:fill="F5F5F5"/>
              </w:rPr>
              <w:t>(data, vol=’EGARCH’, p=</w:t>
            </w:r>
            <w:proofErr w:type="spellStart"/>
            <w:r>
              <w:rPr>
                <w:rFonts w:ascii="Courier New" w:eastAsia="Courier New" w:hAnsi="Courier New" w:cs="Courier New"/>
                <w:color w:val="404040"/>
                <w:sz w:val="20"/>
                <w:szCs w:val="20"/>
                <w:shd w:val="clear" w:color="auto" w:fill="F5F5F5"/>
              </w:rPr>
              <w:t>m,o</w:t>
            </w:r>
            <w:proofErr w:type="spellEnd"/>
            <w:r>
              <w:rPr>
                <w:rFonts w:ascii="Courier New" w:eastAsia="Courier New" w:hAnsi="Courier New" w:cs="Courier New"/>
                <w:color w:val="404040"/>
                <w:sz w:val="20"/>
                <w:szCs w:val="20"/>
                <w:shd w:val="clear" w:color="auto" w:fill="F5F5F5"/>
              </w:rPr>
              <w:t>=0,q=0)</w:t>
            </w:r>
          </w:p>
        </w:tc>
      </w:tr>
      <w:tr w:rsidR="00897A84" w14:paraId="253C4E35" w14:textId="77777777">
        <w:trPr>
          <w:trHeight w:val="1035"/>
        </w:trPr>
        <w:tc>
          <w:tcPr>
            <w:tcW w:w="1275" w:type="dxa"/>
            <w:shd w:val="clear" w:color="auto" w:fill="auto"/>
            <w:tcMar>
              <w:top w:w="100" w:type="dxa"/>
              <w:left w:w="100" w:type="dxa"/>
              <w:bottom w:w="100" w:type="dxa"/>
              <w:right w:w="100" w:type="dxa"/>
            </w:tcMar>
            <w:vAlign w:val="center"/>
          </w:tcPr>
          <w:p w14:paraId="66B1E9C3" w14:textId="77777777" w:rsidR="00897A84" w:rsidRDefault="00B277D0">
            <w:pPr>
              <w:jc w:val="center"/>
              <w:rPr>
                <w:b/>
                <w:sz w:val="20"/>
                <w:szCs w:val="20"/>
              </w:rPr>
            </w:pPr>
            <w:r>
              <w:rPr>
                <w:b/>
                <w:sz w:val="20"/>
                <w:szCs w:val="20"/>
              </w:rPr>
              <w:t>TARCH/</w:t>
            </w:r>
          </w:p>
          <w:p w14:paraId="5261CB9C" w14:textId="77777777" w:rsidR="00897A84" w:rsidRDefault="00B277D0">
            <w:pPr>
              <w:jc w:val="center"/>
              <w:rPr>
                <w:b/>
                <w:sz w:val="20"/>
                <w:szCs w:val="20"/>
              </w:rPr>
            </w:pPr>
            <w:r>
              <w:rPr>
                <w:b/>
                <w:sz w:val="20"/>
                <w:szCs w:val="20"/>
              </w:rPr>
              <w:t>ZARCH</w:t>
            </w:r>
          </w:p>
        </w:tc>
        <w:tc>
          <w:tcPr>
            <w:tcW w:w="4890" w:type="dxa"/>
            <w:shd w:val="clear" w:color="auto" w:fill="auto"/>
            <w:tcMar>
              <w:top w:w="100" w:type="dxa"/>
              <w:left w:w="100" w:type="dxa"/>
              <w:bottom w:w="100" w:type="dxa"/>
              <w:right w:w="100" w:type="dxa"/>
            </w:tcMar>
            <w:vAlign w:val="center"/>
          </w:tcPr>
          <w:p w14:paraId="0CCCFD7C"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09B8215A" wp14:editId="77E42813">
                  <wp:extent cx="2924175" cy="5080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2924175" cy="508000"/>
                          </a:xfrm>
                          <a:prstGeom prst="rect">
                            <a:avLst/>
                          </a:prstGeom>
                          <a:ln/>
                        </pic:spPr>
                      </pic:pic>
                    </a:graphicData>
                  </a:graphic>
                </wp:inline>
              </w:drawing>
            </w:r>
          </w:p>
          <w:p w14:paraId="2F254169" w14:textId="77777777" w:rsidR="00897A84" w:rsidRDefault="00B277D0">
            <w:pPr>
              <w:widowControl w:val="0"/>
              <w:spacing w:line="240" w:lineRule="auto"/>
              <w:rPr>
                <w:b/>
                <w:sz w:val="20"/>
                <w:szCs w:val="20"/>
              </w:rPr>
            </w:pPr>
            <w:r>
              <w:rPr>
                <w:b/>
                <w:noProof/>
                <w:sz w:val="20"/>
                <w:szCs w:val="20"/>
              </w:rPr>
              <w:drawing>
                <wp:inline distT="114300" distB="114300" distL="114300" distR="114300" wp14:anchorId="06E24B74" wp14:editId="32756002">
                  <wp:extent cx="1717929" cy="51293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717929" cy="512936"/>
                          </a:xfrm>
                          <a:prstGeom prst="rect">
                            <a:avLst/>
                          </a:prstGeom>
                          <a:ln/>
                        </pic:spPr>
                      </pic:pic>
                    </a:graphicData>
                  </a:graphic>
                </wp:inline>
              </w:drawing>
            </w:r>
          </w:p>
        </w:tc>
        <w:tc>
          <w:tcPr>
            <w:tcW w:w="2415" w:type="dxa"/>
            <w:shd w:val="clear" w:color="auto" w:fill="auto"/>
            <w:tcMar>
              <w:top w:w="100" w:type="dxa"/>
              <w:left w:w="100" w:type="dxa"/>
              <w:bottom w:w="100" w:type="dxa"/>
              <w:right w:w="100" w:type="dxa"/>
            </w:tcMar>
            <w:vAlign w:val="center"/>
          </w:tcPr>
          <w:p w14:paraId="434B17EF" w14:textId="77777777" w:rsidR="00897A84" w:rsidRDefault="00B277D0">
            <w:pPr>
              <w:widowControl w:val="0"/>
              <w:spacing w:line="335" w:lineRule="auto"/>
              <w:rPr>
                <w:rFonts w:ascii="Courier New" w:eastAsia="Courier New" w:hAnsi="Courier New" w:cs="Courier New"/>
                <w:color w:val="404040"/>
                <w:sz w:val="20"/>
                <w:szCs w:val="20"/>
                <w:shd w:val="clear" w:color="auto" w:fill="F5F5F5"/>
              </w:rPr>
            </w:pPr>
            <w:proofErr w:type="spellStart"/>
            <w:r>
              <w:rPr>
                <w:rFonts w:ascii="Courier New" w:eastAsia="Courier New" w:hAnsi="Courier New" w:cs="Courier New"/>
                <w:color w:val="404040"/>
                <w:sz w:val="20"/>
                <w:szCs w:val="20"/>
                <w:shd w:val="clear" w:color="auto" w:fill="F5F5F5"/>
              </w:rPr>
              <w:t>arch_model</w:t>
            </w:r>
            <w:proofErr w:type="spellEnd"/>
            <w:r>
              <w:rPr>
                <w:rFonts w:ascii="Courier New" w:eastAsia="Courier New" w:hAnsi="Courier New" w:cs="Courier New"/>
                <w:color w:val="404040"/>
                <w:sz w:val="20"/>
                <w:szCs w:val="20"/>
                <w:shd w:val="clear" w:color="auto" w:fill="F5F5F5"/>
              </w:rPr>
              <w:t>(returns, p=m, o=0, q=s, power=1.0)</w:t>
            </w:r>
          </w:p>
          <w:p w14:paraId="32E20DE8" w14:textId="77777777" w:rsidR="00897A84" w:rsidRDefault="00897A84">
            <w:pPr>
              <w:widowControl w:val="0"/>
              <w:spacing w:line="240" w:lineRule="auto"/>
              <w:rPr>
                <w:sz w:val="20"/>
                <w:szCs w:val="20"/>
              </w:rPr>
            </w:pPr>
          </w:p>
        </w:tc>
      </w:tr>
    </w:tbl>
    <w:p w14:paraId="15910154" w14:textId="77777777" w:rsidR="00897A84" w:rsidRDefault="00897A84">
      <w:pPr>
        <w:jc w:val="both"/>
      </w:pPr>
    </w:p>
    <w:p w14:paraId="76EC9E39" w14:textId="77777777" w:rsidR="00897A84" w:rsidRDefault="00B277D0">
      <w:pPr>
        <w:ind w:left="720"/>
      </w:pPr>
      <w:r>
        <w:t>The fitting results of TARCH(1,1,2):</w:t>
      </w:r>
    </w:p>
    <w:p w14:paraId="6E7EDF13" w14:textId="77777777" w:rsidR="00897A84" w:rsidRDefault="00B277D0">
      <w:pPr>
        <w:ind w:left="720"/>
        <w:jc w:val="center"/>
      </w:pPr>
      <w:r>
        <w:rPr>
          <w:noProof/>
        </w:rPr>
        <w:drawing>
          <wp:inline distT="114300" distB="114300" distL="114300" distR="114300" wp14:anchorId="5BF0EF69" wp14:editId="451D824F">
            <wp:extent cx="4643438" cy="45720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643438" cy="4572000"/>
                    </a:xfrm>
                    <a:prstGeom prst="rect">
                      <a:avLst/>
                    </a:prstGeom>
                    <a:ln/>
                  </pic:spPr>
                </pic:pic>
              </a:graphicData>
            </a:graphic>
          </wp:inline>
        </w:drawing>
      </w:r>
    </w:p>
    <w:p w14:paraId="1440CB2D" w14:textId="77777777" w:rsidR="00897A84" w:rsidRDefault="00897A84">
      <w:pPr>
        <w:ind w:firstLine="720"/>
      </w:pPr>
    </w:p>
    <w:p w14:paraId="14BF26C9" w14:textId="77777777" w:rsidR="00897A84" w:rsidRDefault="00897A84"/>
    <w:p w14:paraId="043FB1A8" w14:textId="77777777" w:rsidR="00897A84" w:rsidRDefault="00897A84"/>
    <w:p w14:paraId="1A8F3C32" w14:textId="77777777" w:rsidR="00897A84" w:rsidRDefault="00897A84"/>
    <w:p w14:paraId="04050C8E" w14:textId="77777777" w:rsidR="00897A84" w:rsidRDefault="00B277D0">
      <w:pPr>
        <w:ind w:firstLine="720"/>
      </w:pPr>
      <w:r>
        <w:t>Plot the residual of TARCH(1,1,2):</w:t>
      </w:r>
    </w:p>
    <w:p w14:paraId="50BF5483" w14:textId="77777777" w:rsidR="00897A84" w:rsidRDefault="00B277D0">
      <w:pPr>
        <w:ind w:left="720"/>
        <w:jc w:val="center"/>
      </w:pPr>
      <w:r>
        <w:rPr>
          <w:noProof/>
        </w:rPr>
        <w:lastRenderedPageBreak/>
        <w:drawing>
          <wp:inline distT="114300" distB="114300" distL="114300" distR="114300" wp14:anchorId="181CF182" wp14:editId="2969D5C7">
            <wp:extent cx="4866271" cy="350996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866271" cy="3509963"/>
                    </a:xfrm>
                    <a:prstGeom prst="rect">
                      <a:avLst/>
                    </a:prstGeom>
                    <a:ln/>
                  </pic:spPr>
                </pic:pic>
              </a:graphicData>
            </a:graphic>
          </wp:inline>
        </w:drawing>
      </w:r>
    </w:p>
    <w:p w14:paraId="571A16E1" w14:textId="77777777" w:rsidR="00897A84" w:rsidRDefault="00897A84">
      <w:pPr>
        <w:ind w:left="720"/>
        <w:jc w:val="center"/>
      </w:pPr>
    </w:p>
    <w:p w14:paraId="1EECA828" w14:textId="77777777" w:rsidR="00897A84" w:rsidRDefault="00B277D0">
      <w:pPr>
        <w:ind w:left="720"/>
        <w:rPr>
          <w:b/>
        </w:rPr>
      </w:pPr>
      <w:r>
        <w:rPr>
          <w:b/>
        </w:rPr>
        <w:t xml:space="preserve">3. Forecast and Conclusion </w:t>
      </w:r>
    </w:p>
    <w:p w14:paraId="77FBC804" w14:textId="77777777" w:rsidR="00897A84" w:rsidRDefault="00B277D0">
      <w:pPr>
        <w:ind w:firstLine="720"/>
        <w:jc w:val="both"/>
        <w:rPr>
          <w:color w:val="404040"/>
          <w:sz w:val="24"/>
          <w:szCs w:val="24"/>
        </w:rPr>
      </w:pPr>
      <w:r>
        <w:rPr>
          <w:color w:val="404040"/>
          <w:sz w:val="24"/>
          <w:szCs w:val="24"/>
        </w:rPr>
        <w:t xml:space="preserve">We use Rolling Window Forecasting with </w:t>
      </w:r>
      <w:r>
        <w:rPr>
          <w:color w:val="404040"/>
          <w:sz w:val="24"/>
          <w:szCs w:val="24"/>
        </w:rPr>
        <w:t>a fixed sample length of training data and then produce one-step from the final observation. The workflow is that :</w:t>
      </w:r>
    </w:p>
    <w:p w14:paraId="11353838" w14:textId="77777777" w:rsidR="00897A84" w:rsidRDefault="00B277D0">
      <w:pPr>
        <w:numPr>
          <w:ilvl w:val="0"/>
          <w:numId w:val="4"/>
        </w:numPr>
        <w:jc w:val="both"/>
      </w:pPr>
      <w:r>
        <w:rPr>
          <w:color w:val="404040"/>
          <w:sz w:val="24"/>
          <w:szCs w:val="24"/>
        </w:rPr>
        <w:t xml:space="preserve">at the begin of each day of testing data, we run </w:t>
      </w:r>
      <w:proofErr w:type="spellStart"/>
      <w:r>
        <w:rPr>
          <w:i/>
          <w:color w:val="404040"/>
          <w:sz w:val="24"/>
          <w:szCs w:val="24"/>
        </w:rPr>
        <w:t>auto_arima</w:t>
      </w:r>
      <w:proofErr w:type="spellEnd"/>
      <w:r>
        <w:rPr>
          <w:color w:val="404040"/>
          <w:sz w:val="24"/>
          <w:szCs w:val="24"/>
        </w:rPr>
        <w:t xml:space="preserve"> to discover the optimal ARIMA order;</w:t>
      </w:r>
    </w:p>
    <w:p w14:paraId="41BA6C13" w14:textId="77777777" w:rsidR="00897A84" w:rsidRDefault="00B277D0">
      <w:pPr>
        <w:numPr>
          <w:ilvl w:val="0"/>
          <w:numId w:val="4"/>
        </w:numPr>
        <w:jc w:val="both"/>
      </w:pPr>
      <w:r>
        <w:rPr>
          <w:color w:val="404040"/>
          <w:sz w:val="24"/>
          <w:szCs w:val="24"/>
        </w:rPr>
        <w:t xml:space="preserve">then use the residual of ARIMA to find the </w:t>
      </w:r>
      <w:r>
        <w:rPr>
          <w:color w:val="404040"/>
          <w:sz w:val="24"/>
          <w:szCs w:val="24"/>
        </w:rPr>
        <w:t>optimal orders (</w:t>
      </w:r>
      <w:proofErr w:type="spellStart"/>
      <w:r>
        <w:rPr>
          <w:color w:val="404040"/>
          <w:sz w:val="24"/>
          <w:szCs w:val="24"/>
        </w:rPr>
        <w:t>p,d,q</w:t>
      </w:r>
      <w:proofErr w:type="spellEnd"/>
      <w:r>
        <w:rPr>
          <w:color w:val="404040"/>
          <w:sz w:val="24"/>
          <w:szCs w:val="24"/>
        </w:rPr>
        <w:t xml:space="preserve">), the optimal Volatility model (one of </w:t>
      </w:r>
      <w:r>
        <w:rPr>
          <w:rFonts w:ascii="Courier New" w:eastAsia="Courier New" w:hAnsi="Courier New" w:cs="Courier New"/>
          <w:sz w:val="24"/>
          <w:szCs w:val="24"/>
        </w:rPr>
        <w:t>[</w:t>
      </w:r>
      <w:r>
        <w:rPr>
          <w:rFonts w:ascii="Courier New" w:eastAsia="Courier New" w:hAnsi="Courier New" w:cs="Courier New"/>
          <w:color w:val="CE9178"/>
          <w:sz w:val="24"/>
          <w:szCs w:val="24"/>
        </w:rPr>
        <w:t>"GARCH"</w:t>
      </w:r>
      <w:r>
        <w:rPr>
          <w:rFonts w:ascii="Courier New" w:eastAsia="Courier New" w:hAnsi="Courier New" w:cs="Courier New"/>
          <w:sz w:val="24"/>
          <w:szCs w:val="24"/>
        </w:rPr>
        <w:t>,</w:t>
      </w:r>
      <w:r>
        <w:rPr>
          <w:rFonts w:ascii="Courier New" w:eastAsia="Courier New" w:hAnsi="Courier New" w:cs="Courier New"/>
          <w:color w:val="CE9178"/>
          <w:sz w:val="24"/>
          <w:szCs w:val="24"/>
        </w:rPr>
        <w:t>"IGARCH"</w:t>
      </w:r>
      <w:r>
        <w:rPr>
          <w:rFonts w:ascii="Courier New" w:eastAsia="Courier New" w:hAnsi="Courier New" w:cs="Courier New"/>
          <w:sz w:val="24"/>
          <w:szCs w:val="24"/>
        </w:rPr>
        <w:t>,</w:t>
      </w:r>
      <w:r>
        <w:rPr>
          <w:rFonts w:ascii="Courier New" w:eastAsia="Courier New" w:hAnsi="Courier New" w:cs="Courier New"/>
          <w:color w:val="CE9178"/>
          <w:sz w:val="24"/>
          <w:szCs w:val="24"/>
        </w:rPr>
        <w:t>"EGARCH"</w:t>
      </w:r>
      <w:r>
        <w:rPr>
          <w:rFonts w:ascii="Courier New" w:eastAsia="Courier New" w:hAnsi="Courier New" w:cs="Courier New"/>
          <w:sz w:val="24"/>
          <w:szCs w:val="24"/>
        </w:rPr>
        <w:t>,</w:t>
      </w:r>
      <w:r>
        <w:rPr>
          <w:rFonts w:ascii="Courier New" w:eastAsia="Courier New" w:hAnsi="Courier New" w:cs="Courier New"/>
          <w:color w:val="CE9178"/>
          <w:sz w:val="24"/>
          <w:szCs w:val="24"/>
        </w:rPr>
        <w:t>"ARCH"</w:t>
      </w:r>
      <w:r>
        <w:rPr>
          <w:rFonts w:ascii="Courier New" w:eastAsia="Courier New" w:hAnsi="Courier New" w:cs="Courier New"/>
          <w:sz w:val="24"/>
          <w:szCs w:val="24"/>
        </w:rPr>
        <w:t>,</w:t>
      </w:r>
      <w:r>
        <w:rPr>
          <w:rFonts w:ascii="Courier New" w:eastAsia="Courier New" w:hAnsi="Courier New" w:cs="Courier New"/>
          <w:color w:val="CE9178"/>
          <w:sz w:val="24"/>
          <w:szCs w:val="24"/>
        </w:rPr>
        <w:t>"TARCH"</w:t>
      </w:r>
      <w:r>
        <w:rPr>
          <w:rFonts w:ascii="Courier New" w:eastAsia="Courier New" w:hAnsi="Courier New" w:cs="Courier New"/>
          <w:sz w:val="24"/>
          <w:szCs w:val="24"/>
        </w:rPr>
        <w:t>]</w:t>
      </w:r>
      <w:r>
        <w:rPr>
          <w:color w:val="404040"/>
          <w:sz w:val="24"/>
          <w:szCs w:val="24"/>
        </w:rPr>
        <w:t xml:space="preserve">) and the best </w:t>
      </w:r>
      <w:r>
        <w:t>distribution for the standardized residuals</w:t>
      </w:r>
      <w:r>
        <w:rPr>
          <w:color w:val="404040"/>
          <w:sz w:val="24"/>
          <w:szCs w:val="24"/>
        </w:rPr>
        <w:t xml:space="preserve"> (one of </w:t>
      </w:r>
      <w:r>
        <w:rPr>
          <w:rFonts w:ascii="Courier New" w:eastAsia="Courier New" w:hAnsi="Courier New" w:cs="Courier New"/>
          <w:sz w:val="24"/>
          <w:szCs w:val="24"/>
        </w:rPr>
        <w:t>[</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gaussian"</w:t>
      </w:r>
      <w:r>
        <w:rPr>
          <w:rFonts w:ascii="Courier New" w:eastAsia="Courier New" w:hAnsi="Courier New" w:cs="Courier New"/>
          <w:sz w:val="24"/>
          <w:szCs w:val="24"/>
        </w:rPr>
        <w:t>,</w:t>
      </w:r>
      <w:r>
        <w:rPr>
          <w:rFonts w:ascii="Courier New" w:eastAsia="Courier New" w:hAnsi="Courier New" w:cs="Courier New"/>
          <w:color w:val="CE9178"/>
          <w:sz w:val="24"/>
          <w:szCs w:val="24"/>
        </w:rPr>
        <w:t>"normal</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 xml:space="preserve">, </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studentst</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w:t>
      </w:r>
      <w:r>
        <w:rPr>
          <w:rFonts w:ascii="Courier New" w:eastAsia="Courier New" w:hAnsi="Courier New" w:cs="Courier New"/>
          <w:color w:val="CE9178"/>
          <w:sz w:val="24"/>
          <w:szCs w:val="24"/>
        </w:rPr>
        <w:t>"</w:t>
      </w:r>
      <w:proofErr w:type="spellStart"/>
      <w:r>
        <w:rPr>
          <w:rFonts w:ascii="Courier New" w:eastAsia="Courier New" w:hAnsi="Courier New" w:cs="Courier New"/>
          <w:color w:val="CE9178"/>
          <w:sz w:val="24"/>
          <w:szCs w:val="24"/>
        </w:rPr>
        <w:t>skewstudent</w:t>
      </w:r>
      <w:proofErr w:type="spellEnd"/>
      <w:r>
        <w:rPr>
          <w:rFonts w:ascii="Courier New" w:eastAsia="Courier New" w:hAnsi="Courier New" w:cs="Courier New"/>
          <w:color w:val="CE9178"/>
          <w:sz w:val="24"/>
          <w:szCs w:val="24"/>
        </w:rPr>
        <w:t>"</w:t>
      </w:r>
      <w:r>
        <w:rPr>
          <w:rFonts w:ascii="Courier New" w:eastAsia="Courier New" w:hAnsi="Courier New" w:cs="Courier New"/>
          <w:sz w:val="24"/>
          <w:szCs w:val="24"/>
        </w:rPr>
        <w:t>,</w:t>
      </w:r>
      <w:r>
        <w:rPr>
          <w:rFonts w:ascii="Courier New" w:eastAsia="Courier New" w:hAnsi="Courier New" w:cs="Courier New"/>
          <w:color w:val="CE9178"/>
          <w:sz w:val="24"/>
          <w:szCs w:val="24"/>
        </w:rPr>
        <w:t>"generalized error"</w:t>
      </w:r>
      <w:r>
        <w:rPr>
          <w:rFonts w:ascii="Courier New" w:eastAsia="Courier New" w:hAnsi="Courier New" w:cs="Courier New"/>
          <w:sz w:val="24"/>
          <w:szCs w:val="24"/>
        </w:rPr>
        <w:t>]).</w:t>
      </w:r>
    </w:p>
    <w:p w14:paraId="27D0E36E" w14:textId="77777777" w:rsidR="00897A84" w:rsidRDefault="00B277D0">
      <w:pPr>
        <w:numPr>
          <w:ilvl w:val="0"/>
          <w:numId w:val="4"/>
        </w:numPr>
        <w:jc w:val="both"/>
      </w:pPr>
      <w:r>
        <w:rPr>
          <w:color w:val="404040"/>
          <w:sz w:val="24"/>
          <w:szCs w:val="24"/>
        </w:rPr>
        <w:t xml:space="preserve">After that we compute the predicted return using the optimal </w:t>
      </w:r>
      <w:proofErr w:type="spellStart"/>
      <w:r>
        <w:rPr>
          <w:color w:val="404040"/>
          <w:sz w:val="24"/>
          <w:szCs w:val="24"/>
        </w:rPr>
        <w:t>arima</w:t>
      </w:r>
      <w:proofErr w:type="spellEnd"/>
      <w:r>
        <w:rPr>
          <w:color w:val="404040"/>
          <w:sz w:val="24"/>
          <w:szCs w:val="24"/>
        </w:rPr>
        <w:t xml:space="preserve"> model and Volatility model.</w:t>
      </w:r>
    </w:p>
    <w:p w14:paraId="13B1B43A" w14:textId="77777777" w:rsidR="00897A84" w:rsidRDefault="00897A84">
      <w:pPr>
        <w:jc w:val="both"/>
        <w:rPr>
          <w:color w:val="404040"/>
          <w:sz w:val="24"/>
          <w:szCs w:val="24"/>
        </w:rPr>
      </w:pPr>
    </w:p>
    <w:p w14:paraId="235BD091" w14:textId="77777777" w:rsidR="00897A84" w:rsidRDefault="00B277D0">
      <w:pPr>
        <w:jc w:val="both"/>
        <w:rPr>
          <w:color w:val="404040"/>
          <w:sz w:val="24"/>
          <w:szCs w:val="24"/>
        </w:rPr>
      </w:pPr>
      <w:r>
        <w:rPr>
          <w:noProof/>
          <w:color w:val="404040"/>
          <w:sz w:val="24"/>
          <w:szCs w:val="24"/>
        </w:rPr>
        <w:lastRenderedPageBreak/>
        <w:drawing>
          <wp:inline distT="114300" distB="114300" distL="114300" distR="114300" wp14:anchorId="5C3B0D0E" wp14:editId="6070C327">
            <wp:extent cx="5943600" cy="2438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2438400"/>
                    </a:xfrm>
                    <a:prstGeom prst="rect">
                      <a:avLst/>
                    </a:prstGeom>
                    <a:ln/>
                  </pic:spPr>
                </pic:pic>
              </a:graphicData>
            </a:graphic>
          </wp:inline>
        </w:drawing>
      </w:r>
    </w:p>
    <w:p w14:paraId="145D06B2" w14:textId="77777777" w:rsidR="00897A84" w:rsidRDefault="00B277D0">
      <w:pPr>
        <w:jc w:val="center"/>
        <w:rPr>
          <w:color w:val="404040"/>
          <w:sz w:val="24"/>
          <w:szCs w:val="24"/>
        </w:rPr>
      </w:pPr>
      <w:r>
        <w:rPr>
          <w:color w:val="404040"/>
          <w:sz w:val="24"/>
          <w:szCs w:val="24"/>
        </w:rPr>
        <w:t>Figure 3. Comparing the actual and predicted returns</w:t>
      </w:r>
    </w:p>
    <w:p w14:paraId="4FD6A119" w14:textId="77777777" w:rsidR="00897A84" w:rsidRDefault="00897A84">
      <w:pPr>
        <w:ind w:firstLine="720"/>
        <w:jc w:val="both"/>
        <w:rPr>
          <w:color w:val="404040"/>
          <w:sz w:val="24"/>
          <w:szCs w:val="24"/>
        </w:rPr>
      </w:pPr>
    </w:p>
    <w:p w14:paraId="77EF0C07" w14:textId="77777777" w:rsidR="00897A84" w:rsidRDefault="00B277D0">
      <w:pPr>
        <w:ind w:firstLine="720"/>
        <w:jc w:val="both"/>
      </w:pPr>
      <w:r>
        <w:rPr>
          <w:color w:val="404040"/>
          <w:sz w:val="24"/>
          <w:szCs w:val="24"/>
        </w:rPr>
        <w:t xml:space="preserve">Comparing the forecasting return to the actual return, we draw a conclusion: through the model captures </w:t>
      </w:r>
      <w:r>
        <w:rPr>
          <w:color w:val="404040"/>
          <w:sz w:val="24"/>
          <w:szCs w:val="24"/>
        </w:rPr>
        <w:t>the volatility features of the return, it hardly predicts the specific return for the next day.</w:t>
      </w:r>
    </w:p>
    <w:p w14:paraId="28AD617B" w14:textId="77777777" w:rsidR="00897A84" w:rsidRDefault="00897A84">
      <w:pPr>
        <w:jc w:val="both"/>
      </w:pPr>
    </w:p>
    <w:p w14:paraId="1E8165C1" w14:textId="77777777" w:rsidR="00897A84" w:rsidRDefault="00B277D0">
      <w:pPr>
        <w:shd w:val="clear" w:color="auto" w:fill="FFFFFF"/>
        <w:spacing w:before="240" w:after="240"/>
        <w:jc w:val="center"/>
        <w:rPr>
          <w:b/>
          <w:sz w:val="24"/>
          <w:szCs w:val="24"/>
          <w:u w:val="single"/>
        </w:rPr>
      </w:pPr>
      <w:r>
        <w:rPr>
          <w:b/>
          <w:sz w:val="24"/>
          <w:szCs w:val="24"/>
          <w:u w:val="single"/>
        </w:rPr>
        <w:t>Part II. Multivariate Analysis</w:t>
      </w:r>
    </w:p>
    <w:p w14:paraId="65296E2F" w14:textId="77777777" w:rsidR="00897A84" w:rsidRDefault="00897A84">
      <w:pPr>
        <w:jc w:val="both"/>
      </w:pPr>
    </w:p>
    <w:p w14:paraId="0174EF73" w14:textId="77777777" w:rsidR="00897A84" w:rsidRDefault="00897A84">
      <w:pPr>
        <w:jc w:val="both"/>
      </w:pPr>
    </w:p>
    <w:p w14:paraId="7E12B13E" w14:textId="77777777" w:rsidR="00897A84" w:rsidRDefault="00B277D0">
      <w:pPr>
        <w:numPr>
          <w:ilvl w:val="0"/>
          <w:numId w:val="2"/>
        </w:numPr>
        <w:jc w:val="both"/>
        <w:rPr>
          <w:b/>
        </w:rPr>
      </w:pPr>
      <w:r>
        <w:rPr>
          <w:b/>
        </w:rPr>
        <w:t>Equilibrium FX theories</w:t>
      </w:r>
    </w:p>
    <w:p w14:paraId="2E2686A5" w14:textId="77777777" w:rsidR="00897A84" w:rsidRDefault="00B277D0">
      <w:pPr>
        <w:jc w:val="both"/>
        <w:rPr>
          <w:b/>
        </w:rPr>
      </w:pPr>
      <w:r>
        <w:rPr>
          <w:b/>
        </w:rPr>
        <w:tab/>
      </w:r>
    </w:p>
    <w:p w14:paraId="17083558" w14:textId="77777777" w:rsidR="00897A84" w:rsidRDefault="00B277D0">
      <w:pPr>
        <w:ind w:firstLine="720"/>
        <w:jc w:val="both"/>
      </w:pPr>
      <w:r>
        <w:t>A few well known economic theories and models to calculate equilibrium FX are listed below:</w:t>
      </w:r>
    </w:p>
    <w:p w14:paraId="30F33CCC" w14:textId="77777777" w:rsidR="00897A84" w:rsidRDefault="00B277D0">
      <w:pPr>
        <w:ind w:left="720"/>
        <w:jc w:val="both"/>
        <w:rPr>
          <w:b/>
        </w:rPr>
      </w:pPr>
      <w:r>
        <w:rPr>
          <w:b/>
        </w:rPr>
        <w:t xml:space="preserve">1.1 </w:t>
      </w:r>
      <w:proofErr w:type="spellStart"/>
      <w:r>
        <w:rPr>
          <w:b/>
        </w:rPr>
        <w:t>Kass</w:t>
      </w:r>
      <w:r>
        <w:rPr>
          <w:b/>
        </w:rPr>
        <w:t>e’s</w:t>
      </w:r>
      <w:proofErr w:type="spellEnd"/>
      <w:r>
        <w:rPr>
          <w:b/>
        </w:rPr>
        <w:t xml:space="preserve"> PPP</w:t>
      </w:r>
    </w:p>
    <w:p w14:paraId="7E70310D" w14:textId="77777777" w:rsidR="00897A84" w:rsidRDefault="00B277D0">
      <w:pPr>
        <w:ind w:firstLine="720"/>
        <w:jc w:val="both"/>
      </w:pPr>
      <w:r>
        <w:t xml:space="preserve">PPP stands for “Purchasing power parity”, which is based on the “law of one price”. It illustrates that if there’s no trade cost, the price of goods should be the same in different regions, thus the exchange rate is the ratio of prices of goods in </w:t>
      </w:r>
      <w:r>
        <w:t>different currencies.</w:t>
      </w:r>
    </w:p>
    <w:p w14:paraId="3116C2D9" w14:textId="77777777" w:rsidR="00897A84" w:rsidRDefault="00897A84">
      <w:pPr>
        <w:ind w:left="720"/>
        <w:jc w:val="both"/>
      </w:pPr>
    </w:p>
    <w:p w14:paraId="513DD3E0" w14:textId="77777777" w:rsidR="00897A84" w:rsidRDefault="00B277D0">
      <w:pPr>
        <w:ind w:left="720"/>
        <w:jc w:val="both"/>
        <w:rPr>
          <w:b/>
        </w:rPr>
      </w:pPr>
      <w:r>
        <w:rPr>
          <w:b/>
        </w:rPr>
        <w:t>1.2 Williamson’s FEER</w:t>
      </w:r>
    </w:p>
    <w:p w14:paraId="4BF6186F" w14:textId="77777777" w:rsidR="00897A84" w:rsidRDefault="00B277D0">
      <w:pPr>
        <w:ind w:firstLine="720"/>
        <w:jc w:val="both"/>
      </w:pPr>
      <w:r>
        <w:t>FEER stands for “Fundamental Equilibrium Exchange Rate”, which describes that the exchange rate brings the current account into equality with underlying or sustainable capital accounts.</w:t>
      </w:r>
    </w:p>
    <w:p w14:paraId="3B142EEB" w14:textId="77777777" w:rsidR="00897A84" w:rsidRDefault="00897A84">
      <w:pPr>
        <w:ind w:left="720"/>
        <w:jc w:val="both"/>
      </w:pPr>
    </w:p>
    <w:p w14:paraId="1058C9FC" w14:textId="77777777" w:rsidR="00897A84" w:rsidRDefault="00B277D0">
      <w:pPr>
        <w:ind w:left="720"/>
        <w:jc w:val="both"/>
        <w:rPr>
          <w:b/>
        </w:rPr>
      </w:pPr>
      <w:r>
        <w:rPr>
          <w:b/>
        </w:rPr>
        <w:t xml:space="preserve">1.3 Stein’s NATREX   </w:t>
      </w:r>
    </w:p>
    <w:p w14:paraId="39498F81" w14:textId="77777777" w:rsidR="00897A84" w:rsidRDefault="00B277D0">
      <w:pPr>
        <w:ind w:firstLine="720"/>
        <w:jc w:val="both"/>
      </w:pPr>
      <w:r>
        <w:t>NATREX stands for “Natural Real Exchange Rate”,</w:t>
      </w:r>
      <w:r>
        <w:t xml:space="preserve"> which is specified to illustrate the interaction of economies, and therefore build an estimation on the exchange rate.</w:t>
      </w:r>
    </w:p>
    <w:p w14:paraId="5613223A" w14:textId="77777777" w:rsidR="00897A84" w:rsidRDefault="00897A84">
      <w:pPr>
        <w:ind w:left="720"/>
        <w:jc w:val="both"/>
        <w:rPr>
          <w:highlight w:val="yellow"/>
        </w:rPr>
      </w:pPr>
    </w:p>
    <w:p w14:paraId="3714E728" w14:textId="77777777" w:rsidR="00897A84" w:rsidRDefault="00B277D0">
      <w:pPr>
        <w:ind w:left="720"/>
        <w:jc w:val="both"/>
        <w:rPr>
          <w:b/>
        </w:rPr>
      </w:pPr>
      <w:r>
        <w:rPr>
          <w:b/>
        </w:rPr>
        <w:t>1.4 Edwards’s ERER</w:t>
      </w:r>
    </w:p>
    <w:p w14:paraId="37F4CC70" w14:textId="77777777" w:rsidR="00897A84" w:rsidRDefault="00B277D0">
      <w:pPr>
        <w:ind w:firstLine="720"/>
        <w:jc w:val="both"/>
      </w:pPr>
      <w:r>
        <w:lastRenderedPageBreak/>
        <w:t>ERER stands for “Equilibrium Real Exchange Rate”, is investigated by looking at the reduced forms implying a relationship between exchange rate and a few exogenous “fundamental” variables.</w:t>
      </w:r>
    </w:p>
    <w:p w14:paraId="4553B589" w14:textId="77777777" w:rsidR="00897A84" w:rsidRDefault="00897A84">
      <w:pPr>
        <w:ind w:left="720"/>
        <w:jc w:val="both"/>
      </w:pPr>
    </w:p>
    <w:p w14:paraId="3768223C" w14:textId="77777777" w:rsidR="00897A84" w:rsidRDefault="00B277D0">
      <w:pPr>
        <w:ind w:left="720"/>
        <w:jc w:val="both"/>
        <w:rPr>
          <w:b/>
        </w:rPr>
      </w:pPr>
      <w:r>
        <w:rPr>
          <w:b/>
        </w:rPr>
        <w:t>1.5 McDonald’s BEER</w:t>
      </w:r>
    </w:p>
    <w:p w14:paraId="30F62CFE" w14:textId="77777777" w:rsidR="00897A84" w:rsidRDefault="00897A84">
      <w:pPr>
        <w:ind w:firstLine="720"/>
        <w:jc w:val="both"/>
      </w:pPr>
    </w:p>
    <w:p w14:paraId="6F28D3E7" w14:textId="77777777" w:rsidR="00897A84" w:rsidRDefault="00B277D0">
      <w:pPr>
        <w:ind w:firstLine="720"/>
        <w:jc w:val="both"/>
      </w:pPr>
      <w:r>
        <w:t>BEER stands for “Behavioral Equilibrium Excha</w:t>
      </w:r>
      <w:r>
        <w:t>nge Rate”, it considers a measurement of misalignment that is different from the FEER, as it relates the deviation of actual exchange rate from the estimated equilibrium rate. And we will use BEER to estimate the equilibrium in this article.</w:t>
      </w:r>
    </w:p>
    <w:p w14:paraId="0C5637A3" w14:textId="77777777" w:rsidR="00897A84" w:rsidRDefault="00B277D0">
      <w:pPr>
        <w:numPr>
          <w:ilvl w:val="0"/>
          <w:numId w:val="2"/>
        </w:numPr>
        <w:spacing w:before="240" w:after="240"/>
        <w:rPr>
          <w:b/>
        </w:rPr>
      </w:pPr>
      <w:r>
        <w:rPr>
          <w:b/>
        </w:rPr>
        <w:t>Indicate macro</w:t>
      </w:r>
      <w:r>
        <w:rPr>
          <w:b/>
        </w:rPr>
        <w:t>economic variables used to determine the equilibrium FX.</w:t>
      </w:r>
    </w:p>
    <w:p w14:paraId="62A11F49" w14:textId="77777777" w:rsidR="00897A84" w:rsidRDefault="00B277D0">
      <w:pPr>
        <w:spacing w:before="240" w:after="240"/>
        <w:ind w:firstLine="720"/>
      </w:pPr>
      <w:r>
        <w:t>We follow Wang’s (2007) method to calculate the Equilibrium Exchange Rate of CNY and use the BEER method to determine the rate. The model is as following:</w:t>
      </w:r>
    </w:p>
    <w:p w14:paraId="5A3A20C4" w14:textId="77777777" w:rsidR="00897A84" w:rsidRDefault="00B277D0">
      <w:pPr>
        <w:spacing w:before="240" w:after="240"/>
        <w:ind w:left="2160" w:firstLine="720"/>
        <w:rPr>
          <w:i/>
        </w:rPr>
      </w:pPr>
      <w:r>
        <w:rPr>
          <w:b/>
          <w:i/>
        </w:rPr>
        <w:t xml:space="preserve">BEER = f(mon, res, tot, </w:t>
      </w:r>
      <w:proofErr w:type="spellStart"/>
      <w:r>
        <w:rPr>
          <w:b/>
          <w:i/>
        </w:rPr>
        <w:t>tnt</w:t>
      </w:r>
      <w:proofErr w:type="spellEnd"/>
      <w:r>
        <w:rPr>
          <w:b/>
          <w:i/>
        </w:rPr>
        <w:t xml:space="preserve">)        </w:t>
      </w:r>
      <w:r>
        <w:t xml:space="preserve">        </w:t>
      </w:r>
      <w:r>
        <w:t xml:space="preserve">                                                       </w:t>
      </w:r>
    </w:p>
    <w:p w14:paraId="0307D29A" w14:textId="77777777" w:rsidR="00897A84" w:rsidRDefault="00B277D0">
      <w:pPr>
        <w:spacing w:before="240" w:after="240"/>
        <w:ind w:firstLine="720"/>
        <w:rPr>
          <w:b/>
          <w:i/>
          <w:color w:val="3A3A3A"/>
          <w:sz w:val="46"/>
          <w:szCs w:val="46"/>
        </w:rPr>
      </w:pPr>
      <w:r>
        <w:rPr>
          <w:b/>
          <w:i/>
        </w:rPr>
        <w:t>BEER</w:t>
      </w:r>
      <w:r>
        <w:rPr>
          <w:i/>
        </w:rPr>
        <w:t>:</w:t>
      </w:r>
      <w:r>
        <w:t xml:space="preserve"> CNY’s effective exchange rate index from BIS is used as a real effective exchange rate(BEER). </w:t>
      </w:r>
    </w:p>
    <w:p w14:paraId="5E2717CA" w14:textId="77777777" w:rsidR="00897A84" w:rsidRDefault="00B277D0">
      <w:pPr>
        <w:spacing w:before="240" w:after="240"/>
        <w:ind w:firstLine="720"/>
      </w:pPr>
      <w:r>
        <w:rPr>
          <w:b/>
          <w:i/>
        </w:rPr>
        <w:t>mon</w:t>
      </w:r>
      <w:r>
        <w:rPr>
          <w:i/>
        </w:rPr>
        <w:t xml:space="preserve">: </w:t>
      </w:r>
      <w:r>
        <w:t>the money supply is indicated by M2 supply.</w:t>
      </w:r>
    </w:p>
    <w:p w14:paraId="1CC882EB" w14:textId="77777777" w:rsidR="00897A84" w:rsidRDefault="00B277D0">
      <w:pPr>
        <w:spacing w:before="240" w:after="240"/>
        <w:ind w:firstLine="720"/>
      </w:pPr>
      <w:r>
        <w:rPr>
          <w:b/>
          <w:i/>
        </w:rPr>
        <w:t>res</w:t>
      </w:r>
      <w:r>
        <w:rPr>
          <w:i/>
        </w:rPr>
        <w:t>:</w:t>
      </w:r>
      <w:r>
        <w:t xml:space="preserve"> the </w:t>
      </w:r>
      <w:proofErr w:type="spellStart"/>
      <w:r>
        <w:t>forgein</w:t>
      </w:r>
      <w:proofErr w:type="spellEnd"/>
      <w:r>
        <w:t xml:space="preserve"> exchange reserve is indicated by </w:t>
      </w:r>
      <w:r>
        <w:t xml:space="preserve">the total stock of net foreign assets. </w:t>
      </w:r>
    </w:p>
    <w:p w14:paraId="53533661" w14:textId="77777777" w:rsidR="00897A84" w:rsidRDefault="00B277D0">
      <w:pPr>
        <w:spacing w:before="240" w:after="240"/>
        <w:ind w:firstLine="720"/>
      </w:pPr>
      <w:r>
        <w:rPr>
          <w:b/>
          <w:i/>
        </w:rPr>
        <w:t>tot</w:t>
      </w:r>
      <w:r>
        <w:rPr>
          <w:b/>
        </w:rPr>
        <w:t xml:space="preserve"> </w:t>
      </w:r>
      <w:r>
        <w:t>: the terms of trade is indicated by the ratio of the export price index to the import price index.</w:t>
      </w:r>
    </w:p>
    <w:p w14:paraId="3A5A0C3E" w14:textId="77777777" w:rsidR="00897A84" w:rsidRDefault="00B277D0">
      <w:pPr>
        <w:spacing w:before="240" w:after="240"/>
        <w:ind w:firstLine="720"/>
      </w:pPr>
      <w:proofErr w:type="spellStart"/>
      <w:r>
        <w:rPr>
          <w:b/>
          <w:i/>
        </w:rPr>
        <w:t>tnt</w:t>
      </w:r>
      <w:proofErr w:type="spellEnd"/>
      <w:r>
        <w:t>: the relative of untradable to tradable goods is indicated by the ratio of the domestic consumer price index</w:t>
      </w:r>
      <w:r>
        <w:t xml:space="preserve"> to the domestic wholesale price index.</w:t>
      </w:r>
    </w:p>
    <w:p w14:paraId="2B947AAB" w14:textId="77777777" w:rsidR="00897A84" w:rsidRDefault="00B277D0">
      <w:pPr>
        <w:spacing w:before="240" w:after="240"/>
        <w:ind w:firstLine="720"/>
      </w:pPr>
      <w:r>
        <w:rPr>
          <w:b/>
          <w:i/>
        </w:rPr>
        <w:t xml:space="preserve">BEER </w:t>
      </w:r>
      <w:r>
        <w:t xml:space="preserve"> is accessed from BIS (</w:t>
      </w:r>
      <w:hyperlink r:id="rId30">
        <w:r>
          <w:rPr>
            <w:color w:val="1155CC"/>
            <w:u w:val="single"/>
          </w:rPr>
          <w:t>https://www.bis.org/statistics</w:t>
        </w:r>
      </w:hyperlink>
      <w:r>
        <w:t xml:space="preserve">), while </w:t>
      </w:r>
      <w:r>
        <w:rPr>
          <w:b/>
          <w:i/>
        </w:rPr>
        <w:t>mon</w:t>
      </w:r>
      <w:r>
        <w:rPr>
          <w:i/>
        </w:rPr>
        <w:t xml:space="preserve">, </w:t>
      </w:r>
      <w:r>
        <w:rPr>
          <w:b/>
          <w:i/>
        </w:rPr>
        <w:t>res</w:t>
      </w:r>
      <w:r>
        <w:rPr>
          <w:i/>
        </w:rPr>
        <w:t xml:space="preserve">, </w:t>
      </w:r>
      <w:r>
        <w:rPr>
          <w:b/>
          <w:i/>
        </w:rPr>
        <w:t xml:space="preserve">tot </w:t>
      </w:r>
      <w:r>
        <w:t xml:space="preserve">and </w:t>
      </w:r>
      <w:proofErr w:type="spellStart"/>
      <w:r>
        <w:rPr>
          <w:b/>
          <w:i/>
        </w:rPr>
        <w:t>tnt</w:t>
      </w:r>
      <w:proofErr w:type="spellEnd"/>
      <w:r>
        <w:rPr>
          <w:b/>
        </w:rPr>
        <w:t xml:space="preserve"> </w:t>
      </w:r>
      <w:r>
        <w:t xml:space="preserve">are  accessed from </w:t>
      </w:r>
      <w:proofErr w:type="spellStart"/>
      <w:r>
        <w:t>CEInet</w:t>
      </w:r>
      <w:proofErr w:type="spellEnd"/>
      <w:r>
        <w:t xml:space="preserve"> Statistics Database(</w:t>
      </w:r>
      <w:hyperlink r:id="rId31">
        <w:r>
          <w:rPr>
            <w:color w:val="1155CC"/>
            <w:u w:val="single"/>
          </w:rPr>
          <w:t>https://db.cei.cn/</w:t>
        </w:r>
      </w:hyperlink>
      <w:r>
        <w:t>).</w:t>
      </w:r>
    </w:p>
    <w:p w14:paraId="7A32CB48" w14:textId="77777777" w:rsidR="00897A84" w:rsidRDefault="00B277D0">
      <w:pPr>
        <w:numPr>
          <w:ilvl w:val="0"/>
          <w:numId w:val="2"/>
        </w:numPr>
        <w:spacing w:before="240" w:after="240"/>
        <w:rPr>
          <w:b/>
        </w:rPr>
      </w:pPr>
      <w:r>
        <w:rPr>
          <w:b/>
        </w:rPr>
        <w:t>The connection between linear regression and Vector Error Correction (VEC)</w:t>
      </w:r>
    </w:p>
    <w:p w14:paraId="09AD8F35" w14:textId="77777777" w:rsidR="00897A84" w:rsidRDefault="00B277D0">
      <w:pPr>
        <w:spacing w:before="240" w:after="240"/>
        <w:ind w:firstLine="720"/>
      </w:pPr>
      <w:r>
        <w:t>Linear regression is a statistics approach to reveal the relationship between dependent variable and independent variables.</w:t>
      </w:r>
    </w:p>
    <w:p w14:paraId="625B9614" w14:textId="77777777" w:rsidR="00897A84" w:rsidRDefault="00B277D0">
      <w:pPr>
        <w:spacing w:before="240" w:after="240"/>
        <w:ind w:firstLine="720"/>
      </w:pPr>
      <w:r>
        <w:t>Vector Error Correction (VEC) is an approach specifically to analyze multiple time series models, where the underlying variables hav</w:t>
      </w:r>
      <w:r>
        <w:t>e a long-term common trend, which is also called cointegrated.</w:t>
      </w:r>
    </w:p>
    <w:p w14:paraId="6E997573" w14:textId="77777777" w:rsidR="00897A84" w:rsidRDefault="00B277D0">
      <w:pPr>
        <w:spacing w:before="240" w:after="240"/>
        <w:ind w:firstLine="720"/>
      </w:pPr>
      <w:r>
        <w:t xml:space="preserve">Linear regression is a broader concept of modeling, it is the theory fundamental of the VEC model, which tries to discover a linear combination of one or a few time series data on another time </w:t>
      </w:r>
      <w:r>
        <w:t xml:space="preserve">series data set. </w:t>
      </w:r>
    </w:p>
    <w:p w14:paraId="103BA41B" w14:textId="77777777" w:rsidR="00897A84" w:rsidRDefault="00B277D0">
      <w:pPr>
        <w:numPr>
          <w:ilvl w:val="0"/>
          <w:numId w:val="2"/>
        </w:numPr>
        <w:spacing w:before="240" w:after="240"/>
        <w:rPr>
          <w:b/>
        </w:rPr>
      </w:pPr>
      <w:r>
        <w:rPr>
          <w:b/>
        </w:rPr>
        <w:lastRenderedPageBreak/>
        <w:t xml:space="preserve">Behavioral Equilibrium Exchange Rate (BEER) </w:t>
      </w:r>
    </w:p>
    <w:p w14:paraId="5B1365DD" w14:textId="77777777" w:rsidR="00897A84" w:rsidRDefault="00B277D0">
      <w:pPr>
        <w:spacing w:before="240" w:after="240"/>
        <w:ind w:firstLine="720"/>
        <w:rPr>
          <w:b/>
        </w:rPr>
      </w:pPr>
      <w:r>
        <w:rPr>
          <w:b/>
        </w:rPr>
        <w:t>4.1 VAR process</w:t>
      </w:r>
    </w:p>
    <w:p w14:paraId="1237C91F" w14:textId="77777777" w:rsidR="00897A84" w:rsidRDefault="00B277D0">
      <w:pPr>
        <w:spacing w:before="240" w:after="240"/>
        <w:ind w:firstLine="720"/>
      </w:pPr>
      <w:r>
        <w:t>We firstly test the unit root and transform the data into stationary series.</w:t>
      </w:r>
    </w:p>
    <w:tbl>
      <w:tblPr>
        <w:tblStyle w:val="a6"/>
        <w:tblW w:w="7605" w:type="dxa"/>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30"/>
        <w:gridCol w:w="2745"/>
        <w:gridCol w:w="2430"/>
      </w:tblGrid>
      <w:tr w:rsidR="00897A84" w14:paraId="27188800" w14:textId="77777777">
        <w:tc>
          <w:tcPr>
            <w:tcW w:w="2430" w:type="dxa"/>
            <w:shd w:val="clear" w:color="auto" w:fill="auto"/>
            <w:tcMar>
              <w:top w:w="100" w:type="dxa"/>
              <w:left w:w="100" w:type="dxa"/>
              <w:bottom w:w="100" w:type="dxa"/>
              <w:right w:w="100" w:type="dxa"/>
            </w:tcMar>
          </w:tcPr>
          <w:p w14:paraId="012B6B14" w14:textId="77777777" w:rsidR="00897A84" w:rsidRDefault="00B277D0">
            <w:pPr>
              <w:widowControl w:val="0"/>
              <w:pBdr>
                <w:top w:val="nil"/>
                <w:left w:val="nil"/>
                <w:bottom w:val="nil"/>
                <w:right w:val="nil"/>
                <w:between w:val="nil"/>
              </w:pBdr>
              <w:spacing w:line="240" w:lineRule="auto"/>
              <w:jc w:val="center"/>
              <w:rPr>
                <w:b/>
              </w:rPr>
            </w:pPr>
            <w:r>
              <w:rPr>
                <w:b/>
              </w:rPr>
              <w:t>Variable</w:t>
            </w:r>
          </w:p>
        </w:tc>
        <w:tc>
          <w:tcPr>
            <w:tcW w:w="2745" w:type="dxa"/>
            <w:shd w:val="clear" w:color="auto" w:fill="auto"/>
            <w:tcMar>
              <w:top w:w="100" w:type="dxa"/>
              <w:left w:w="100" w:type="dxa"/>
              <w:bottom w:w="100" w:type="dxa"/>
              <w:right w:w="100" w:type="dxa"/>
            </w:tcMar>
          </w:tcPr>
          <w:p w14:paraId="79B7964F" w14:textId="77777777" w:rsidR="00897A84" w:rsidRDefault="00B277D0">
            <w:pPr>
              <w:widowControl w:val="0"/>
              <w:pBdr>
                <w:top w:val="nil"/>
                <w:left w:val="nil"/>
                <w:bottom w:val="nil"/>
                <w:right w:val="nil"/>
                <w:between w:val="nil"/>
              </w:pBdr>
              <w:spacing w:line="240" w:lineRule="auto"/>
              <w:jc w:val="center"/>
              <w:rPr>
                <w:b/>
              </w:rPr>
            </w:pPr>
            <w:r>
              <w:rPr>
                <w:b/>
              </w:rPr>
              <w:t>Transform Operations*</w:t>
            </w:r>
          </w:p>
        </w:tc>
        <w:tc>
          <w:tcPr>
            <w:tcW w:w="2430" w:type="dxa"/>
            <w:shd w:val="clear" w:color="auto" w:fill="auto"/>
            <w:tcMar>
              <w:top w:w="100" w:type="dxa"/>
              <w:left w:w="100" w:type="dxa"/>
              <w:bottom w:w="100" w:type="dxa"/>
              <w:right w:w="100" w:type="dxa"/>
            </w:tcMar>
          </w:tcPr>
          <w:p w14:paraId="130E4FD0" w14:textId="77777777" w:rsidR="00897A84" w:rsidRDefault="00B277D0">
            <w:pPr>
              <w:widowControl w:val="0"/>
              <w:spacing w:line="240" w:lineRule="auto"/>
              <w:jc w:val="center"/>
              <w:rPr>
                <w:b/>
                <w:sz w:val="16"/>
                <w:szCs w:val="16"/>
              </w:rPr>
            </w:pPr>
            <w:r>
              <w:rPr>
                <w:b/>
              </w:rPr>
              <w:t>ADF-Test P-value</w:t>
            </w:r>
          </w:p>
        </w:tc>
      </w:tr>
      <w:tr w:rsidR="00897A84" w14:paraId="2C37B34A" w14:textId="77777777">
        <w:tc>
          <w:tcPr>
            <w:tcW w:w="2430" w:type="dxa"/>
            <w:shd w:val="clear" w:color="auto" w:fill="auto"/>
            <w:tcMar>
              <w:top w:w="100" w:type="dxa"/>
              <w:left w:w="100" w:type="dxa"/>
              <w:bottom w:w="100" w:type="dxa"/>
              <w:right w:w="100" w:type="dxa"/>
            </w:tcMar>
          </w:tcPr>
          <w:p w14:paraId="73262CA2" w14:textId="77777777" w:rsidR="00897A84" w:rsidRDefault="00B277D0">
            <w:pPr>
              <w:widowControl w:val="0"/>
              <w:pBdr>
                <w:top w:val="nil"/>
                <w:left w:val="nil"/>
                <w:bottom w:val="nil"/>
                <w:right w:val="nil"/>
                <w:between w:val="nil"/>
              </w:pBdr>
              <w:spacing w:line="240" w:lineRule="auto"/>
              <w:jc w:val="center"/>
              <w:rPr>
                <w:i/>
              </w:rPr>
            </w:pPr>
            <w:proofErr w:type="spellStart"/>
            <w:r>
              <w:rPr>
                <w:i/>
              </w:rPr>
              <w:t>tnt</w:t>
            </w:r>
            <w:proofErr w:type="spellEnd"/>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8B2B61" w14:textId="77777777" w:rsidR="00897A84" w:rsidRDefault="00B277D0">
            <w:pPr>
              <w:widowControl w:val="0"/>
              <w:pBdr>
                <w:top w:val="nil"/>
                <w:left w:val="nil"/>
                <w:bottom w:val="nil"/>
                <w:right w:val="nil"/>
                <w:between w:val="nil"/>
              </w:pBdr>
              <w:spacing w:line="240" w:lineRule="auto"/>
              <w:jc w:val="center"/>
            </w:pPr>
            <w:r>
              <w:t>diff(1)</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0BEAB3" w14:textId="77777777" w:rsidR="00897A84" w:rsidRDefault="00B277D0">
            <w:pPr>
              <w:widowControl w:val="0"/>
              <w:pBdr>
                <w:top w:val="nil"/>
                <w:left w:val="nil"/>
                <w:bottom w:val="nil"/>
                <w:right w:val="nil"/>
                <w:between w:val="nil"/>
              </w:pBdr>
              <w:spacing w:line="240" w:lineRule="auto"/>
              <w:jc w:val="center"/>
            </w:pPr>
            <w:r>
              <w:t>0.00%</w:t>
            </w:r>
          </w:p>
        </w:tc>
      </w:tr>
      <w:tr w:rsidR="00897A84" w14:paraId="42F706B6" w14:textId="77777777">
        <w:tc>
          <w:tcPr>
            <w:tcW w:w="2430" w:type="dxa"/>
            <w:shd w:val="clear" w:color="auto" w:fill="auto"/>
            <w:tcMar>
              <w:top w:w="100" w:type="dxa"/>
              <w:left w:w="100" w:type="dxa"/>
              <w:bottom w:w="100" w:type="dxa"/>
              <w:right w:w="100" w:type="dxa"/>
            </w:tcMar>
          </w:tcPr>
          <w:p w14:paraId="6FE5E4B0" w14:textId="77777777" w:rsidR="00897A84" w:rsidRDefault="00B277D0">
            <w:pPr>
              <w:widowControl w:val="0"/>
              <w:pBdr>
                <w:top w:val="nil"/>
                <w:left w:val="nil"/>
                <w:bottom w:val="nil"/>
                <w:right w:val="nil"/>
                <w:between w:val="nil"/>
              </w:pBdr>
              <w:spacing w:line="240" w:lineRule="auto"/>
              <w:jc w:val="center"/>
              <w:rPr>
                <w:i/>
              </w:rPr>
            </w:pPr>
            <w:r>
              <w:rPr>
                <w:i/>
              </w:rPr>
              <w:t>mon</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8326BA" w14:textId="77777777" w:rsidR="00897A84" w:rsidRDefault="00B277D0">
            <w:pPr>
              <w:widowControl w:val="0"/>
              <w:pBdr>
                <w:top w:val="nil"/>
                <w:left w:val="nil"/>
                <w:bottom w:val="nil"/>
                <w:right w:val="nil"/>
                <w:between w:val="nil"/>
              </w:pBdr>
              <w:spacing w:line="240" w:lineRule="auto"/>
              <w:jc w:val="center"/>
            </w:pPr>
            <w:proofErr w:type="spellStart"/>
            <w:r>
              <w:t>log.diff</w:t>
            </w:r>
            <w:proofErr w:type="spellEnd"/>
            <w:r>
              <w:t>(1).diff(12)</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7191E5" w14:textId="77777777" w:rsidR="00897A84" w:rsidRDefault="00B277D0">
            <w:pPr>
              <w:widowControl w:val="0"/>
              <w:pBdr>
                <w:top w:val="nil"/>
                <w:left w:val="nil"/>
                <w:bottom w:val="nil"/>
                <w:right w:val="nil"/>
                <w:between w:val="nil"/>
              </w:pBdr>
              <w:spacing w:line="240" w:lineRule="auto"/>
              <w:jc w:val="center"/>
            </w:pPr>
            <w:r>
              <w:t>0.01%</w:t>
            </w:r>
          </w:p>
        </w:tc>
      </w:tr>
      <w:tr w:rsidR="00897A84" w14:paraId="09CAA486" w14:textId="77777777">
        <w:tc>
          <w:tcPr>
            <w:tcW w:w="2430" w:type="dxa"/>
            <w:shd w:val="clear" w:color="auto" w:fill="auto"/>
            <w:tcMar>
              <w:top w:w="100" w:type="dxa"/>
              <w:left w:w="100" w:type="dxa"/>
              <w:bottom w:w="100" w:type="dxa"/>
              <w:right w:w="100" w:type="dxa"/>
            </w:tcMar>
          </w:tcPr>
          <w:p w14:paraId="19C94C29" w14:textId="77777777" w:rsidR="00897A84" w:rsidRDefault="00B277D0">
            <w:pPr>
              <w:widowControl w:val="0"/>
              <w:pBdr>
                <w:top w:val="nil"/>
                <w:left w:val="nil"/>
                <w:bottom w:val="nil"/>
                <w:right w:val="nil"/>
                <w:between w:val="nil"/>
              </w:pBdr>
              <w:spacing w:line="240" w:lineRule="auto"/>
              <w:jc w:val="center"/>
              <w:rPr>
                <w:i/>
              </w:rPr>
            </w:pPr>
            <w:r>
              <w:rPr>
                <w:i/>
              </w:rPr>
              <w:t>res</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7B84C7" w14:textId="77777777" w:rsidR="00897A84" w:rsidRDefault="00B277D0">
            <w:pPr>
              <w:widowControl w:val="0"/>
              <w:spacing w:line="240" w:lineRule="auto"/>
              <w:jc w:val="center"/>
            </w:pPr>
            <w:proofErr w:type="spellStart"/>
            <w:r>
              <w:t>log.diff</w:t>
            </w:r>
            <w:proofErr w:type="spellEnd"/>
            <w:r>
              <w:t>(1).diff(12)</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A1B5DC" w14:textId="77777777" w:rsidR="00897A84" w:rsidRDefault="00B277D0">
            <w:pPr>
              <w:widowControl w:val="0"/>
              <w:pBdr>
                <w:top w:val="nil"/>
                <w:left w:val="nil"/>
                <w:bottom w:val="nil"/>
                <w:right w:val="nil"/>
                <w:between w:val="nil"/>
              </w:pBdr>
              <w:spacing w:line="240" w:lineRule="auto"/>
              <w:jc w:val="center"/>
            </w:pPr>
            <w:r>
              <w:t>0.29%</w:t>
            </w:r>
          </w:p>
        </w:tc>
      </w:tr>
      <w:tr w:rsidR="00897A84" w14:paraId="4489F76D" w14:textId="77777777">
        <w:tc>
          <w:tcPr>
            <w:tcW w:w="2430" w:type="dxa"/>
            <w:shd w:val="clear" w:color="auto" w:fill="auto"/>
            <w:tcMar>
              <w:top w:w="100" w:type="dxa"/>
              <w:left w:w="100" w:type="dxa"/>
              <w:bottom w:w="100" w:type="dxa"/>
              <w:right w:w="100" w:type="dxa"/>
            </w:tcMar>
          </w:tcPr>
          <w:p w14:paraId="3E1655DD" w14:textId="77777777" w:rsidR="00897A84" w:rsidRDefault="00B277D0">
            <w:pPr>
              <w:widowControl w:val="0"/>
              <w:pBdr>
                <w:top w:val="nil"/>
                <w:left w:val="nil"/>
                <w:bottom w:val="nil"/>
                <w:right w:val="nil"/>
                <w:between w:val="nil"/>
              </w:pBdr>
              <w:spacing w:line="240" w:lineRule="auto"/>
              <w:jc w:val="center"/>
              <w:rPr>
                <w:i/>
              </w:rPr>
            </w:pPr>
            <w:r>
              <w:rPr>
                <w:i/>
              </w:rPr>
              <w:t>tot</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E8C710" w14:textId="77777777" w:rsidR="00897A84" w:rsidRDefault="00B277D0">
            <w:pPr>
              <w:widowControl w:val="0"/>
              <w:spacing w:line="240" w:lineRule="auto"/>
              <w:jc w:val="center"/>
            </w:pPr>
            <w:r>
              <w:t>-</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29B176" w14:textId="77777777" w:rsidR="00897A84" w:rsidRDefault="00B277D0">
            <w:pPr>
              <w:widowControl w:val="0"/>
              <w:pBdr>
                <w:top w:val="nil"/>
                <w:left w:val="nil"/>
                <w:bottom w:val="nil"/>
                <w:right w:val="nil"/>
                <w:between w:val="nil"/>
              </w:pBdr>
              <w:spacing w:line="240" w:lineRule="auto"/>
              <w:jc w:val="center"/>
            </w:pPr>
            <w:r>
              <w:t>0.15%</w:t>
            </w:r>
          </w:p>
        </w:tc>
      </w:tr>
      <w:tr w:rsidR="00897A84" w14:paraId="3CFE7EB8" w14:textId="77777777">
        <w:tc>
          <w:tcPr>
            <w:tcW w:w="2430" w:type="dxa"/>
            <w:shd w:val="clear" w:color="auto" w:fill="auto"/>
            <w:tcMar>
              <w:top w:w="100" w:type="dxa"/>
              <w:left w:w="100" w:type="dxa"/>
              <w:bottom w:w="100" w:type="dxa"/>
              <w:right w:w="100" w:type="dxa"/>
            </w:tcMar>
          </w:tcPr>
          <w:p w14:paraId="7BE5D84D" w14:textId="77777777" w:rsidR="00897A84" w:rsidRDefault="00B277D0">
            <w:pPr>
              <w:widowControl w:val="0"/>
              <w:pBdr>
                <w:top w:val="nil"/>
                <w:left w:val="nil"/>
                <w:bottom w:val="nil"/>
                <w:right w:val="nil"/>
                <w:between w:val="nil"/>
              </w:pBdr>
              <w:spacing w:line="240" w:lineRule="auto"/>
              <w:jc w:val="center"/>
              <w:rPr>
                <w:i/>
              </w:rPr>
            </w:pPr>
            <w:r>
              <w:rPr>
                <w:i/>
              </w:rPr>
              <w:t>beer</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A7FBA8" w14:textId="77777777" w:rsidR="00897A84" w:rsidRDefault="00B277D0">
            <w:pPr>
              <w:widowControl w:val="0"/>
              <w:spacing w:line="240" w:lineRule="auto"/>
              <w:jc w:val="center"/>
            </w:pPr>
            <w:r>
              <w:t>diff(1)</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E3546" w14:textId="77777777" w:rsidR="00897A84" w:rsidRDefault="00B277D0">
            <w:pPr>
              <w:widowControl w:val="0"/>
              <w:spacing w:line="240" w:lineRule="auto"/>
              <w:jc w:val="center"/>
            </w:pPr>
            <w:r>
              <w:t>0.00%</w:t>
            </w:r>
          </w:p>
        </w:tc>
      </w:tr>
    </w:tbl>
    <w:p w14:paraId="0A502CD8" w14:textId="77777777" w:rsidR="00897A84" w:rsidRDefault="00B277D0">
      <w:pPr>
        <w:spacing w:before="240" w:after="240"/>
        <w:rPr>
          <w:b/>
          <w:i/>
          <w:sz w:val="18"/>
          <w:szCs w:val="18"/>
        </w:rPr>
      </w:pPr>
      <w:r>
        <w:tab/>
      </w:r>
      <w:r>
        <w:rPr>
          <w:b/>
          <w:i/>
          <w:sz w:val="18"/>
          <w:szCs w:val="18"/>
        </w:rPr>
        <w:t>* This process might “throws away” all level information, but VAR approach requires stationary series.</w:t>
      </w:r>
    </w:p>
    <w:p w14:paraId="40D4FF55" w14:textId="77777777" w:rsidR="00897A84" w:rsidRDefault="00B277D0">
      <w:pPr>
        <w:spacing w:before="240" w:after="240"/>
        <w:ind w:firstLine="720"/>
      </w:pPr>
      <w:r>
        <w:t>Plot the transformed data:</w:t>
      </w:r>
    </w:p>
    <w:p w14:paraId="465447CE" w14:textId="77777777" w:rsidR="00897A84" w:rsidRDefault="00B277D0">
      <w:pPr>
        <w:spacing w:before="240" w:after="240"/>
        <w:ind w:firstLine="720"/>
      </w:pPr>
      <w:r>
        <w:rPr>
          <w:noProof/>
        </w:rPr>
        <w:drawing>
          <wp:inline distT="114300" distB="114300" distL="114300" distR="114300" wp14:anchorId="60FB8CAD" wp14:editId="2D50BD10">
            <wp:extent cx="4628278" cy="246486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4628278" cy="2464868"/>
                    </a:xfrm>
                    <a:prstGeom prst="rect">
                      <a:avLst/>
                    </a:prstGeom>
                    <a:ln/>
                  </pic:spPr>
                </pic:pic>
              </a:graphicData>
            </a:graphic>
          </wp:inline>
        </w:drawing>
      </w:r>
    </w:p>
    <w:p w14:paraId="2A538134" w14:textId="77777777" w:rsidR="00897A84" w:rsidRDefault="00B277D0">
      <w:pPr>
        <w:spacing w:before="240" w:after="240"/>
        <w:ind w:firstLine="720"/>
      </w:pPr>
      <w:r>
        <w:t>Search for the optimal order for VAR and the result suggests VAR(1).</w:t>
      </w:r>
    </w:p>
    <w:p w14:paraId="609079C9" w14:textId="77777777" w:rsidR="00897A84" w:rsidRDefault="00B277D0">
      <w:pPr>
        <w:spacing w:before="240" w:after="240"/>
        <w:ind w:firstLine="720"/>
        <w:jc w:val="center"/>
      </w:pPr>
      <w:r>
        <w:rPr>
          <w:noProof/>
        </w:rPr>
        <w:lastRenderedPageBreak/>
        <w:drawing>
          <wp:inline distT="114300" distB="114300" distL="114300" distR="114300" wp14:anchorId="0D71DE17" wp14:editId="6461D293">
            <wp:extent cx="2638425" cy="20383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638425" cy="2038350"/>
                    </a:xfrm>
                    <a:prstGeom prst="rect">
                      <a:avLst/>
                    </a:prstGeom>
                    <a:ln/>
                  </pic:spPr>
                </pic:pic>
              </a:graphicData>
            </a:graphic>
          </wp:inline>
        </w:drawing>
      </w:r>
    </w:p>
    <w:p w14:paraId="219D0251" w14:textId="77777777" w:rsidR="00897A84" w:rsidRDefault="00B277D0">
      <w:pPr>
        <w:spacing w:before="240" w:after="240"/>
        <w:ind w:firstLine="720"/>
        <w:jc w:val="both"/>
      </w:pPr>
      <w:r>
        <w:t>Fit the model, and show the result:</w:t>
      </w:r>
    </w:p>
    <w:p w14:paraId="1F6E9F4A" w14:textId="77777777" w:rsidR="00897A84" w:rsidRDefault="00B277D0">
      <w:pPr>
        <w:spacing w:before="240" w:after="240"/>
        <w:ind w:firstLine="720"/>
        <w:jc w:val="center"/>
      </w:pPr>
      <w:r>
        <w:rPr>
          <w:noProof/>
        </w:rPr>
        <w:drawing>
          <wp:inline distT="114300" distB="114300" distL="114300" distR="114300" wp14:anchorId="17D8306A" wp14:editId="5BC61245">
            <wp:extent cx="4562864" cy="174783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4562864" cy="1747838"/>
                    </a:xfrm>
                    <a:prstGeom prst="rect">
                      <a:avLst/>
                    </a:prstGeom>
                    <a:ln/>
                  </pic:spPr>
                </pic:pic>
              </a:graphicData>
            </a:graphic>
          </wp:inline>
        </w:drawing>
      </w:r>
    </w:p>
    <w:p w14:paraId="71E1A6C2" w14:textId="77777777" w:rsidR="00897A84" w:rsidRDefault="00B277D0">
      <w:pPr>
        <w:spacing w:before="240" w:after="240"/>
        <w:ind w:firstLine="720"/>
        <w:jc w:val="center"/>
      </w:pPr>
      <w:r>
        <w:rPr>
          <w:noProof/>
        </w:rPr>
        <w:drawing>
          <wp:inline distT="114300" distB="114300" distL="114300" distR="114300" wp14:anchorId="58B7D102" wp14:editId="1EDA21CE">
            <wp:extent cx="4610100" cy="1500179"/>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610100" cy="1500179"/>
                    </a:xfrm>
                    <a:prstGeom prst="rect">
                      <a:avLst/>
                    </a:prstGeom>
                    <a:ln/>
                  </pic:spPr>
                </pic:pic>
              </a:graphicData>
            </a:graphic>
          </wp:inline>
        </w:drawing>
      </w:r>
    </w:p>
    <w:p w14:paraId="78C74840" w14:textId="77777777" w:rsidR="00897A84" w:rsidRDefault="00B277D0">
      <w:pPr>
        <w:spacing w:before="240" w:after="240"/>
        <w:ind w:firstLine="720"/>
        <w:jc w:val="both"/>
      </w:pPr>
      <w:r>
        <w:t>Draw the diagnostics plot for the residual:</w:t>
      </w:r>
    </w:p>
    <w:p w14:paraId="102BAF1F" w14:textId="77777777" w:rsidR="00897A84" w:rsidRDefault="00B277D0">
      <w:pPr>
        <w:spacing w:before="240" w:after="240"/>
        <w:ind w:firstLine="720"/>
      </w:pPr>
      <w:r>
        <w:rPr>
          <w:noProof/>
        </w:rPr>
        <w:lastRenderedPageBreak/>
        <w:drawing>
          <wp:inline distT="114300" distB="114300" distL="114300" distR="114300" wp14:anchorId="314F9AC7" wp14:editId="55F18DF2">
            <wp:extent cx="5324152" cy="301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324152" cy="3010900"/>
                    </a:xfrm>
                    <a:prstGeom prst="rect">
                      <a:avLst/>
                    </a:prstGeom>
                    <a:ln/>
                  </pic:spPr>
                </pic:pic>
              </a:graphicData>
            </a:graphic>
          </wp:inline>
        </w:drawing>
      </w:r>
    </w:p>
    <w:p w14:paraId="76E9F314" w14:textId="77777777" w:rsidR="00897A84" w:rsidRDefault="00B277D0">
      <w:pPr>
        <w:spacing w:before="240" w:after="240"/>
        <w:ind w:firstLine="720"/>
      </w:pPr>
      <w:r>
        <w:t>Impulse-Response Analysis with 6 steps:</w:t>
      </w:r>
    </w:p>
    <w:p w14:paraId="081F36A9" w14:textId="77777777" w:rsidR="00897A84" w:rsidRDefault="00B277D0">
      <w:pPr>
        <w:spacing w:before="240" w:after="240"/>
        <w:ind w:firstLine="720"/>
      </w:pPr>
      <w:r>
        <w:rPr>
          <w:noProof/>
        </w:rPr>
        <w:drawing>
          <wp:inline distT="114300" distB="114300" distL="114300" distR="114300" wp14:anchorId="2EDF6BF6" wp14:editId="4C3D772F">
            <wp:extent cx="4976813" cy="2405605"/>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976813" cy="2405605"/>
                    </a:xfrm>
                    <a:prstGeom prst="rect">
                      <a:avLst/>
                    </a:prstGeom>
                    <a:ln/>
                  </pic:spPr>
                </pic:pic>
              </a:graphicData>
            </a:graphic>
          </wp:inline>
        </w:drawing>
      </w:r>
    </w:p>
    <w:p w14:paraId="3080B68E" w14:textId="77777777" w:rsidR="00897A84" w:rsidRDefault="00B277D0">
      <w:pPr>
        <w:spacing w:before="240" w:after="240"/>
        <w:ind w:firstLine="720"/>
      </w:pPr>
      <w:r>
        <w:t xml:space="preserve">We make a forecast with 12 steps and plot the actual and </w:t>
      </w:r>
      <w:r>
        <w:t>predicted data in recent 50 month.</w:t>
      </w:r>
    </w:p>
    <w:p w14:paraId="54E83229" w14:textId="77777777" w:rsidR="00897A84" w:rsidRDefault="00B277D0">
      <w:pPr>
        <w:spacing w:before="240" w:after="240"/>
        <w:ind w:firstLine="720"/>
      </w:pPr>
      <w:r>
        <w:rPr>
          <w:noProof/>
        </w:rPr>
        <w:lastRenderedPageBreak/>
        <w:drawing>
          <wp:inline distT="114300" distB="114300" distL="114300" distR="114300" wp14:anchorId="6D123677" wp14:editId="6EC05EC0">
            <wp:extent cx="4929188" cy="28194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929188" cy="2819400"/>
                    </a:xfrm>
                    <a:prstGeom prst="rect">
                      <a:avLst/>
                    </a:prstGeom>
                    <a:ln/>
                  </pic:spPr>
                </pic:pic>
              </a:graphicData>
            </a:graphic>
          </wp:inline>
        </w:drawing>
      </w:r>
    </w:p>
    <w:p w14:paraId="6AD94128" w14:textId="77777777" w:rsidR="00897A84" w:rsidRDefault="00B277D0">
      <w:pPr>
        <w:spacing w:before="240" w:after="240"/>
        <w:ind w:firstLine="720"/>
        <w:rPr>
          <w:b/>
        </w:rPr>
      </w:pPr>
      <w:r>
        <w:rPr>
          <w:b/>
        </w:rPr>
        <w:t xml:space="preserve">4.2  Johansen Test and VECM </w:t>
      </w:r>
    </w:p>
    <w:p w14:paraId="2BA59BCF" w14:textId="77777777" w:rsidR="00897A84" w:rsidRDefault="00B277D0">
      <w:pPr>
        <w:spacing w:before="240" w:after="240"/>
        <w:ind w:firstLine="720"/>
        <w:jc w:val="both"/>
      </w:pPr>
      <w:r>
        <w:t>In order to fit a VECM model, we need to determine the number of cointegrating relationships using a VEC rank test. The test shows that there is 1 cointegrating vector, which means a VECM (V</w:t>
      </w:r>
      <w:r>
        <w:t>ector Error Correction Model) is a suitable choice for further analysis. VECM can adjust to both short run changes in variables and deviations from equilibrium.</w:t>
      </w:r>
    </w:p>
    <w:p w14:paraId="0B572CD8" w14:textId="77777777" w:rsidR="00897A84" w:rsidRDefault="00B277D0">
      <w:pPr>
        <w:spacing w:before="240" w:after="240"/>
        <w:ind w:firstLine="720"/>
        <w:jc w:val="both"/>
      </w:pPr>
      <w:r>
        <w:rPr>
          <w:noProof/>
        </w:rPr>
        <w:drawing>
          <wp:inline distT="114300" distB="114300" distL="114300" distR="114300" wp14:anchorId="64FFDEC3" wp14:editId="4711D826">
            <wp:extent cx="5001828" cy="789262"/>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001828" cy="789262"/>
                    </a:xfrm>
                    <a:prstGeom prst="rect">
                      <a:avLst/>
                    </a:prstGeom>
                    <a:ln/>
                  </pic:spPr>
                </pic:pic>
              </a:graphicData>
            </a:graphic>
          </wp:inline>
        </w:drawing>
      </w:r>
    </w:p>
    <w:p w14:paraId="2A600960" w14:textId="77777777" w:rsidR="00897A84" w:rsidRDefault="00B277D0">
      <w:pPr>
        <w:spacing w:before="240" w:after="240"/>
        <w:ind w:firstLine="720"/>
        <w:jc w:val="both"/>
      </w:pPr>
      <w:r>
        <w:t>We fit a VECM model and make a forecast plot.</w:t>
      </w:r>
    </w:p>
    <w:p w14:paraId="4154767A" w14:textId="77777777" w:rsidR="00897A84" w:rsidRDefault="00B277D0">
      <w:pPr>
        <w:spacing w:before="240" w:after="240"/>
        <w:ind w:firstLine="720"/>
        <w:jc w:val="both"/>
      </w:pPr>
      <w:r>
        <w:rPr>
          <w:noProof/>
        </w:rPr>
        <w:drawing>
          <wp:inline distT="114300" distB="114300" distL="114300" distR="114300" wp14:anchorId="129E0692" wp14:editId="536EBD92">
            <wp:extent cx="5005388" cy="55348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005388" cy="553480"/>
                    </a:xfrm>
                    <a:prstGeom prst="rect">
                      <a:avLst/>
                    </a:prstGeom>
                    <a:ln/>
                  </pic:spPr>
                </pic:pic>
              </a:graphicData>
            </a:graphic>
          </wp:inline>
        </w:drawing>
      </w:r>
    </w:p>
    <w:p w14:paraId="6051EE8D" w14:textId="77777777" w:rsidR="00897A84" w:rsidRDefault="00B277D0">
      <w:pPr>
        <w:spacing w:before="240" w:after="240"/>
        <w:ind w:firstLine="720"/>
        <w:jc w:val="both"/>
      </w:pPr>
      <w:r>
        <w:rPr>
          <w:noProof/>
        </w:rPr>
        <w:lastRenderedPageBreak/>
        <w:drawing>
          <wp:inline distT="114300" distB="114300" distL="114300" distR="114300" wp14:anchorId="5A6B5C29" wp14:editId="63BB6DBB">
            <wp:extent cx="4995863" cy="28575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4995863" cy="2857500"/>
                    </a:xfrm>
                    <a:prstGeom prst="rect">
                      <a:avLst/>
                    </a:prstGeom>
                    <a:ln/>
                  </pic:spPr>
                </pic:pic>
              </a:graphicData>
            </a:graphic>
          </wp:inline>
        </w:drawing>
      </w:r>
    </w:p>
    <w:p w14:paraId="423974F5" w14:textId="77777777" w:rsidR="00897A84" w:rsidRDefault="00897A84">
      <w:pPr>
        <w:spacing w:before="240" w:after="240"/>
        <w:ind w:firstLine="720"/>
      </w:pPr>
    </w:p>
    <w:p w14:paraId="3148BDC3" w14:textId="77777777" w:rsidR="00897A84" w:rsidRDefault="00897A84">
      <w:pPr>
        <w:spacing w:before="240" w:after="240"/>
        <w:ind w:firstLine="720"/>
      </w:pPr>
    </w:p>
    <w:p w14:paraId="4EA4A4C0" w14:textId="77777777" w:rsidR="00897A84" w:rsidRDefault="00B277D0">
      <w:pPr>
        <w:spacing w:before="240" w:after="240"/>
        <w:ind w:firstLine="720"/>
        <w:rPr>
          <w:b/>
        </w:rPr>
      </w:pPr>
      <w:r>
        <w:rPr>
          <w:b/>
        </w:rPr>
        <w:t>4.3 Conclusion</w:t>
      </w:r>
    </w:p>
    <w:p w14:paraId="1D513B75" w14:textId="77777777" w:rsidR="00897A84" w:rsidRDefault="00B277D0">
      <w:pPr>
        <w:spacing w:before="240" w:after="240"/>
        <w:ind w:firstLine="720"/>
      </w:pPr>
      <w:r>
        <w:t>We compared the sum of squared error for VAR and VECM fitted by transformed data and the result shows that VAR performs better in forecasting. However, VECM has a wider range application, because it does not require all series to be stationary.</w:t>
      </w:r>
      <w:r>
        <w:rPr>
          <w:noProof/>
        </w:rPr>
        <w:drawing>
          <wp:anchor distT="114300" distB="114300" distL="114300" distR="114300" simplePos="0" relativeHeight="251659264" behindDoc="0" locked="0" layoutInCell="1" hidden="0" allowOverlap="1" wp14:anchorId="286D7ACC" wp14:editId="0B0CB21D">
            <wp:simplePos x="0" y="0"/>
            <wp:positionH relativeFrom="column">
              <wp:posOffset>1890713</wp:posOffset>
            </wp:positionH>
            <wp:positionV relativeFrom="paragraph">
              <wp:posOffset>685800</wp:posOffset>
            </wp:positionV>
            <wp:extent cx="2158928" cy="2044799"/>
            <wp:effectExtent l="0" t="0" r="0" b="0"/>
            <wp:wrapTopAndBottom distT="114300" distB="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2158928" cy="2044799"/>
                    </a:xfrm>
                    <a:prstGeom prst="rect">
                      <a:avLst/>
                    </a:prstGeom>
                    <a:ln/>
                  </pic:spPr>
                </pic:pic>
              </a:graphicData>
            </a:graphic>
          </wp:anchor>
        </w:drawing>
      </w:r>
    </w:p>
    <w:p w14:paraId="5062CBF3" w14:textId="77777777" w:rsidR="00897A84" w:rsidRDefault="00B277D0">
      <w:pPr>
        <w:spacing w:before="240" w:after="240"/>
      </w:pPr>
      <w:r>
        <w:t xml:space="preserve"> </w:t>
      </w:r>
    </w:p>
    <w:p w14:paraId="7936F7F3" w14:textId="77777777" w:rsidR="00897A84" w:rsidRDefault="00B277D0">
      <w:pPr>
        <w:spacing w:before="240" w:after="240"/>
      </w:pPr>
      <w:r>
        <w:rPr>
          <w:b/>
        </w:rPr>
        <w:t>Reference:</w:t>
      </w:r>
    </w:p>
    <w:p w14:paraId="4CD31AD7" w14:textId="77777777" w:rsidR="00897A84" w:rsidRDefault="00B277D0">
      <w:pPr>
        <w:spacing w:before="240" w:after="240"/>
      </w:pPr>
      <w:r>
        <w:t>Clark, P.B., MacDonald, R. Exchange Rates and Economic Fundamentals: A Methodological Comparison of BEERs and FEERs[R]. IMF Working paper. 1998,No.67.</w:t>
      </w:r>
    </w:p>
    <w:p w14:paraId="59B983CB" w14:textId="77777777" w:rsidR="00897A84" w:rsidRDefault="00B277D0">
      <w:pPr>
        <w:spacing w:before="240" w:after="240"/>
      </w:pPr>
      <w:r>
        <w:lastRenderedPageBreak/>
        <w:t>Edwards, S. Real Exchange Rates in Developing Countries: Concepts and Measurement[R]. NBER Wor</w:t>
      </w:r>
      <w:r>
        <w:t>king Paper 1989,No. 2950.</w:t>
      </w:r>
    </w:p>
    <w:p w14:paraId="3D01ECD8" w14:textId="77777777" w:rsidR="00897A84" w:rsidRDefault="00B277D0">
      <w:pPr>
        <w:spacing w:before="240" w:after="240"/>
      </w:pPr>
      <w:r>
        <w:t>L. E. and Montiel, P. J. ( ed. ) , Exchange Rate Misalignment: Concepts and Measurement for Developing Countries [M]. Oxford University Press. 1999.</w:t>
      </w:r>
    </w:p>
    <w:p w14:paraId="0DE7FC1B" w14:textId="77777777" w:rsidR="00897A84" w:rsidRDefault="00B277D0">
      <w:pPr>
        <w:spacing w:before="240" w:after="240"/>
      </w:pPr>
      <w:r>
        <w:t>MacDonald, R. What Determines Real Exchange Rates? The Long and Short of It[R]. I</w:t>
      </w:r>
      <w:r>
        <w:t>MF Working Paper,1997,No.21.</w:t>
      </w:r>
    </w:p>
    <w:p w14:paraId="17BF3EED" w14:textId="77777777" w:rsidR="00897A84" w:rsidRDefault="00B277D0">
      <w:pPr>
        <w:spacing w:before="240" w:after="240"/>
      </w:pPr>
      <w:r>
        <w:t>Montiel. P. J. The Long - Run Equilibrium Real Exchange Rate: Conceptual Issues and Empirical Research, In Hinkle,</w:t>
      </w:r>
    </w:p>
    <w:p w14:paraId="1EDDB688" w14:textId="77777777" w:rsidR="00897A84" w:rsidRDefault="00B277D0">
      <w:pPr>
        <w:spacing w:before="240" w:after="240"/>
      </w:pPr>
      <w:r>
        <w:t xml:space="preserve">Wang, </w:t>
      </w:r>
      <w:proofErr w:type="spellStart"/>
      <w:r>
        <w:t>Yajie</w:t>
      </w:r>
      <w:proofErr w:type="spellEnd"/>
      <w:r>
        <w:t xml:space="preserve">, </w:t>
      </w:r>
      <w:proofErr w:type="spellStart"/>
      <w:r>
        <w:t>etc</w:t>
      </w:r>
      <w:proofErr w:type="spellEnd"/>
      <w:r>
        <w:t xml:space="preserve">, Estimating renminbi (RMB) equilibrium exchange </w:t>
      </w:r>
      <w:proofErr w:type="spellStart"/>
      <w:r>
        <w:t>rate,</w:t>
      </w:r>
      <w:hyperlink r:id="rId43">
        <w:r>
          <w:t>Journal</w:t>
        </w:r>
        <w:proofErr w:type="spellEnd"/>
        <w:r>
          <w:t xml:space="preserve"> of Policy Modeling</w:t>
        </w:r>
      </w:hyperlink>
      <w:r>
        <w:t xml:space="preserve">, </w:t>
      </w:r>
      <w:hyperlink r:id="rId44">
        <w:r>
          <w:t>Volume 29, Issue 3</w:t>
        </w:r>
      </w:hyperlink>
      <w:r>
        <w:t>, May–June 2007, Pages 417-429</w:t>
      </w:r>
    </w:p>
    <w:p w14:paraId="18B60A92" w14:textId="77777777" w:rsidR="00897A84" w:rsidRDefault="00897A84">
      <w:pPr>
        <w:spacing w:before="240" w:after="240"/>
      </w:pPr>
    </w:p>
    <w:p w14:paraId="1AC0546A" w14:textId="77777777" w:rsidR="00897A84" w:rsidRDefault="00897A84">
      <w:pPr>
        <w:spacing w:before="240" w:after="240"/>
        <w:rPr>
          <w:color w:val="2E2E2E"/>
          <w:sz w:val="21"/>
          <w:szCs w:val="21"/>
        </w:rPr>
      </w:pPr>
    </w:p>
    <w:p w14:paraId="5F732406" w14:textId="77777777" w:rsidR="00897A84" w:rsidRDefault="00B277D0">
      <w:pPr>
        <w:spacing w:before="240" w:after="240"/>
        <w:rPr>
          <w:rFonts w:ascii="Georgia" w:eastAsia="Georgia" w:hAnsi="Georgia" w:cs="Georgia"/>
          <w:color w:val="505050"/>
          <w:sz w:val="46"/>
          <w:szCs w:val="46"/>
        </w:rPr>
      </w:pPr>
      <w:r>
        <w:t xml:space="preserve"> </w:t>
      </w:r>
    </w:p>
    <w:p w14:paraId="5F39D8E3" w14:textId="77777777" w:rsidR="00897A84" w:rsidRDefault="00897A84">
      <w:pPr>
        <w:spacing w:before="240" w:after="240"/>
        <w:ind w:left="720"/>
        <w:rPr>
          <w:b/>
        </w:rPr>
      </w:pPr>
    </w:p>
    <w:p w14:paraId="49426D15" w14:textId="77777777" w:rsidR="00897A84" w:rsidRDefault="00897A84">
      <w:pPr>
        <w:ind w:left="720"/>
        <w:jc w:val="both"/>
        <w:rPr>
          <w:b/>
        </w:rPr>
      </w:pPr>
    </w:p>
    <w:p w14:paraId="145F98B2" w14:textId="77777777" w:rsidR="00897A84" w:rsidRDefault="00897A84">
      <w:pPr>
        <w:jc w:val="both"/>
      </w:pPr>
    </w:p>
    <w:p w14:paraId="3271A4E1" w14:textId="77777777" w:rsidR="00897A84" w:rsidRDefault="00897A84">
      <w:pPr>
        <w:jc w:val="both"/>
      </w:pPr>
    </w:p>
    <w:p w14:paraId="4CCF18C4" w14:textId="77777777" w:rsidR="00897A84" w:rsidRDefault="00897A84">
      <w:pPr>
        <w:jc w:val="both"/>
      </w:pPr>
    </w:p>
    <w:sectPr w:rsidR="00897A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B434E"/>
    <w:multiLevelType w:val="multilevel"/>
    <w:tmpl w:val="B8728B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E1C6914"/>
    <w:multiLevelType w:val="multilevel"/>
    <w:tmpl w:val="EE225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49E2834"/>
    <w:multiLevelType w:val="multilevel"/>
    <w:tmpl w:val="2242C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B514EB"/>
    <w:multiLevelType w:val="multilevel"/>
    <w:tmpl w:val="60169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A84"/>
    <w:rsid w:val="00897A84"/>
    <w:rsid w:val="00B277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9BCF1"/>
  <w15:docId w15:val="{86AFF3C6-58B6-4D27-A8AB-A5EB68267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mailto:bashu_wnx@163.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apuri@connect.ust.h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hyperlink" Target="mailto:tao.xing@qq.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b.cei.cn/" TargetMode="External"/><Relationship Id="rId44" Type="http://schemas.openxmlformats.org/officeDocument/2006/relationships/hyperlink" Target="https://www.sciencedirect.com/science/journal/01618938/29/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is.org/statistics" TargetMode="External"/><Relationship Id="rId35" Type="http://schemas.openxmlformats.org/officeDocument/2006/relationships/image" Target="media/image26.png"/><Relationship Id="rId43" Type="http://schemas.openxmlformats.org/officeDocument/2006/relationships/hyperlink" Target="https://www.sciencedirect.com/science/journal/01618938"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1355</Words>
  <Characters>7726</Characters>
  <Application>Microsoft Office Word</Application>
  <DocSecurity>0</DocSecurity>
  <Lines>64</Lines>
  <Paragraphs>18</Paragraphs>
  <ScaleCrop>false</ScaleCrop>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tao xing</cp:lastModifiedBy>
  <cp:revision>2</cp:revision>
  <dcterms:created xsi:type="dcterms:W3CDTF">2020-10-12T06:15:00Z</dcterms:created>
  <dcterms:modified xsi:type="dcterms:W3CDTF">2020-10-12T06:15:00Z</dcterms:modified>
</cp:coreProperties>
</file>