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E058" w14:textId="2EC57DF2" w:rsidR="00390AEF" w:rsidRPr="0003625B" w:rsidRDefault="0003625B" w:rsidP="0003625B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Where’s </w:t>
      </w:r>
      <w:proofErr w:type="gramStart"/>
      <w:r>
        <w:rPr>
          <w:b/>
          <w:sz w:val="32"/>
        </w:rPr>
        <w:t>The</w:t>
      </w:r>
      <w:proofErr w:type="gramEnd"/>
      <w:r>
        <w:rPr>
          <w:b/>
          <w:sz w:val="32"/>
        </w:rPr>
        <w:t xml:space="preserve"> Money At?</w:t>
      </w:r>
    </w:p>
    <w:p w14:paraId="0AFB2CB0" w14:textId="404936EE" w:rsidR="0003625B" w:rsidRDefault="0003625B" w:rsidP="0003625B">
      <w:pPr>
        <w:jc w:val="center"/>
        <w:rPr>
          <w:sz w:val="28"/>
        </w:rPr>
      </w:pPr>
      <w:r>
        <w:rPr>
          <w:sz w:val="28"/>
        </w:rPr>
        <w:t>Team 8</w:t>
      </w:r>
    </w:p>
    <w:p w14:paraId="53CD0D78" w14:textId="415C7454" w:rsidR="0003625B" w:rsidRPr="00C07834" w:rsidRDefault="0003625B" w:rsidP="0003625B">
      <w:pPr>
        <w:spacing w:after="0"/>
        <w:rPr>
          <w:sz w:val="24"/>
          <w:u w:val="single"/>
        </w:rPr>
      </w:pPr>
      <w:r w:rsidRPr="00C07834">
        <w:rPr>
          <w:sz w:val="24"/>
          <w:u w:val="single"/>
        </w:rPr>
        <w:t>Team Members</w:t>
      </w:r>
    </w:p>
    <w:p w14:paraId="70D813EE" w14:textId="20ABFCE2" w:rsidR="0003625B" w:rsidRPr="00C07834" w:rsidRDefault="0003625B" w:rsidP="0003625B">
      <w:pPr>
        <w:spacing w:after="0"/>
        <w:rPr>
          <w:sz w:val="24"/>
        </w:rPr>
      </w:pPr>
      <w:r w:rsidRPr="00C07834">
        <w:rPr>
          <w:sz w:val="24"/>
        </w:rPr>
        <w:t>Kabrina Ramnath</w:t>
      </w:r>
    </w:p>
    <w:p w14:paraId="093841FA" w14:textId="77777777" w:rsidR="0003625B" w:rsidRPr="00C07834" w:rsidRDefault="0003625B" w:rsidP="0003625B">
      <w:pPr>
        <w:spacing w:after="0"/>
        <w:rPr>
          <w:sz w:val="24"/>
        </w:rPr>
      </w:pPr>
      <w:r w:rsidRPr="00C07834">
        <w:rPr>
          <w:sz w:val="24"/>
        </w:rPr>
        <w:t>Omar Trejo</w:t>
      </w:r>
    </w:p>
    <w:p w14:paraId="500A92F4" w14:textId="4E47B89C" w:rsidR="0003625B" w:rsidRPr="00C07834" w:rsidRDefault="0003625B" w:rsidP="0003625B">
      <w:pPr>
        <w:spacing w:after="0"/>
        <w:rPr>
          <w:sz w:val="24"/>
        </w:rPr>
      </w:pPr>
      <w:r w:rsidRPr="00C07834">
        <w:rPr>
          <w:sz w:val="24"/>
        </w:rPr>
        <w:t>Grace Ortiz</w:t>
      </w:r>
    </w:p>
    <w:p w14:paraId="30822522" w14:textId="0BD74D17" w:rsidR="0003625B" w:rsidRDefault="0003625B" w:rsidP="0003625B">
      <w:pPr>
        <w:spacing w:after="0"/>
        <w:rPr>
          <w:sz w:val="28"/>
        </w:rPr>
      </w:pPr>
    </w:p>
    <w:p w14:paraId="5DB5269F" w14:textId="40C02947" w:rsidR="0003625B" w:rsidRDefault="0003625B" w:rsidP="0003625B">
      <w:pPr>
        <w:spacing w:after="0"/>
        <w:rPr>
          <w:rFonts w:cstheme="minorHAnsi"/>
          <w:color w:val="333333"/>
          <w:sz w:val="28"/>
          <w:szCs w:val="28"/>
        </w:rPr>
      </w:pPr>
      <w:r>
        <w:rPr>
          <w:sz w:val="28"/>
        </w:rPr>
        <w:tab/>
      </w:r>
      <w:r w:rsidRPr="0003625B">
        <w:rPr>
          <w:rFonts w:cstheme="minorHAnsi"/>
          <w:sz w:val="28"/>
          <w:szCs w:val="28"/>
        </w:rPr>
        <w:t xml:space="preserve">This project will review the salary trends in Colorado and Texas based on educational degree subject and level. The data set was obtained through the US Census Bureau. </w:t>
      </w:r>
      <w:r>
        <w:rPr>
          <w:rFonts w:cstheme="minorHAnsi"/>
          <w:sz w:val="28"/>
          <w:szCs w:val="28"/>
        </w:rPr>
        <w:t xml:space="preserve">The </w:t>
      </w:r>
      <w:r w:rsidRPr="0003625B">
        <w:rPr>
          <w:rFonts w:cstheme="minorHAnsi"/>
          <w:color w:val="333333"/>
          <w:sz w:val="28"/>
          <w:szCs w:val="28"/>
        </w:rPr>
        <w:t>data provide</w:t>
      </w:r>
      <w:r>
        <w:rPr>
          <w:rFonts w:cstheme="minorHAnsi"/>
          <w:color w:val="333333"/>
          <w:sz w:val="28"/>
          <w:szCs w:val="28"/>
        </w:rPr>
        <w:t>s</w:t>
      </w:r>
      <w:r w:rsidRPr="0003625B">
        <w:rPr>
          <w:rFonts w:cstheme="minorHAnsi"/>
          <w:color w:val="333333"/>
          <w:sz w:val="28"/>
          <w:szCs w:val="28"/>
        </w:rPr>
        <w:t xml:space="preserve"> earnings and employment outcomes for college and university graduates by degree level, degree major, and post-secondary institution. These statistics are generated by matching university transcript data with a national database of jobs, using state-of-the-art confidentiality protection mechanisms to protect the underlying data.</w:t>
      </w:r>
      <w:r>
        <w:rPr>
          <w:rFonts w:cstheme="minorHAnsi"/>
          <w:color w:val="333333"/>
          <w:sz w:val="28"/>
          <w:szCs w:val="28"/>
        </w:rPr>
        <w:t xml:space="preserve"> </w:t>
      </w:r>
      <w:r w:rsidR="003834E6">
        <w:rPr>
          <w:rFonts w:cstheme="minorHAnsi"/>
          <w:color w:val="333333"/>
          <w:sz w:val="28"/>
          <w:szCs w:val="28"/>
        </w:rPr>
        <w:t xml:space="preserve">We wanted to compare the earnings for different subjects varying by educational level. Is it possible to maximize earning potential while considering personal initial educational cost? We are also </w:t>
      </w:r>
      <w:r w:rsidR="002F45DE">
        <w:rPr>
          <w:rFonts w:cstheme="minorHAnsi"/>
          <w:color w:val="333333"/>
          <w:sz w:val="28"/>
          <w:szCs w:val="28"/>
        </w:rPr>
        <w:t xml:space="preserve">would like to determine if the educational institution play a role in earning. Lastly how have salary trends per subject changed over time. </w:t>
      </w:r>
    </w:p>
    <w:p w14:paraId="26FC6256" w14:textId="77777777" w:rsidR="009B424E" w:rsidRDefault="009B424E" w:rsidP="0003625B">
      <w:pPr>
        <w:spacing w:after="0"/>
        <w:rPr>
          <w:rFonts w:cstheme="minorHAnsi"/>
          <w:color w:val="333333"/>
          <w:sz w:val="28"/>
          <w:szCs w:val="28"/>
        </w:rPr>
      </w:pPr>
    </w:p>
    <w:p w14:paraId="1727FBD1" w14:textId="77777777" w:rsidR="009B424E" w:rsidRPr="009B424E" w:rsidRDefault="009B424E" w:rsidP="009B424E">
      <w:pPr>
        <w:spacing w:after="0"/>
        <w:ind w:firstLine="720"/>
        <w:rPr>
          <w:rFonts w:cstheme="minorHAnsi"/>
          <w:color w:val="333333"/>
          <w:sz w:val="28"/>
          <w:szCs w:val="28"/>
        </w:rPr>
      </w:pPr>
      <w:bookmarkStart w:id="0" w:name="_GoBack"/>
      <w:bookmarkEnd w:id="0"/>
      <w:r w:rsidRPr="009B424E">
        <w:rPr>
          <w:rFonts w:cstheme="minorHAnsi"/>
          <w:color w:val="333333"/>
          <w:sz w:val="28"/>
          <w:szCs w:val="28"/>
        </w:rPr>
        <w:t>Within the State borders of Texas and Colorado, in which subject should you attain a degree to fall within the highest average salary range?</w:t>
      </w:r>
    </w:p>
    <w:p w14:paraId="73F44362" w14:textId="77777777" w:rsidR="009B424E" w:rsidRPr="009B424E" w:rsidRDefault="009B424E" w:rsidP="009B424E">
      <w:pPr>
        <w:numPr>
          <w:ilvl w:val="1"/>
          <w:numId w:val="5"/>
        </w:numPr>
        <w:spacing w:after="0"/>
        <w:rPr>
          <w:rFonts w:cstheme="minorHAnsi"/>
          <w:color w:val="333333"/>
          <w:sz w:val="28"/>
          <w:szCs w:val="28"/>
        </w:rPr>
      </w:pPr>
      <w:r w:rsidRPr="009B424E">
        <w:rPr>
          <w:rFonts w:cstheme="minorHAnsi"/>
          <w:color w:val="333333"/>
          <w:sz w:val="28"/>
          <w:szCs w:val="28"/>
        </w:rPr>
        <w:t>How does earnings for different subjects vary by educational level?</w:t>
      </w:r>
    </w:p>
    <w:p w14:paraId="7CCA0B39" w14:textId="77777777" w:rsidR="009B424E" w:rsidRPr="009B424E" w:rsidRDefault="009B424E" w:rsidP="009B424E">
      <w:pPr>
        <w:numPr>
          <w:ilvl w:val="2"/>
          <w:numId w:val="5"/>
        </w:numPr>
        <w:spacing w:after="0"/>
        <w:rPr>
          <w:rFonts w:cstheme="minorHAnsi"/>
          <w:color w:val="333333"/>
          <w:sz w:val="28"/>
          <w:szCs w:val="28"/>
        </w:rPr>
      </w:pPr>
      <w:r w:rsidRPr="009B424E">
        <w:rPr>
          <w:rFonts w:cstheme="minorHAnsi"/>
          <w:color w:val="333333"/>
          <w:sz w:val="28"/>
          <w:szCs w:val="28"/>
        </w:rPr>
        <w:t>Maximizing earning potential while considering personal initial educational costs</w:t>
      </w:r>
    </w:p>
    <w:p w14:paraId="6E1D7706" w14:textId="77777777" w:rsidR="009B424E" w:rsidRPr="009B424E" w:rsidRDefault="009B424E" w:rsidP="009B424E">
      <w:pPr>
        <w:numPr>
          <w:ilvl w:val="1"/>
          <w:numId w:val="5"/>
        </w:numPr>
        <w:spacing w:after="0"/>
        <w:rPr>
          <w:rFonts w:cstheme="minorHAnsi"/>
          <w:color w:val="333333"/>
          <w:sz w:val="28"/>
          <w:szCs w:val="28"/>
        </w:rPr>
      </w:pPr>
      <w:r w:rsidRPr="009B424E">
        <w:rPr>
          <w:rFonts w:cstheme="minorHAnsi"/>
          <w:color w:val="333333"/>
          <w:sz w:val="28"/>
          <w:szCs w:val="28"/>
        </w:rPr>
        <w:t>Does your institution of choice play a role in earnings?</w:t>
      </w:r>
    </w:p>
    <w:p w14:paraId="7B6C21FA" w14:textId="77777777" w:rsidR="009B424E" w:rsidRPr="009B424E" w:rsidRDefault="009B424E" w:rsidP="009B424E">
      <w:pPr>
        <w:numPr>
          <w:ilvl w:val="2"/>
          <w:numId w:val="5"/>
        </w:numPr>
        <w:spacing w:after="0"/>
        <w:rPr>
          <w:rFonts w:cstheme="minorHAnsi"/>
          <w:color w:val="333333"/>
          <w:sz w:val="28"/>
          <w:szCs w:val="28"/>
        </w:rPr>
      </w:pPr>
      <w:r w:rsidRPr="009B424E">
        <w:rPr>
          <w:rFonts w:cstheme="minorHAnsi"/>
          <w:color w:val="333333"/>
          <w:sz w:val="28"/>
          <w:szCs w:val="28"/>
        </w:rPr>
        <w:t>Choosing a typically lower paid program at a different institution to potentially earn a higher average salary</w:t>
      </w:r>
    </w:p>
    <w:p w14:paraId="7E607D4F" w14:textId="77777777" w:rsidR="009B424E" w:rsidRPr="009B424E" w:rsidRDefault="009B424E" w:rsidP="009B424E">
      <w:pPr>
        <w:numPr>
          <w:ilvl w:val="1"/>
          <w:numId w:val="5"/>
        </w:numPr>
        <w:spacing w:after="0"/>
        <w:rPr>
          <w:rFonts w:cstheme="minorHAnsi"/>
          <w:color w:val="333333"/>
          <w:sz w:val="28"/>
          <w:szCs w:val="28"/>
        </w:rPr>
      </w:pPr>
      <w:r w:rsidRPr="009B424E">
        <w:rPr>
          <w:rFonts w:cstheme="minorHAnsi"/>
          <w:color w:val="333333"/>
          <w:sz w:val="28"/>
          <w:szCs w:val="28"/>
        </w:rPr>
        <w:t>How has salary trends per subject changed over time?</w:t>
      </w:r>
    </w:p>
    <w:p w14:paraId="56B44BE4" w14:textId="77777777" w:rsidR="009B424E" w:rsidRPr="009B424E" w:rsidRDefault="009B424E" w:rsidP="009B424E">
      <w:pPr>
        <w:numPr>
          <w:ilvl w:val="2"/>
          <w:numId w:val="5"/>
        </w:numPr>
        <w:spacing w:after="0"/>
        <w:rPr>
          <w:rFonts w:cstheme="minorHAnsi"/>
          <w:color w:val="333333"/>
          <w:sz w:val="28"/>
          <w:szCs w:val="28"/>
        </w:rPr>
      </w:pPr>
      <w:r w:rsidRPr="009B424E">
        <w:rPr>
          <w:rFonts w:cstheme="minorHAnsi"/>
          <w:color w:val="333333"/>
          <w:sz w:val="28"/>
          <w:szCs w:val="28"/>
        </w:rPr>
        <w:t xml:space="preserve">Potential contributing factors </w:t>
      </w:r>
    </w:p>
    <w:p w14:paraId="3824E807" w14:textId="77777777" w:rsidR="009B424E" w:rsidRDefault="009B424E" w:rsidP="0003625B">
      <w:pPr>
        <w:spacing w:after="0"/>
        <w:rPr>
          <w:rFonts w:cstheme="minorHAnsi"/>
          <w:color w:val="333333"/>
          <w:sz w:val="28"/>
          <w:szCs w:val="28"/>
        </w:rPr>
      </w:pPr>
    </w:p>
    <w:p w14:paraId="5DF62961" w14:textId="479E4947" w:rsidR="002F45DE" w:rsidRDefault="002F45DE" w:rsidP="0003625B">
      <w:pPr>
        <w:spacing w:after="0"/>
        <w:rPr>
          <w:rFonts w:cstheme="minorHAnsi"/>
          <w:color w:val="333333"/>
          <w:sz w:val="28"/>
          <w:szCs w:val="28"/>
        </w:rPr>
      </w:pPr>
    </w:p>
    <w:p w14:paraId="03B1AAA5" w14:textId="0393B2BB" w:rsidR="00047B25" w:rsidRPr="00047B25" w:rsidRDefault="00047B25" w:rsidP="00047B25">
      <w:pPr>
        <w:ind w:firstLine="720"/>
        <w:rPr>
          <w:rFonts w:cstheme="minorHAnsi"/>
          <w:color w:val="333333"/>
          <w:sz w:val="28"/>
          <w:szCs w:val="28"/>
        </w:rPr>
      </w:pPr>
      <w:r w:rsidRPr="00047B25">
        <w:rPr>
          <w:rFonts w:cstheme="minorHAnsi"/>
          <w:color w:val="333333"/>
          <w:sz w:val="28"/>
          <w:szCs w:val="28"/>
        </w:rPr>
        <w:t xml:space="preserve">The 6 subjects with the highest average salary earning potential for an individual with a </w:t>
      </w:r>
      <w:proofErr w:type="gramStart"/>
      <w:r w:rsidRPr="00047B25">
        <w:rPr>
          <w:rFonts w:cstheme="minorHAnsi"/>
          <w:color w:val="333333"/>
          <w:sz w:val="28"/>
          <w:szCs w:val="28"/>
        </w:rPr>
        <w:t>Bachelor’s</w:t>
      </w:r>
      <w:proofErr w:type="gramEnd"/>
      <w:r w:rsidRPr="00047B25">
        <w:rPr>
          <w:rFonts w:cstheme="minorHAnsi"/>
          <w:color w:val="333333"/>
          <w:sz w:val="28"/>
          <w:szCs w:val="28"/>
        </w:rPr>
        <w:t xml:space="preserve"> degree are: </w:t>
      </w:r>
    </w:p>
    <w:p w14:paraId="51EC3DCD" w14:textId="77777777" w:rsidR="00047B25" w:rsidRPr="00047B25" w:rsidRDefault="00047B25" w:rsidP="00047B25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047B25">
        <w:rPr>
          <w:rFonts w:cstheme="minorHAnsi"/>
          <w:color w:val="333333"/>
          <w:sz w:val="28"/>
          <w:szCs w:val="28"/>
        </w:rPr>
        <w:t xml:space="preserve">Texas: Petroleum Engineering, Business, </w:t>
      </w:r>
      <w:proofErr w:type="gramStart"/>
      <w:r w:rsidRPr="00047B25">
        <w:rPr>
          <w:rFonts w:cstheme="minorHAnsi"/>
          <w:color w:val="333333"/>
          <w:sz w:val="28"/>
          <w:szCs w:val="28"/>
        </w:rPr>
        <w:t>Finance,  Allied</w:t>
      </w:r>
      <w:proofErr w:type="gramEnd"/>
      <w:r w:rsidRPr="00047B25">
        <w:rPr>
          <w:rFonts w:cstheme="minorHAnsi"/>
          <w:color w:val="333333"/>
          <w:sz w:val="28"/>
          <w:szCs w:val="28"/>
        </w:rPr>
        <w:t xml:space="preserve"> Health Professionals, Chemical Engineering and Electrical Engineering. </w:t>
      </w:r>
    </w:p>
    <w:p w14:paraId="6F0BD4B6" w14:textId="77777777" w:rsidR="00047B25" w:rsidRPr="00047B25" w:rsidRDefault="00047B25" w:rsidP="00047B25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047B25">
        <w:rPr>
          <w:rFonts w:cstheme="minorHAnsi"/>
          <w:color w:val="333333"/>
          <w:sz w:val="28"/>
          <w:szCs w:val="28"/>
        </w:rPr>
        <w:t xml:space="preserve">Colorado: Petroleum Engineering, Computer Science, Economics, Electrical Engineering, Chemical Engineering and Mathematics. </w:t>
      </w:r>
    </w:p>
    <w:p w14:paraId="33EC31E5" w14:textId="77777777" w:rsidR="00047B25" w:rsidRPr="00047B25" w:rsidRDefault="00047B25" w:rsidP="00047B25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047B25">
        <w:rPr>
          <w:rFonts w:cstheme="minorHAnsi"/>
          <w:color w:val="333333"/>
          <w:sz w:val="28"/>
          <w:szCs w:val="28"/>
        </w:rPr>
        <w:t>Key points:</w:t>
      </w:r>
    </w:p>
    <w:p w14:paraId="0742E7B3" w14:textId="26FCB96D" w:rsidR="00047B25" w:rsidRDefault="00047B25" w:rsidP="00047B25">
      <w:pPr>
        <w:numPr>
          <w:ilvl w:val="2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047B25">
        <w:rPr>
          <w:rFonts w:cstheme="minorHAnsi"/>
          <w:color w:val="333333"/>
          <w:sz w:val="28"/>
          <w:szCs w:val="28"/>
        </w:rPr>
        <w:lastRenderedPageBreak/>
        <w:t xml:space="preserve">Across both states, Petroleum Engineering had the highest earning potential. Electrical Engineering and Chemical Engineering are the only other two fields that are in the top 6 in both markets. </w:t>
      </w:r>
    </w:p>
    <w:p w14:paraId="1C22FED6" w14:textId="77777777" w:rsidR="006F06C7" w:rsidRPr="006F06C7" w:rsidRDefault="006F06C7" w:rsidP="006F06C7">
      <w:pPr>
        <w:spacing w:after="0"/>
        <w:ind w:firstLine="72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The 6 subjects with the highest average salary earning potential for an individual with a </w:t>
      </w:r>
      <w:proofErr w:type="gramStart"/>
      <w:r w:rsidRPr="006F06C7">
        <w:rPr>
          <w:rFonts w:cstheme="minorHAnsi"/>
          <w:color w:val="333333"/>
          <w:sz w:val="28"/>
          <w:szCs w:val="28"/>
        </w:rPr>
        <w:t>Master’s</w:t>
      </w:r>
      <w:proofErr w:type="gramEnd"/>
      <w:r w:rsidRPr="006F06C7">
        <w:rPr>
          <w:rFonts w:cstheme="minorHAnsi"/>
          <w:color w:val="333333"/>
          <w:sz w:val="28"/>
          <w:szCs w:val="28"/>
        </w:rPr>
        <w:t xml:space="preserve"> degree are: </w:t>
      </w:r>
    </w:p>
    <w:p w14:paraId="059726A5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Texas: Business Management, Information Sciences, Engineering, Health Professions, Interdisciplinary Studies and Mathematics. </w:t>
      </w:r>
    </w:p>
    <w:p w14:paraId="12B245AF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Colorado: Health Professions, Physical Sciences, Social Sciences, Engineering, Information Sciences and Business Management. </w:t>
      </w:r>
    </w:p>
    <w:p w14:paraId="5C2817D3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>Key points:</w:t>
      </w:r>
    </w:p>
    <w:p w14:paraId="0926DDE9" w14:textId="392E6505" w:rsidR="006F06C7" w:rsidRDefault="006F06C7" w:rsidP="006F06C7">
      <w:pPr>
        <w:numPr>
          <w:ilvl w:val="2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Across both states, Business Management is the only </w:t>
      </w:r>
      <w:proofErr w:type="spellStart"/>
      <w:proofErr w:type="gramStart"/>
      <w:r w:rsidRPr="006F06C7">
        <w:rPr>
          <w:rFonts w:cstheme="minorHAnsi"/>
          <w:color w:val="333333"/>
          <w:sz w:val="28"/>
          <w:szCs w:val="28"/>
        </w:rPr>
        <w:t>masters</w:t>
      </w:r>
      <w:proofErr w:type="spellEnd"/>
      <w:proofErr w:type="gramEnd"/>
      <w:r w:rsidRPr="006F06C7">
        <w:rPr>
          <w:rFonts w:cstheme="minorHAnsi"/>
          <w:color w:val="333333"/>
          <w:sz w:val="28"/>
          <w:szCs w:val="28"/>
        </w:rPr>
        <w:t xml:space="preserve"> degree to be in the top 6 earning potential category. </w:t>
      </w:r>
    </w:p>
    <w:p w14:paraId="35248253" w14:textId="77777777" w:rsidR="006F06C7" w:rsidRPr="006F06C7" w:rsidRDefault="006F06C7" w:rsidP="006F06C7">
      <w:pPr>
        <w:spacing w:after="0"/>
        <w:ind w:firstLine="72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The 6 subjects with the highest average salary earning potential for an individual with a Doctoral degree are: </w:t>
      </w:r>
    </w:p>
    <w:p w14:paraId="54A86EC9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Texas: Medicine, Dentistry, Law, Pharmaceutical, Therapeutic Professions and Communications. </w:t>
      </w:r>
    </w:p>
    <w:p w14:paraId="5CAEFD8B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Colorado: Medicine, Dentistry, Pharmaceutical, Education Administration, Law and Registered Nursing. </w:t>
      </w:r>
    </w:p>
    <w:p w14:paraId="4041A63F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>Key points:</w:t>
      </w:r>
    </w:p>
    <w:p w14:paraId="3193962E" w14:textId="27348D29" w:rsidR="006F06C7" w:rsidRDefault="006F06C7" w:rsidP="006F06C7">
      <w:pPr>
        <w:numPr>
          <w:ilvl w:val="2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Across both states, Medicine, Dentistry, Law and Pharmaceutical are within the top 6 earning potential salary range. </w:t>
      </w:r>
    </w:p>
    <w:p w14:paraId="2BBEC78C" w14:textId="77777777" w:rsidR="006F06C7" w:rsidRPr="006F06C7" w:rsidRDefault="006F06C7" w:rsidP="006F06C7">
      <w:pPr>
        <w:spacing w:after="0"/>
        <w:ind w:firstLine="72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Reviewing the average earnings for all subjects, the following institutions are within the top 6 salary earnings potential range: </w:t>
      </w:r>
    </w:p>
    <w:p w14:paraId="50FA0A31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Bachelors: Colorado School of </w:t>
      </w:r>
      <w:proofErr w:type="gramStart"/>
      <w:r w:rsidRPr="006F06C7">
        <w:rPr>
          <w:rFonts w:cstheme="minorHAnsi"/>
          <w:color w:val="333333"/>
          <w:sz w:val="28"/>
          <w:szCs w:val="28"/>
        </w:rPr>
        <w:t>Mines,  University</w:t>
      </w:r>
      <w:proofErr w:type="gramEnd"/>
      <w:r w:rsidRPr="006F06C7">
        <w:rPr>
          <w:rFonts w:cstheme="minorHAnsi"/>
          <w:color w:val="333333"/>
          <w:sz w:val="28"/>
          <w:szCs w:val="28"/>
        </w:rPr>
        <w:t xml:space="preserve"> of Texas HSC,  University of Texas MB, University of Texas Health Centre SA, University of Texas Southwestern and University of Texas Anderson Centre. </w:t>
      </w:r>
    </w:p>
    <w:p w14:paraId="2365ECD1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Masters: Colorado School of Mines, University of Texas MB, University of Texas HSC, University of Texas Health Centre SA, University of Texas Southwestern and University of Colorado </w:t>
      </w:r>
      <w:proofErr w:type="spellStart"/>
      <w:r w:rsidRPr="006F06C7">
        <w:rPr>
          <w:rFonts w:cstheme="minorHAnsi"/>
          <w:color w:val="333333"/>
          <w:sz w:val="28"/>
          <w:szCs w:val="28"/>
        </w:rPr>
        <w:t>Colorado</w:t>
      </w:r>
      <w:proofErr w:type="spellEnd"/>
      <w:r w:rsidRPr="006F06C7">
        <w:rPr>
          <w:rFonts w:cstheme="minorHAnsi"/>
          <w:color w:val="333333"/>
          <w:sz w:val="28"/>
          <w:szCs w:val="28"/>
        </w:rPr>
        <w:t xml:space="preserve"> Springs. </w:t>
      </w:r>
    </w:p>
    <w:p w14:paraId="183AE0CD" w14:textId="77777777" w:rsidR="006F06C7" w:rsidRPr="006F06C7" w:rsidRDefault="006F06C7" w:rsidP="006F06C7">
      <w:pPr>
        <w:numPr>
          <w:ilvl w:val="1"/>
          <w:numId w:val="1"/>
        </w:numPr>
        <w:spacing w:after="0"/>
        <w:rPr>
          <w:rFonts w:cstheme="minorHAnsi"/>
          <w:color w:val="333333"/>
          <w:sz w:val="28"/>
          <w:szCs w:val="28"/>
        </w:rPr>
      </w:pPr>
      <w:r w:rsidRPr="006F06C7">
        <w:rPr>
          <w:rFonts w:cstheme="minorHAnsi"/>
          <w:color w:val="333333"/>
          <w:sz w:val="28"/>
          <w:szCs w:val="28"/>
        </w:rPr>
        <w:t xml:space="preserve">Doctoral: Colorado School of </w:t>
      </w:r>
      <w:proofErr w:type="gramStart"/>
      <w:r w:rsidRPr="006F06C7">
        <w:rPr>
          <w:rFonts w:cstheme="minorHAnsi"/>
          <w:color w:val="333333"/>
          <w:sz w:val="28"/>
          <w:szCs w:val="28"/>
        </w:rPr>
        <w:t>Mines,  University</w:t>
      </w:r>
      <w:proofErr w:type="gramEnd"/>
      <w:r w:rsidRPr="006F06C7">
        <w:rPr>
          <w:rFonts w:cstheme="minorHAnsi"/>
          <w:color w:val="333333"/>
          <w:sz w:val="28"/>
          <w:szCs w:val="28"/>
        </w:rPr>
        <w:t xml:space="preserve"> of Texas HSC San Antonio,  University of Texas HSC, University of  Pan American, University of Colorado Denver and University of Texas at Arlington. </w:t>
      </w:r>
    </w:p>
    <w:p w14:paraId="26182348" w14:textId="77777777" w:rsidR="006F06C7" w:rsidRPr="006F06C7" w:rsidRDefault="006F06C7" w:rsidP="006F06C7">
      <w:pPr>
        <w:spacing w:after="0"/>
        <w:rPr>
          <w:rFonts w:cstheme="minorHAnsi"/>
          <w:color w:val="333333"/>
          <w:sz w:val="28"/>
          <w:szCs w:val="28"/>
        </w:rPr>
      </w:pPr>
    </w:p>
    <w:p w14:paraId="43E64D0E" w14:textId="77777777" w:rsidR="006F06C7" w:rsidRPr="006F06C7" w:rsidRDefault="006F06C7" w:rsidP="006F06C7">
      <w:pPr>
        <w:spacing w:after="0"/>
        <w:rPr>
          <w:rFonts w:cstheme="minorHAnsi"/>
          <w:color w:val="333333"/>
          <w:sz w:val="28"/>
          <w:szCs w:val="28"/>
        </w:rPr>
      </w:pPr>
    </w:p>
    <w:p w14:paraId="48624591" w14:textId="77777777" w:rsidR="00047B25" w:rsidRPr="00047B25" w:rsidRDefault="00047B25" w:rsidP="006F06C7">
      <w:pPr>
        <w:spacing w:after="0"/>
        <w:rPr>
          <w:rFonts w:cstheme="minorHAnsi"/>
          <w:color w:val="333333"/>
          <w:sz w:val="28"/>
          <w:szCs w:val="28"/>
        </w:rPr>
      </w:pPr>
    </w:p>
    <w:p w14:paraId="06FD3FE1" w14:textId="0B8A9836" w:rsidR="0003625B" w:rsidRPr="0003625B" w:rsidRDefault="0003625B" w:rsidP="0003625B">
      <w:pPr>
        <w:spacing w:after="0"/>
        <w:rPr>
          <w:sz w:val="28"/>
        </w:rPr>
      </w:pPr>
    </w:p>
    <w:sectPr w:rsidR="0003625B" w:rsidRPr="0003625B" w:rsidSect="00036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35C80"/>
    <w:multiLevelType w:val="hybridMultilevel"/>
    <w:tmpl w:val="A6DE2A08"/>
    <w:lvl w:ilvl="0" w:tplc="C2CEF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E4EAE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D4288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A2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63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25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2A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E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6061FB"/>
    <w:multiLevelType w:val="hybridMultilevel"/>
    <w:tmpl w:val="42144C62"/>
    <w:lvl w:ilvl="0" w:tplc="C6A2E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619A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A88204CA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4C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27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C5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08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4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80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0E6A38"/>
    <w:multiLevelType w:val="hybridMultilevel"/>
    <w:tmpl w:val="8014F2CC"/>
    <w:lvl w:ilvl="0" w:tplc="17661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E61C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105E67C2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7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0B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8F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0C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8A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E5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01747D"/>
    <w:multiLevelType w:val="hybridMultilevel"/>
    <w:tmpl w:val="7346CED4"/>
    <w:lvl w:ilvl="0" w:tplc="49802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0CE88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B52274E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4E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2A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83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2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81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5C2ACA"/>
    <w:multiLevelType w:val="hybridMultilevel"/>
    <w:tmpl w:val="68EE0B56"/>
    <w:lvl w:ilvl="0" w:tplc="3102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A160A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FC003E90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4B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26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ECE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24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21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AC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5E"/>
    <w:rsid w:val="0003625B"/>
    <w:rsid w:val="00047B25"/>
    <w:rsid w:val="002F45DE"/>
    <w:rsid w:val="003834E6"/>
    <w:rsid w:val="00390AEF"/>
    <w:rsid w:val="0039235E"/>
    <w:rsid w:val="006F06C7"/>
    <w:rsid w:val="0084068D"/>
    <w:rsid w:val="009B424E"/>
    <w:rsid w:val="00A04924"/>
    <w:rsid w:val="00C07834"/>
    <w:rsid w:val="00E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6F39"/>
  <w15:chartTrackingRefBased/>
  <w15:docId w15:val="{0CE7D172-0438-4F31-80C5-C805B020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737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57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21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32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78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76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569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00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71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087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58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39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52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94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624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24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08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874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379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567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62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779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811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68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717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Marter</dc:creator>
  <cp:keywords/>
  <dc:description/>
  <cp:lastModifiedBy>Erik Marter</cp:lastModifiedBy>
  <cp:revision>7</cp:revision>
  <dcterms:created xsi:type="dcterms:W3CDTF">2019-01-25T00:24:00Z</dcterms:created>
  <dcterms:modified xsi:type="dcterms:W3CDTF">2019-01-25T03:23:00Z</dcterms:modified>
</cp:coreProperties>
</file>