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
            <wp:simplePos x="0" y="0"/>
            <wp:positionH relativeFrom="page">
              <wp:posOffset>0</wp:posOffset>
            </wp:positionH>
            <wp:positionV relativeFrom="page">
              <wp:posOffset>0</wp:posOffset>
            </wp:positionV>
            <wp:extent cx="5667375" cy="80200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8020050"/>
                    </a:xfrm>
                    <a:prstGeom prst="rect">
                      <a:avLst/>
                    </a:prstGeom>
                  </pic:spPr>
                </pic:pic>
              </a:graphicData>
            </a:graphic>
          </wp:anchor>
        </w:drawing>
      </w:r>
    </w:p>
    <w:p>
      <w:pPr>
        <w:sectPr>
          <w:pgSz w:w="11906" w:h="16838" w:orient="portrait"/>
          <w:pgMar w:top="0" w:right="0" w:bottom="0" w:left="0" w:header="708" w:footer="708" w:gutter="0"/>
          <w:pgNumType/>
          <w:docGrid w:linePitch="360"/>
        </w:sectPr>
      </w:pPr>
    </w:p>
    <w:p>
      <w:pPr>
        <w:spacing w:after="200"/>
      </w:pPr>
      <w:r>
        <w:rPr>
          <w:rFonts w:ascii="Carlito" w:cs="Carlito" w:eastAsia="Carlito" w:hAnsi="Carlito"/>
          <w:b/>
          <w:bCs/>
          <w:color w:val="1F6F77"/>
          <w:sz w:val="17"/>
          <w:szCs w:val="17"/>
        </w:rPr>
        <w:t xml:space="preserve">I F   Y O U   R E A D   O N E   P A G E ,   R E A D   T H I S   O N E .</w:t>
      </w:r>
    </w:p>
    <w:p>
      <w:pPr>
        <w:pStyle w:val="Heading2"/>
        <w:pBdr>
          <w:top w:val="single" w:color="1F6F77" w:sz="12" w:space="8"/>
        </w:pBdr>
        <w:spacing w:after="200" w:before="360"/>
      </w:pPr>
      <w:r>
        <w:rPr>
          <w:rFonts w:ascii="DejaVu Serif" w:cs="DejaVu Serif" w:eastAsia="DejaVu Serif" w:hAnsi="DejaVu Serif"/>
          <w:b/>
          <w:bCs/>
          <w:color w:val="1A1A1A"/>
          <w:sz w:val="33"/>
          <w:szCs w:val="33"/>
        </w:rPr>
        <w:t xml:space="preserve">The Short Version</w:t>
      </w:r>
    </w:p>
    <w:p>
      <w:pPr>
        <w:spacing w:after="180" w:before="0" w:line="300"/>
        <w:jc w:val="both"/>
      </w:pPr>
      <w:r>
        <w:rPr>
          <w:rFonts w:ascii="DejaVu Serif" w:cs="DejaVu Serif" w:eastAsia="DejaVu Serif" w:hAnsi="DejaVu Serif"/>
          <w:b w:val="false"/>
          <w:bCs w:val="false"/>
          <w:i w:val="false"/>
          <w:iCs w:val="false"/>
          <w:color w:val="333333"/>
          <w:sz w:val="23"/>
          <w:szCs w:val="23"/>
        </w:rPr>
        <w:t xml:space="preserve">Your inference bill is not one number. It is three, and collapsing them into "the AI budget" is why so many organizations throttle the exact signal they should be protecting.</w:t>
      </w:r>
    </w:p>
    <w:tbl>
      <w:tblPr>
        <w:tblW w:type="dxa" w:w="9400"/>
        <w:tblBorders>
          <w:top w:val="none"/>
          <w:left w:val="single" w:color="auto" w:sz="4"/>
          <w:bottom w:val="none"/>
          <w:right w:val="none"/>
          <w:insideH w:val="none"/>
          <w:insideV w:val="none"/>
        </w:tblBorders>
      </w:tblPr>
      <w:tblGrid>
        <w:gridCol w:w="9400"/>
      </w:tblGrid>
      <w:tr>
        <w:tc>
          <w:tcPr>
            <w:tcW w:type="dxa" w:w="9400"/>
            <w:tcBorders>
              <w:left w:val="single" w:color="1F6F77" w:sz="18"/>
            </w:tcBorders>
            <w:shd w:fill="F5F2EC" w:val="clear"/>
            <w:tcMar>
              <w:top w:type="dxa" w:w="220"/>
              <w:left w:type="dxa" w:w="260"/>
              <w:bottom w:type="dxa" w:w="120"/>
              <w:right w:type="dxa" w:w="260"/>
            </w:tcMar>
          </w:tcPr>
          <w:p>
            <w:pPr>
              <w:spacing w:after="140"/>
            </w:pPr>
            <w:r>
              <w:rPr>
                <w:rFonts w:ascii="Carlito" w:cs="Carlito" w:eastAsia="Carlito" w:hAnsi="Carlito"/>
                <w:b/>
                <w:bCs/>
                <w:color w:val="1F6F77"/>
                <w:sz w:val="17"/>
                <w:szCs w:val="17"/>
              </w:rPr>
              <w:t xml:space="preserve">THE THREE NEEDLES</w:t>
            </w:r>
          </w:p>
          <w:p>
            <w:pPr>
              <w:spacing w:after="140" w:before="0" w:line="300"/>
              <w:jc w:val="both"/>
            </w:pPr>
            <w:r>
              <w:rPr>
                <w:rFonts w:ascii="DejaVu Serif" w:cs="DejaVu Serif" w:eastAsia="DejaVu Serif" w:hAnsi="DejaVu Serif"/>
                <w:b/>
                <w:bCs/>
                <w:i w:val="false"/>
                <w:iCs w:val="false"/>
                <w:color w:val="1A1A1A"/>
                <w:sz w:val="20"/>
                <w:szCs w:val="20"/>
              </w:rPr>
              <w:t xml:space="preserve">Token Spenditure</w:t>
            </w:r>
            <w:r>
              <w:rPr>
                <w:rFonts w:ascii="DejaVu Serif" w:cs="DejaVu Serif" w:eastAsia="DejaVu Serif" w:hAnsi="DejaVu Serif"/>
                <w:b w:val="false"/>
                <w:bCs w:val="false"/>
                <w:i w:val="false"/>
                <w:iCs w:val="false"/>
                <w:color w:val="1A1A1A"/>
                <w:sz w:val="20"/>
                <w:szCs w:val="20"/>
              </w:rPr>
              <w:t xml:space="preserve"> — the rate at which an organization converts human work into AI work. It measures how intensely you are actually using AI, and how far you are willing to push past old habits to get there.</w:t>
            </w:r>
          </w:p>
          <w:p>
            <w:pPr>
              <w:spacing w:after="140" w:before="0" w:line="300"/>
              <w:jc w:val="both"/>
            </w:pPr>
            <w:r>
              <w:rPr>
                <w:rFonts w:ascii="DejaVu Serif" w:cs="DejaVu Serif" w:eastAsia="DejaVu Serif" w:hAnsi="DejaVu Serif"/>
                <w:b/>
                <w:bCs/>
                <w:i w:val="false"/>
                <w:iCs w:val="false"/>
                <w:color w:val="1A1A1A"/>
                <w:sz w:val="20"/>
                <w:szCs w:val="20"/>
              </w:rPr>
              <w:t xml:space="preserve">Token Cost</w:t>
            </w:r>
            <w:r>
              <w:rPr>
                <w:rFonts w:ascii="DejaVu Serif" w:cs="DejaVu Serif" w:eastAsia="DejaVu Serif" w:hAnsi="DejaVu Serif"/>
                <w:b w:val="false"/>
                <w:bCs w:val="false"/>
                <w:i w:val="false"/>
                <w:iCs w:val="false"/>
                <w:color w:val="1A1A1A"/>
                <w:sz w:val="20"/>
                <w:szCs w:val="20"/>
              </w:rPr>
              <w:t xml:space="preserve"> — the size of the resulting bill — a subscription to frontier models, or the capital and operating cost of your own infrastructure.</w:t>
            </w:r>
          </w:p>
          <w:p>
            <w:pPr>
              <w:spacing w:after="140" w:before="0" w:line="300"/>
              <w:jc w:val="both"/>
            </w:pPr>
            <w:r>
              <w:rPr>
                <w:rFonts w:ascii="DejaVu Serif" w:cs="DejaVu Serif" w:eastAsia="DejaVu Serif" w:hAnsi="DejaVu Serif"/>
                <w:b/>
                <w:bCs/>
                <w:i w:val="false"/>
                <w:iCs w:val="false"/>
                <w:color w:val="1A1A1A"/>
                <w:sz w:val="20"/>
                <w:szCs w:val="20"/>
              </w:rPr>
              <w:t xml:space="preserve">Token Value</w:t>
            </w:r>
            <w:r>
              <w:rPr>
                <w:rFonts w:ascii="DejaVu Serif" w:cs="DejaVu Serif" w:eastAsia="DejaVu Serif" w:hAnsi="DejaVu Serif"/>
                <w:b w:val="false"/>
                <w:bCs w:val="false"/>
                <w:i w:val="false"/>
                <w:iCs w:val="false"/>
                <w:color w:val="1A1A1A"/>
                <w:sz w:val="20"/>
                <w:szCs w:val="20"/>
              </w:rPr>
              <w:t xml:space="preserve"> — what those tokens produce: decisions made, hours saved, a metric moved. The unit is outcomes per token, never tokens.</w:t>
            </w:r>
          </w:p>
        </w:tc>
      </w:tr>
    </w:tbl>
    <w:p>
      <w:pPr>
        <w:spacing w:after="240"/>
      </w:pPr>
    </w:p>
    <w:p>
      <w:pPr>
        <w:spacing w:after="180" w:before="0" w:line="300"/>
        <w:jc w:val="both"/>
      </w:pPr>
      <w:r>
        <w:rPr>
          <w:rFonts w:ascii="DejaVu Serif" w:cs="DejaVu Serif" w:eastAsia="DejaVu Serif" w:hAnsi="DejaVu Serif"/>
          <w:b/>
          <w:bCs/>
          <w:i w:val="false"/>
          <w:iCs w:val="false"/>
          <w:color w:val="1A1A1A"/>
          <w:sz w:val="21"/>
          <w:szCs w:val="21"/>
        </w:rPr>
        <w:t xml:space="preserve">The claim. </w:t>
      </w:r>
      <w:r>
        <w:rPr>
          <w:rFonts w:ascii="DejaVu Serif" w:cs="DejaVu Serif" w:eastAsia="DejaVu Serif" w:hAnsi="DejaVu Serif"/>
          <w:b w:val="false"/>
          <w:bCs w:val="false"/>
          <w:i w:val="false"/>
          <w:iCs w:val="false"/>
          <w:color w:val="1A1A1A"/>
          <w:sz w:val="21"/>
          <w:szCs w:val="21"/>
        </w:rPr>
        <w:t xml:space="preserve">Push Spenditure up, because intensity of use is what agent swarms require. Engineer Cost down through architecture. Measure Value against outcomes. Organizations that feel cost pain and respond by throttling usage are optimizing the wrong variable.</w:t>
      </w:r>
    </w:p>
    <w:p>
      <w:pPr>
        <w:spacing w:after="180" w:before="0" w:line="300"/>
        <w:jc w:val="both"/>
      </w:pPr>
      <w:r>
        <w:rPr>
          <w:rFonts w:ascii="DejaVu Serif" w:cs="DejaVu Serif" w:eastAsia="DejaVu Serif" w:hAnsi="DejaVu Serif"/>
          <w:b/>
          <w:bCs/>
          <w:i w:val="false"/>
          <w:iCs w:val="false"/>
          <w:color w:val="1A1A1A"/>
          <w:sz w:val="21"/>
          <w:szCs w:val="21"/>
        </w:rPr>
        <w:t xml:space="preserve">The precedent. </w:t>
      </w:r>
      <w:r>
        <w:rPr>
          <w:rFonts w:ascii="DejaVu Serif" w:cs="DejaVu Serif" w:eastAsia="DejaVu Serif" w:hAnsi="DejaVu Serif"/>
          <w:b w:val="false"/>
          <w:bCs w:val="false"/>
          <w:i w:val="false"/>
          <w:iCs w:val="false"/>
          <w:color w:val="1A1A1A"/>
          <w:sz w:val="21"/>
          <w:szCs w:val="21"/>
        </w:rPr>
        <w:t xml:space="preserve">Early factories did not ask how to minimize electricity. They asked how much more production it could enable, and optimized efficiency afterwards. Tokens are becoming the same kind of industrial input.</w:t>
      </w:r>
    </w:p>
    <w:p>
      <w:pPr>
        <w:spacing w:after="180" w:before="0" w:line="300"/>
        <w:jc w:val="both"/>
      </w:pPr>
      <w:r>
        <w:rPr>
          <w:rFonts w:ascii="DejaVu Serif" w:cs="DejaVu Serif" w:eastAsia="DejaVu Serif" w:hAnsi="DejaVu Serif"/>
          <w:b/>
          <w:bCs/>
          <w:i w:val="false"/>
          <w:iCs w:val="false"/>
          <w:color w:val="1A1A1A"/>
          <w:sz w:val="21"/>
          <w:szCs w:val="21"/>
        </w:rPr>
        <w:t xml:space="preserve">Why it takes a swarm. </w:t>
      </w:r>
      <w:r>
        <w:rPr>
          <w:rFonts w:ascii="DejaVu Serif" w:cs="DejaVu Serif" w:eastAsia="DejaVu Serif" w:hAnsi="DejaVu Serif"/>
          <w:b w:val="false"/>
          <w:bCs w:val="false"/>
          <w:i w:val="false"/>
          <w:iCs w:val="false"/>
          <w:color w:val="1A1A1A"/>
          <w:sz w:val="21"/>
          <w:szCs w:val="21"/>
        </w:rPr>
        <w:t xml:space="preserve">One chatbot is a demo. The Spenditure that moves a real metric comes from the parts a serial assistant does not have at all — reflection loops, cross-validation, consensus between agents.</w:t>
      </w:r>
    </w:p>
    <w:p>
      <w:pPr>
        <w:spacing w:after="180" w:before="0" w:line="300"/>
        <w:jc w:val="both"/>
      </w:pPr>
      <w:r>
        <w:rPr>
          <w:rFonts w:ascii="DejaVu Serif" w:cs="DejaVu Serif" w:eastAsia="DejaVu Serif" w:hAnsi="DejaVu Serif"/>
          <w:b/>
          <w:bCs/>
          <w:i w:val="false"/>
          <w:iCs w:val="false"/>
          <w:color w:val="1A1A1A"/>
          <w:sz w:val="21"/>
          <w:szCs w:val="21"/>
        </w:rPr>
        <w:t xml:space="preserve">The hardware turn. </w:t>
      </w:r>
      <w:r>
        <w:rPr>
          <w:rFonts w:ascii="DejaVu Serif" w:cs="DejaVu Serif" w:eastAsia="DejaVu Serif" w:hAnsi="DejaVu Serif"/>
          <w:b w:val="false"/>
          <w:bCs w:val="false"/>
          <w:i w:val="false"/>
          <w:iCs w:val="false"/>
          <w:color w:val="1A1A1A"/>
          <w:sz w:val="21"/>
          <w:szCs w:val="21"/>
        </w:rPr>
        <w:t xml:space="preserve">Unified-memory desktop nodes handle local swarms today; the 2028-class machines mark the threshold where frontier-scale reasoning moves entirely on-prem. Marginal cost per query falls toward electricity and amortization.</w:t>
      </w:r>
    </w:p>
    <w:p>
      <w:pPr>
        <w:spacing w:after="180" w:before="0" w:line="300"/>
        <w:jc w:val="both"/>
      </w:pPr>
      <w:r>
        <w:rPr>
          <w:rFonts w:ascii="DejaVu Serif" w:cs="DejaVu Serif" w:eastAsia="DejaVu Serif" w:hAnsi="DejaVu Serif"/>
          <w:b/>
          <w:bCs/>
          <w:i w:val="false"/>
          <w:iCs w:val="false"/>
          <w:color w:val="1A1A1A"/>
          <w:sz w:val="21"/>
          <w:szCs w:val="21"/>
        </w:rPr>
        <w:t xml:space="preserve">The proof at scale. </w:t>
      </w:r>
      <w:r>
        <w:rPr>
          <w:rFonts w:ascii="DejaVu Serif" w:cs="DejaVu Serif" w:eastAsia="DejaVu Serif" w:hAnsi="DejaVu Serif"/>
          <w:b w:val="false"/>
          <w:bCs w:val="false"/>
          <w:i w:val="false"/>
          <w:iCs w:val="false"/>
          <w:color w:val="1A1A1A"/>
          <w:sz w:val="21"/>
          <w:szCs w:val="21"/>
        </w:rPr>
        <w:t xml:space="preserve">Salesforce builds its own small models for predictable cost-to-serve, runs agents at hundreds of millions of work units a quarter — and has still rewritten its pricing three times in eighteen months. Value is the hard needle, even with a research lab of your own.</w:t>
      </w:r>
    </w:p>
    <w:p>
      <w:pPr>
        <w:spacing w:after="180" w:before="0" w:line="300"/>
        <w:jc w:val="both"/>
      </w:pPr>
      <w:r>
        <w:rPr>
          <w:rFonts w:ascii="DejaVu Serif" w:cs="DejaVu Serif" w:eastAsia="DejaVu Serif" w:hAnsi="DejaVu Serif"/>
          <w:b/>
          <w:bCs/>
          <w:i w:val="false"/>
          <w:iCs w:val="false"/>
          <w:color w:val="1A1A1A"/>
          <w:sz w:val="21"/>
          <w:szCs w:val="21"/>
        </w:rPr>
        <w:t xml:space="preserve">The risk, stated plainly. </w:t>
      </w:r>
      <w:r>
        <w:rPr>
          <w:rFonts w:ascii="DejaVu Serif" w:cs="DejaVu Serif" w:eastAsia="DejaVu Serif" w:hAnsi="DejaVu Serif"/>
          <w:b w:val="false"/>
          <w:bCs w:val="false"/>
          <w:i w:val="false"/>
          <w:iCs w:val="false"/>
          <w:color w:val="1A1A1A"/>
          <w:sz w:val="21"/>
          <w:szCs w:val="21"/>
        </w:rPr>
        <w:t xml:space="preserve">Deep cost optimization can entrench the infrastructure owners it was meant to help you compete with. And Value is the easiest of the three numbers to fake — forty billion tokens of agents arguing with each other is a failure state, not a milestone.</w:t>
      </w:r>
    </w:p>
    <w:p>
      <w:pPr>
        <w:spacing w:after="180" w:before="0" w:line="300"/>
        <w:jc w:val="both"/>
      </w:pPr>
      <w:r>
        <w:rPr>
          <w:rFonts w:ascii="DejaVu Serif" w:cs="DejaVu Serif" w:eastAsia="DejaVu Serif" w:hAnsi="DejaVu Serif"/>
          <w:b/>
          <w:bCs/>
          <w:i w:val="false"/>
          <w:iCs w:val="false"/>
          <w:color w:val="1A1A1A"/>
          <w:sz w:val="21"/>
          <w:szCs w:val="21"/>
        </w:rPr>
        <w:t xml:space="preserve">What this paper does not solve. </w:t>
      </w:r>
      <w:r>
        <w:rPr>
          <w:rFonts w:ascii="DejaVu Serif" w:cs="DejaVu Serif" w:eastAsia="DejaVu Serif" w:hAnsi="DejaVu Serif"/>
          <w:b w:val="false"/>
          <w:bCs w:val="false"/>
          <w:i w:val="false"/>
          <w:iCs w:val="false"/>
          <w:color w:val="1A1A1A"/>
          <w:sz w:val="21"/>
          <w:szCs w:val="21"/>
        </w:rPr>
        <w:t xml:space="preserve">Value attribution, the process changes high Spenditure demands, and the path for organizations that cannot build private clusters. Named in the closing section rather than glossed over.</w:t>
      </w:r>
    </w:p>
    <w:p>
      <w:r>
        <w:br w:type="page"/>
      </w:r>
    </w:p>
    <w:p>
      <w:pPr>
        <w:pStyle w:val="Heading2"/>
        <w:pBdr>
          <w:top w:val="single" w:color="1F6F77" w:sz="12" w:space="8"/>
        </w:pBdr>
        <w:spacing w:after="200" w:before="360"/>
      </w:pPr>
      <w:r>
        <w:rPr>
          <w:rFonts w:ascii="DejaVu Serif" w:cs="DejaVu Serif" w:eastAsia="DejaVu Serif" w:hAnsi="DejaVu Serif"/>
          <w:b/>
          <w:bCs/>
          <w:color w:val="1A1A1A"/>
          <w:sz w:val="33"/>
          <w:szCs w:val="33"/>
        </w:rPr>
        <w:t xml:space="preserve">1. Three Terms, Deliberately Kept Apart</w:t>
      </w:r>
    </w:p>
    <w:p>
      <w:pPr>
        <w:spacing w:after="180" w:before="0" w:line="300"/>
        <w:jc w:val="both"/>
      </w:pPr>
      <w:r>
        <w:rPr>
          <w:rFonts w:ascii="DejaVu Serif" w:cs="DejaVu Serif" w:eastAsia="DejaVu Serif" w:hAnsi="DejaVu Serif"/>
          <w:b/>
          <w:bCs/>
          <w:i w:val="false"/>
          <w:iCs w:val="false"/>
          <w:color w:val="1A1A1A"/>
          <w:sz w:val="21"/>
          <w:szCs w:val="21"/>
        </w:rPr>
        <w:t xml:space="preserve">Token Spenditure</w:t>
      </w:r>
      <w:r>
        <w:rPr>
          <w:rFonts w:ascii="DejaVu Serif" w:cs="DejaVu Serif" w:eastAsia="DejaVu Serif" w:hAnsi="DejaVu Serif"/>
          <w:b w:val="false"/>
          <w:bCs w:val="false"/>
          <w:i w:val="false"/>
          <w:iCs w:val="false"/>
          <w:color w:val="1A1A1A"/>
          <w:sz w:val="21"/>
          <w:szCs w:val="21"/>
        </w:rPr>
        <w:t xml:space="preserve"> — the rate at which an organization converts human work into AI work. Spenditure is the tell: it measures how intensely you’re actually using AI, and how far you’re willing to push past old habits and old workflows to get there.</w:t>
      </w:r>
    </w:p>
    <w:p>
      <w:pPr>
        <w:spacing w:after="180" w:before="0" w:line="300"/>
        <w:jc w:val="both"/>
      </w:pPr>
      <w:r>
        <w:rPr>
          <w:rFonts w:ascii="DejaVu Serif" w:cs="DejaVu Serif" w:eastAsia="DejaVu Serif" w:hAnsi="DejaVu Serif"/>
          <w:b/>
          <w:bCs/>
          <w:i w:val="false"/>
          <w:iCs w:val="false"/>
          <w:color w:val="1A1A1A"/>
          <w:sz w:val="21"/>
          <w:szCs w:val="21"/>
        </w:rPr>
        <w:t xml:space="preserve">Token Cost</w:t>
      </w:r>
      <w:r>
        <w:rPr>
          <w:rFonts w:ascii="DejaVu Serif" w:cs="DejaVu Serif" w:eastAsia="DejaVu Serif" w:hAnsi="DejaVu Serif"/>
          <w:b w:val="false"/>
          <w:bCs w:val="false"/>
          <w:i w:val="false"/>
          <w:iCs w:val="false"/>
          <w:color w:val="1A1A1A"/>
          <w:sz w:val="21"/>
          <w:szCs w:val="21"/>
        </w:rPr>
        <w:t xml:space="preserve"> — the size of the resulting bill, whether that’s a subscription to frontier models or the capital and operating cost of your own infrastructure.</w:t>
      </w:r>
    </w:p>
    <w:p>
      <w:pPr>
        <w:spacing w:after="180" w:before="0" w:line="300"/>
        <w:jc w:val="both"/>
      </w:pPr>
      <w:r>
        <w:rPr>
          <w:rFonts w:ascii="DejaVu Serif" w:cs="DejaVu Serif" w:eastAsia="DejaVu Serif" w:hAnsi="DejaVu Serif"/>
          <w:b/>
          <w:bCs/>
          <w:i w:val="false"/>
          <w:iCs w:val="false"/>
          <w:color w:val="1A1A1A"/>
          <w:sz w:val="21"/>
          <w:szCs w:val="21"/>
        </w:rPr>
        <w:t xml:space="preserve">Token Value</w:t>
      </w:r>
      <w:r>
        <w:rPr>
          <w:rFonts w:ascii="DejaVu Serif" w:cs="DejaVu Serif" w:eastAsia="DejaVu Serif" w:hAnsi="DejaVu Serif"/>
          <w:b w:val="false"/>
          <w:bCs w:val="false"/>
          <w:i w:val="false"/>
          <w:iCs w:val="false"/>
          <w:color w:val="1A1A1A"/>
          <w:sz w:val="21"/>
          <w:szCs w:val="21"/>
        </w:rPr>
        <w:t xml:space="preserve"> — what those tokens actually produce: decisions made, hours saved, revenue generated, a metric moved. Note the unit: outcomes per token, not tokens. More tokens does not mean more value — a distinction that matters later in this paper. Jensen Huang has put a number on this at the industry level, describing AI data centers as factories where the input is electrons and the output is tokens, and where a single large facility can turn roughly $50 billion of build cost into $300–400 billion of intelligence output a year.</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There’s a century-old precedent for exactly this shift. Early factories didn’t ask how to minimize electricity usage — they asked how much more production electricity could enable, and optimized efficiency afterwards. Nobody ran a successful factory by unplugging machines. Tokens are becoming the same kind of industrial input electricity became: you measure what they enable first, and engineer the unit cost down second. That ordering is the whole argument of this paper.</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These are not the same number, and the rest of this paper is about why keeping them separate is the whole point.</w:t>
      </w:r>
    </w:p>
    <w:p>
      <w:pPr>
        <w:pStyle w:val="Heading2"/>
        <w:pBdr>
          <w:top w:val="single" w:color="1F6F77" w:sz="12" w:space="8"/>
        </w:pBdr>
        <w:spacing w:after="200" w:before="360"/>
      </w:pPr>
      <w:r>
        <w:rPr>
          <w:rFonts w:ascii="DejaVu Serif" w:cs="DejaVu Serif" w:eastAsia="DejaVu Serif" w:hAnsi="DejaVu Serif"/>
          <w:b/>
          <w:bCs/>
          <w:color w:val="1A1A1A"/>
          <w:sz w:val="33"/>
          <w:szCs w:val="33"/>
        </w:rPr>
        <w:t xml:space="preserve">2. The Claim</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If nobody at your company is generating enough Token Spenditure to notice, you’re not innovating — you’re consuming, lightly.</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But Spenditure and Cost are not the same variable, and most organizations confuse them. Feeling cost pain, they throttle usage: fewer agents, shorter context, tighter limits. Wrong fix — that suppresses Spenditure, which is exactly the signal you want to protect. The right posture is the opposite: push Spenditure up, because intensity of use is what parallel reasoning and agent swarms require, while pushing Cost down through architecture. Local inference, purpose-built small models instead of one expensive generalist, smarter retrieval instead of brute-force context — all of it exists to let Spenditure grow without Cost following it in a straight line.</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Get this right and the graph shows rising Spenditure on a flat or falling Cost curve. Get it wrong and you either throttle ambition to protect the bill, or scale ambition and quietly bankrupt the project. A competitor who’s already decoupled the two is running circles you can’t see, at a Cost you’d never notice on their books. And here’s the uncomfortable part: they aren’t winning because their models are smarter. They’re winning because they can afford to think a hundred times more.</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What does Spenditure look like as an actual number, not a philosophy? A few auditable proxies: total tokens per employee per month; the share of business workflows where at least one agent participates; tokens spent on novel work (analysis, hypothesis testing, design exploration) versus routine work (summarization, boilerplate); and the ratio of agent-to-agent tokens to human-prompted tokens — a rising ratio means real swarm activity, not just chatbot usage. Pick two or three, put them on the same dashboard as Cost, and the framework stops being rhetoric.</w:t>
      </w:r>
    </w:p>
    <w:p>
      <w:pPr>
        <w:pStyle w:val="Heading2"/>
        <w:pBdr>
          <w:top w:val="single" w:color="1F6F77" w:sz="12" w:space="8"/>
        </w:pBdr>
        <w:spacing w:after="200" w:before="360"/>
      </w:pPr>
      <w:r>
        <w:rPr>
          <w:rFonts w:ascii="DejaVu Serif" w:cs="DejaVu Serif" w:eastAsia="DejaVu Serif" w:hAnsi="DejaVu Serif"/>
          <w:b/>
          <w:bCs/>
          <w:color w:val="1A1A1A"/>
          <w:sz w:val="33"/>
          <w:szCs w:val="33"/>
        </w:rPr>
        <w:t xml:space="preserve">3. This Is Already Happening</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The intensity shift isn’t hypothetical, and the numbers are now public.</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Uber handed roughly 5,000 engineers a coding assistant in December 2025 and exhausted its entire 2026 AI budget by April — four months in. Meta’s heaviest single user burned 281 billion tokens in one month. Goldman Sachs, in its May 2026 report </w:t>
      </w:r>
      <w:r>
        <w:rPr>
          <w:rFonts w:ascii="DejaVu Serif" w:cs="DejaVu Serif" w:eastAsia="DejaVu Serif" w:hAnsi="DejaVu Serif"/>
          <w:b w:val="false"/>
          <w:bCs w:val="false"/>
          <w:i/>
          <w:iCs/>
          <w:color w:val="1A1A1A"/>
          <w:sz w:val="21"/>
          <w:szCs w:val="21"/>
        </w:rPr>
        <w:t xml:space="preserve">Decoding the Agentic Economy</w:t>
      </w:r>
      <w:r>
        <w:rPr>
          <w:rFonts w:ascii="DejaVu Serif" w:cs="DejaVu Serif" w:eastAsia="DejaVu Serif" w:hAnsi="DejaVu Serif"/>
          <w:b w:val="false"/>
          <w:bCs w:val="false"/>
          <w:i w:val="false"/>
          <w:iCs w:val="false"/>
          <w:color w:val="1A1A1A"/>
          <w:sz w:val="21"/>
          <w:szCs w:val="21"/>
        </w:rPr>
        <w:t xml:space="preserve">, projects global token consumption multiplying 24× by 2030 to 120 quadrillion tokens per month, and explains why in terms that should sound familiar: an agent continuously monitors its environment, re-reads context as conditions change, calls external tools, verifies its own output across multiple rounds, and often runs around the clock without a human prompting it. That is Spenditure, described by a bank.</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The spread between organizations is the real story. The median company spends about $11 per employee per month on tokens. The top one percent spends roughly $7,450 — a factor of six hundred. Meanwhile token prices have fallen something like 98% since early 2024, and enterprise AI bills have gone </w:t>
      </w:r>
      <w:r>
        <w:rPr>
          <w:rFonts w:ascii="DejaVu Serif" w:cs="DejaVu Serif" w:eastAsia="DejaVu Serif" w:hAnsi="DejaVu Serif"/>
          <w:b w:val="false"/>
          <w:bCs w:val="false"/>
          <w:i/>
          <w:iCs/>
          <w:color w:val="1A1A1A"/>
          <w:sz w:val="21"/>
          <w:szCs w:val="21"/>
        </w:rPr>
        <w:t xml:space="preserve">up</w:t>
      </w:r>
      <w:r>
        <w:rPr>
          <w:rFonts w:ascii="DejaVu Serif" w:cs="DejaVu Serif" w:eastAsia="DejaVu Serif" w:hAnsi="DejaVu Serif"/>
          <w:b w:val="false"/>
          <w:bCs w:val="false"/>
          <w:i w:val="false"/>
          <w:iCs w:val="false"/>
          <w:color w:val="1A1A1A"/>
          <w:sz w:val="21"/>
          <w:szCs w:val="21"/>
        </w:rPr>
        <w:t xml:space="preserve"> anyway, with a reported 73% of enterprises exceeding their original AI budgets last year. That is Jevons paradox arriving on schedule: when the unit cost of intelligence collapses, organizations run more agents rather than pocketing the savings.</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Even the vocabulary has caught up. Nvidia’s Jensen Huang argued at GTC 2026 that engineers should carry annual token budgets worth roughly half their salary — around $250,000 — and said he would be distinctly unhappy to find a $500,000 engineer spending only $5,000 a year on tokens. In June 2026 the Linux Foundation launched the Tokenomics Foundation, backed by Oracle, Google, Microsoft and JPMorganChase, to build open standards for exactly the cost-management problem this paper describes.</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None of this proves any single organization’s numbers. It establishes the trend line — and that the organizations at the front of it aren’t asking whether to spend tokens. They’re asking how to afford spending more.</w:t>
      </w:r>
    </w:p>
    <w:p>
      <w:pPr>
        <w:pStyle w:val="Heading2"/>
        <w:pBdr>
          <w:top w:val="single" w:color="1F6F77" w:sz="12" w:space="8"/>
        </w:pBdr>
        <w:spacing w:after="200" w:before="360"/>
      </w:pPr>
      <w:r>
        <w:rPr>
          <w:rFonts w:ascii="DejaVu Serif" w:cs="DejaVu Serif" w:eastAsia="DejaVu Serif" w:hAnsi="DejaVu Serif"/>
          <w:b/>
          <w:bCs/>
          <w:color w:val="1A1A1A"/>
          <w:sz w:val="33"/>
          <w:szCs w:val="33"/>
        </w:rPr>
        <w:t xml:space="preserve">4. Salesforce: Doing It Right and Still Struggling</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One company deserves a section of its own, because it shows the framework working and failing at the same time.</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On the Cost side, Salesforce does exactly what this paper recommends. Salesforce AI Research builds its own models — CodeGen, xGen, xGen-Sales, xLAM — and the stated rationale for xGen-Small could serve as this paper’s abstract: deliberately reduce parameter count while extending sequence capacity, achieving long-context understanding without prohibitive inference costs, delivering predictable low cost-to-serve and low energy use. A 9-billion-parameter model that ranks at or near the top among comparably sized peers. Not one expensive generalist for everything — purpose-built small models per task, served on optimized infrastructure with GPU utilization as an explicit engineering target. Textbook decoupling.</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The Spenditure is real too: over 22,000 Agentforce deals and 771 million agentic work units in a single quarter, growing 57% quarter over quarter, with agents resolving the large majority of customer queries without human involvement.</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And yet Salesforce has changed Agentforce pricing three times in eighteen months — from roughly $2 per conversation, to consumption-based credits at about $0.10 per agent action, and now toward charging per </w:t>
      </w:r>
      <w:r>
        <w:rPr>
          <w:rFonts w:ascii="DejaVu Serif" w:cs="DejaVu Serif" w:eastAsia="DejaVu Serif" w:hAnsi="DejaVu Serif"/>
          <w:b w:val="false"/>
          <w:bCs w:val="false"/>
          <w:i/>
          <w:iCs/>
          <w:color w:val="1A1A1A"/>
          <w:sz w:val="21"/>
          <w:szCs w:val="21"/>
        </w:rPr>
        <w:t xml:space="preserve">resolved outcome</w:t>
      </w:r>
      <w:r>
        <w:rPr>
          <w:rFonts w:ascii="DejaVu Serif" w:cs="DejaVu Serif" w:eastAsia="DejaVu Serif" w:hAnsi="DejaVu Serif"/>
          <w:b w:val="false"/>
          <w:bCs w:val="false"/>
          <w:i w:val="false"/>
          <w:iCs w:val="false"/>
          <w:color w:val="1A1A1A"/>
          <w:sz w:val="21"/>
          <w:szCs w:val="21"/>
        </w:rPr>
        <w:t xml:space="preserve">. The mechanics leak the difficulty: an action that crosses a 10,000-token threshold is billed as multiple actions, which turns prompt design and context injection into line items. One operations lead’s summary is the whole problem in a sentence: they never know what it will actually cost, how much to budget, or how the credits are calculated.</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The lesson is not that Salesforce got it wrong. It is that Token Value is genuinely hard, even for an organization with its own research lab and its own models. And the industry is converging on the same answer: HubSpot moved to charging per resolved conversation or generated lead, and ServiceNow is making similar adjustments, on the reasoning that vendors selling </w:t>
      </w:r>
      <w:r>
        <w:rPr>
          <w:rFonts w:ascii="DejaVu Serif" w:cs="DejaVu Serif" w:eastAsia="DejaVu Serif" w:hAnsi="DejaVu Serif"/>
          <w:b w:val="false"/>
          <w:bCs w:val="false"/>
          <w:i/>
          <w:iCs/>
          <w:color w:val="1A1A1A"/>
          <w:sz w:val="21"/>
          <w:szCs w:val="21"/>
        </w:rPr>
        <w:t xml:space="preserve">usage</w:t>
      </w:r>
      <w:r>
        <w:rPr>
          <w:rFonts w:ascii="DejaVu Serif" w:cs="DejaVu Serif" w:eastAsia="DejaVu Serif" w:hAnsi="DejaVu Serif"/>
          <w:b w:val="false"/>
          <w:bCs w:val="false"/>
          <w:i w:val="false"/>
          <w:iCs w:val="false"/>
          <w:color w:val="1A1A1A"/>
          <w:sz w:val="21"/>
          <w:szCs w:val="21"/>
        </w:rPr>
        <w:t xml:space="preserve"> rather than </w:t>
      </w:r>
      <w:r>
        <w:rPr>
          <w:rFonts w:ascii="DejaVu Serif" w:cs="DejaVu Serif" w:eastAsia="DejaVu Serif" w:hAnsi="DejaVu Serif"/>
          <w:b w:val="false"/>
          <w:bCs w:val="false"/>
          <w:i/>
          <w:iCs/>
          <w:color w:val="1A1A1A"/>
          <w:sz w:val="21"/>
          <w:szCs w:val="21"/>
        </w:rPr>
        <w:t xml:space="preserve">results</w:t>
      </w:r>
      <w:r>
        <w:rPr>
          <w:rFonts w:ascii="DejaVu Serif" w:cs="DejaVu Serif" w:eastAsia="DejaVu Serif" w:hAnsi="DejaVu Serif"/>
          <w:b w:val="false"/>
          <w:bCs w:val="false"/>
          <w:i w:val="false"/>
          <w:iCs w:val="false"/>
          <w:color w:val="1A1A1A"/>
          <w:sz w:val="21"/>
          <w:szCs w:val="21"/>
        </w:rPr>
        <w:t xml:space="preserve"> will eventually face a customer revolt. Pricing is migrating from Spenditure to Value — which is either strong validation of this framework or evidence that the market worked it out first. The urgency behind that shift: global AI software spend is projected at roughly $2.59 trillion for 2026, up 47% year over year, while an estimated 94% of engineering leaders report that core ROI metrics are still missing.</w:t>
      </w:r>
    </w:p>
    <w:p>
      <w:pPr>
        <w:pStyle w:val="Heading2"/>
        <w:pBdr>
          <w:top w:val="single" w:color="1F6F77" w:sz="12" w:space="8"/>
        </w:pBdr>
        <w:spacing w:after="200" w:before="360"/>
      </w:pPr>
      <w:r>
        <w:rPr>
          <w:rFonts w:ascii="DejaVu Serif" w:cs="DejaVu Serif" w:eastAsia="DejaVu Serif" w:hAnsi="DejaVu Serif"/>
          <w:b/>
          <w:bCs/>
          <w:color w:val="1A1A1A"/>
          <w:sz w:val="33"/>
          <w:szCs w:val="33"/>
        </w:rPr>
        <w:t xml:space="preserve">5. The Warning Bell</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The economics are shifting, on a timeline shorter than most roadmaps account for. Apple’s M7 Ultra, reported via Bloomberg for a 2028 Mac Studio, is being designed to support up to 1.5 TB of unified memory shared between CPU and GPU — workstation and server-hall territory, the kind of machine that sits in an office rack or an on-prem room, not a bag. Apple is reportedly building AI server variants on the same silicon lineage, and notably skipping M6 Pro and M6 Max entirely to fast-track the AI-focused M7 generation. The stepping stones arrive sooner: an M5 Ultra Mac Studio with 768 GB lands in late 2026. The detail matters less than the direction — commodity hardware capable of serious local inference is coming, fast, and from more than one vendor.</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That removes the excuse. “We can’t afford to run our own models” stops being true the moment the hardware fits in a server closet instead of a hyperscaler’s data center. The honest caveat: large unified memory makes big models </w:t>
      </w:r>
      <w:r>
        <w:rPr>
          <w:rFonts w:ascii="DejaVu Serif" w:cs="DejaVu Serif" w:eastAsia="DejaVu Serif" w:hAnsi="DejaVu Serif"/>
          <w:b w:val="false"/>
          <w:bCs w:val="false"/>
          <w:i/>
          <w:iCs/>
          <w:color w:val="1A1A1A"/>
          <w:sz w:val="21"/>
          <w:szCs w:val="21"/>
        </w:rPr>
        <w:t xml:space="preserve">fit</w:t>
      </w:r>
      <w:r>
        <w:rPr>
          <w:rFonts w:ascii="DejaVu Serif" w:cs="DejaVu Serif" w:eastAsia="DejaVu Serif" w:hAnsi="DejaVu Serif"/>
          <w:b w:val="false"/>
          <w:bCs w:val="false"/>
          <w:i w:val="false"/>
          <w:iCs w:val="false"/>
          <w:color w:val="1A1A1A"/>
          <w:sz w:val="21"/>
          <w:szCs w:val="21"/>
        </w:rPr>
        <w:t xml:space="preserve">; sustained swarm throughput, model loading, and energy draw are still real constraints, and “runs locally” is not yet “runs free.” But marginal cost per query is falling toward electricity and amortization — and you don’t have to wait for the 1.5 TB class. Unified-memory desktop nodes in the 128–256 GB range handle local agent swarms today (see Section 9); the 2028-class machines simply mark the threshold where frontier-scale reasoning moves entirely on-prem. Organizations that internalize this now will be running dense swarms locally within a few years, while the ones waiting for the next API price cut are still metering every call.</w:t>
      </w:r>
    </w:p>
    <w:p>
      <w:pPr>
        <w:pStyle w:val="Heading2"/>
        <w:pBdr>
          <w:top w:val="single" w:color="1F6F77" w:sz="12" w:space="8"/>
        </w:pBdr>
        <w:spacing w:after="200" w:before="360"/>
      </w:pPr>
      <w:r>
        <w:rPr>
          <w:rFonts w:ascii="DejaVu Serif" w:cs="DejaVu Serif" w:eastAsia="DejaVu Serif" w:hAnsi="DejaVu Serif"/>
          <w:b/>
          <w:bCs/>
          <w:color w:val="1A1A1A"/>
          <w:sz w:val="33"/>
          <w:szCs w:val="33"/>
        </w:rPr>
        <w:t xml:space="preserve">6. Why It Takes Dozens or Hundreds of Agents, Not One Chatbot</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Meaningful gains from agentic AI rarely come from a single well-prompted assistant. The largest gains usually emerge when dozens or hundreds of specialized agents attack a problem from different angles, reconciled by a synthesis layer. </w:t>
      </w:r>
      <w:r>
        <w:rPr>
          <w:rFonts w:ascii="DejaVu Serif" w:cs="DejaVu Serif" w:eastAsia="DejaVu Serif" w:hAnsi="DejaVu Serif"/>
          <w:b/>
          <w:bCs/>
          <w:i w:val="false"/>
          <w:iCs w:val="false"/>
          <w:color w:val="1A1A1A"/>
          <w:sz w:val="21"/>
          <w:szCs w:val="21"/>
        </w:rPr>
        <w:t xml:space="preserve">One chatbot is a demo.</w:t>
      </w:r>
      <w:r>
        <w:rPr>
          <w:rFonts w:ascii="DejaVu Serif" w:cs="DejaVu Serif" w:eastAsia="DejaVu Serif" w:hAnsi="DejaVu Serif"/>
          <w:b w:val="false"/>
          <w:bCs w:val="false"/>
          <w:i w:val="false"/>
          <w:iCs w:val="false"/>
          <w:color w:val="1A1A1A"/>
          <w:sz w:val="21"/>
          <w:szCs w:val="21"/>
        </w:rPr>
        <w:t xml:space="preserve"> Many agents fetching data, testing hypotheses, and cross-checking each other — that’s a system that moves a metric. The Spenditure in these architectures comes mostly from the parts a serial chatbot doesn’t have at all: reflection loops, cross-validation, and consensus between agents.</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Moving a real metric generates real Spenditure, a lot of it. If your Spenditure isn’t climbing, your swarm probably isn’t big enough to matter. If your Cost climbs at the same rate as Spenditure, your architecture isn’t doing its job. A few problems, spread across industries so the pattern reads as general:</w:t>
      </w:r>
    </w:p>
    <w:p>
      <w:pPr>
        <w:pStyle w:val="ListParagraph"/>
        <w:numPr>
          <w:ilvl w:val="0"/>
          <w:numId w:val="2"/>
        </w:numPr>
        <w:spacing w:after="120" w:line="300"/>
      </w:pPr>
      <w:r>
        <w:rPr>
          <w:rFonts w:ascii="DejaVu Serif" w:cs="DejaVu Serif" w:eastAsia="DejaVu Serif" w:hAnsi="DejaVu Serif"/>
          <w:b/>
          <w:bCs/>
          <w:color w:val="1A1A1A"/>
          <w:sz w:val="21"/>
          <w:szCs w:val="21"/>
        </w:rPr>
        <w:t xml:space="preserve">Heavy transport / fuel efficiency</w:t>
      </w:r>
      <w:r>
        <w:rPr>
          <w:rFonts w:ascii="DejaVu Serif" w:cs="DejaVu Serif" w:eastAsia="DejaVu Serif" w:hAnsi="DejaVu Serif"/>
          <w:color w:val="1A1A1A"/>
          <w:sz w:val="21"/>
          <w:szCs w:val="21"/>
        </w:rPr>
        <w:t xml:space="preserve"> — shaving a few percent off fleet consumption needs agents continuously testing routing, load, and maintenance timing against live data, not a quarterly script.</w:t>
      </w:r>
    </w:p>
    <w:p>
      <w:pPr>
        <w:pStyle w:val="ListParagraph"/>
        <w:numPr>
          <w:ilvl w:val="0"/>
          <w:numId w:val="2"/>
        </w:numPr>
        <w:spacing w:after="120" w:line="300"/>
      </w:pPr>
      <w:r>
        <w:rPr>
          <w:rFonts w:ascii="DejaVu Serif" w:cs="DejaVu Serif" w:eastAsia="DejaVu Serif" w:hAnsi="DejaVu Serif"/>
          <w:b/>
          <w:bCs/>
          <w:color w:val="1A1A1A"/>
          <w:sz w:val="21"/>
          <w:szCs w:val="21"/>
        </w:rPr>
        <w:t xml:space="preserve">Pharmaceutical discovery</w:t>
      </w:r>
      <w:r>
        <w:rPr>
          <w:rFonts w:ascii="DejaVu Serif" w:cs="DejaVu Serif" w:eastAsia="DejaVu Serif" w:hAnsi="DejaVu Serif"/>
          <w:color w:val="1A1A1A"/>
          <w:sz w:val="21"/>
          <w:szCs w:val="21"/>
        </w:rPr>
        <w:t xml:space="preserve"> — parallel agents screening candidates and cross-referencing literature outperform any single research assistant; the search space is too large for serial reasoning.</w:t>
      </w:r>
    </w:p>
    <w:p>
      <w:pPr>
        <w:pStyle w:val="ListParagraph"/>
        <w:numPr>
          <w:ilvl w:val="0"/>
          <w:numId w:val="2"/>
        </w:numPr>
        <w:spacing w:after="120" w:line="300"/>
      </w:pPr>
      <w:r>
        <w:rPr>
          <w:rFonts w:ascii="DejaVu Serif" w:cs="DejaVu Serif" w:eastAsia="DejaVu Serif" w:hAnsi="DejaVu Serif"/>
          <w:b/>
          <w:bCs/>
          <w:color w:val="1A1A1A"/>
          <w:sz w:val="21"/>
          <w:szCs w:val="21"/>
        </w:rPr>
        <w:t xml:space="preserve">Energy grid balancing</w:t>
      </w:r>
      <w:r>
        <w:rPr>
          <w:rFonts w:ascii="DejaVu Serif" w:cs="DejaVu Serif" w:eastAsia="DejaVu Serif" w:hAnsi="DejaVu Serif"/>
          <w:color w:val="1A1A1A"/>
          <w:sz w:val="21"/>
          <w:szCs w:val="21"/>
        </w:rPr>
        <w:t xml:space="preserve"> — matching renewable volatility to demand needs constant, distributed forecasting between many local agents, not periodic central calls.</w:t>
      </w:r>
    </w:p>
    <w:p>
      <w:pPr>
        <w:pStyle w:val="ListParagraph"/>
        <w:numPr>
          <w:ilvl w:val="0"/>
          <w:numId w:val="2"/>
        </w:numPr>
        <w:spacing w:after="120" w:line="300"/>
      </w:pPr>
      <w:r>
        <w:rPr>
          <w:rFonts w:ascii="DejaVu Serif" w:cs="DejaVu Serif" w:eastAsia="DejaVu Serif" w:hAnsi="DejaVu Serif"/>
          <w:b/>
          <w:bCs/>
          <w:color w:val="1A1A1A"/>
          <w:sz w:val="21"/>
          <w:szCs w:val="21"/>
        </w:rPr>
        <w:t xml:space="preserve">Logistics and supply chain routing</w:t>
      </w:r>
      <w:r>
        <w:rPr>
          <w:rFonts w:ascii="DejaVu Serif" w:cs="DejaVu Serif" w:eastAsia="DejaVu Serif" w:hAnsi="DejaVu Serif"/>
          <w:color w:val="1A1A1A"/>
          <w:sz w:val="21"/>
          <w:szCs w:val="21"/>
        </w:rPr>
        <w:t xml:space="preserve"> — the same swarm logic applied to shipping, containers, and warehouse allocation, where the data never stops moving.</w:t>
      </w:r>
    </w:p>
    <w:p>
      <w:pPr>
        <w:pStyle w:val="ListParagraph"/>
        <w:numPr>
          <w:ilvl w:val="0"/>
          <w:numId w:val="2"/>
        </w:numPr>
        <w:spacing w:after="120" w:line="300"/>
      </w:pPr>
      <w:r>
        <w:rPr>
          <w:rFonts w:ascii="DejaVu Serif" w:cs="DejaVu Serif" w:eastAsia="DejaVu Serif" w:hAnsi="DejaVu Serif"/>
          <w:b/>
          <w:bCs/>
          <w:color w:val="1A1A1A"/>
          <w:sz w:val="21"/>
          <w:szCs w:val="21"/>
        </w:rPr>
        <w:t xml:space="preserve">Content and recommendation at scale</w:t>
      </w:r>
      <w:r>
        <w:rPr>
          <w:rFonts w:ascii="DejaVu Serif" w:cs="DejaVu Serif" w:eastAsia="DejaVu Serif" w:hAnsi="DejaVu Serif"/>
          <w:color w:val="1A1A1A"/>
          <w:sz w:val="21"/>
          <w:szCs w:val="21"/>
        </w:rPr>
        <w:t xml:space="preserve"> — genuine personalization needs many lightweight agents reasoning per-user in parallel, not one generic model.</w:t>
      </w:r>
    </w:p>
    <w:p>
      <w:pPr>
        <w:spacing w:after="180" w:before="120" w:line="300"/>
        <w:jc w:val="both"/>
      </w:pPr>
      <w:r>
        <w:rPr>
          <w:rFonts w:ascii="DejaVu Serif" w:cs="DejaVu Serif" w:eastAsia="DejaVu Serif" w:hAnsi="DejaVu Serif"/>
          <w:b w:val="false"/>
          <w:bCs w:val="false"/>
          <w:i w:val="false"/>
          <w:iCs w:val="false"/>
          <w:color w:val="1A1A1A"/>
          <w:sz w:val="21"/>
          <w:szCs w:val="21"/>
        </w:rPr>
        <w:t xml:space="preserve">Several of these domains already run continuous algorithmic optimization — route solvers, demand forecasters, recommender models. The distinction matters: those systems optimize within a fixed problem formulation someone wrote down years ago. An agent swarm can reformulate the problem, pull in a data source nobody thought to connect, and question the assumption underneath the solver. That reformulation work is where the new Spenditure goes, and it’s why the token bill in these domains </w:t>
      </w:r>
      <w:r>
        <w:rPr>
          <w:rFonts w:ascii="DejaVu Serif" w:cs="DejaVu Serif" w:eastAsia="DejaVu Serif" w:hAnsi="DejaVu Serif"/>
          <w:b w:val="false"/>
          <w:bCs w:val="false"/>
          <w:i/>
          <w:iCs/>
          <w:color w:val="1A1A1A"/>
          <w:sz w:val="21"/>
          <w:szCs w:val="21"/>
        </w:rPr>
        <w:t xml:space="preserve">should</w:t>
      </w:r>
      <w:r>
        <w:rPr>
          <w:rFonts w:ascii="DejaVu Serif" w:cs="DejaVu Serif" w:eastAsia="DejaVu Serif" w:hAnsi="DejaVu Serif"/>
          <w:b w:val="false"/>
          <w:bCs w:val="false"/>
          <w:i w:val="false"/>
          <w:iCs w:val="false"/>
          <w:color w:val="1A1A1A"/>
          <w:sz w:val="21"/>
          <w:szCs w:val="21"/>
        </w:rPr>
        <w:t xml:space="preserve"> reach the boardroom. If it hasn’t, the swarm isn’t running yet — you’re still optimizing the old model.</w:t>
      </w:r>
    </w:p>
    <w:p>
      <w:pPr>
        <w:pStyle w:val="Heading2"/>
        <w:pBdr>
          <w:top w:val="single" w:color="1F6F77" w:sz="12" w:space="8"/>
        </w:pBdr>
        <w:spacing w:after="200" w:before="360"/>
      </w:pPr>
      <w:r>
        <w:rPr>
          <w:rFonts w:ascii="DejaVu Serif" w:cs="DejaVu Serif" w:eastAsia="DejaVu Serif" w:hAnsi="DejaVu Serif"/>
          <w:b/>
          <w:bCs/>
          <w:color w:val="1A1A1A"/>
          <w:sz w:val="33"/>
          <w:szCs w:val="33"/>
        </w:rPr>
        <w:t xml:space="preserve">7. Proof, Not Theory</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The Factory — ten agents, five models, running ideation through delivery on a single workstation-class GPU — was built specifically because cloud-API-scale Cost would have made it uneconomical. The constraint drove the design: each model sized to its task rather than one frontier model for everything; local inference for the high-volume, always-on stages; frontier APIs reserved for the few steps where quality genuinely pays for itself. The pipeline runs continuously, so Spenditure stays high, while Cost sits at hardware amortization plus electricity rather than per-token billing. The system exists in its current form </w:t>
      </w:r>
      <w:r>
        <w:rPr>
          <w:rFonts w:ascii="DejaVu Serif" w:cs="DejaVu Serif" w:eastAsia="DejaVu Serif" w:hAnsi="DejaVu Serif"/>
          <w:b w:val="false"/>
          <w:bCs w:val="false"/>
          <w:i/>
          <w:iCs/>
          <w:color w:val="1A1A1A"/>
          <w:sz w:val="21"/>
          <w:szCs w:val="21"/>
        </w:rPr>
        <w:t xml:space="preserve">because of</w:t>
      </w:r>
      <w:r>
        <w:rPr>
          <w:rFonts w:ascii="DejaVu Serif" w:cs="DejaVu Serif" w:eastAsia="DejaVu Serif" w:hAnsi="DejaVu Serif"/>
          <w:b w:val="false"/>
          <w:bCs w:val="false"/>
          <w:i w:val="false"/>
          <w:iCs w:val="false"/>
          <w:color w:val="1A1A1A"/>
          <w:sz w:val="21"/>
          <w:szCs w:val="21"/>
        </w:rPr>
        <w:t xml:space="preserve"> that pressure — the constraint was the innovation engine, not an obstacle to it.</w:t>
      </w:r>
    </w:p>
    <w:p>
      <w:pPr>
        <w:pStyle w:val="Heading2"/>
        <w:pBdr>
          <w:top w:val="single" w:color="1F6F77" w:sz="12" w:space="8"/>
        </w:pBdr>
        <w:spacing w:after="200" w:before="360"/>
      </w:pPr>
      <w:r>
        <w:rPr>
          <w:rFonts w:ascii="DejaVu Serif" w:cs="DejaVu Serif" w:eastAsia="DejaVu Serif" w:hAnsi="DejaVu Serif"/>
          <w:b/>
          <w:bCs/>
          <w:color w:val="1A1A1A"/>
          <w:sz w:val="33"/>
          <w:szCs w:val="33"/>
        </w:rPr>
        <w:t xml:space="preserve">8. The Risk</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Push this framework too hard and it can turn against itself in two ways.</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First, decoupling Cost from Spenditure takes real infrastructure — custom silicon, local clusters, proprietary optimization pipelines — and that infrastructure is itself a capital-intensive game. Chase Token Cost down far enough and the advantage concentrates in whoever can afford to build it, tilting the field toward the same handful of infrastructure owners this framework was meant to help you compete with. Optimization, left unchecked, can entrench monopoly rather than break it.</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Second, Token Value is the easiest of the three numbers to misrepresent. A model optimized purely to produce more tokens per dollar can look efficient on paper while quietly producing less useful output per token — verbose, redundant, or busywork tokens that inflate Spenditure and depress Cost without moving anything real. “Congratulations, your agents generated forty billion tokens arguing with each other” is a failure state, not a milestone. Measure Value against actual outcomes, not against token count, or the other two numbers will lie for you.</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This objection already has a name, and the critique deserves to be met head-on rather than waved past. </w:t>
      </w:r>
      <w:r>
        <w:rPr>
          <w:rFonts w:ascii="DejaVu Serif" w:cs="DejaVu Serif" w:eastAsia="DejaVu Serif" w:hAnsi="DejaVu Serif"/>
          <w:b w:val="false"/>
          <w:bCs w:val="false"/>
          <w:i/>
          <w:iCs/>
          <w:color w:val="1A1A1A"/>
          <w:sz w:val="21"/>
          <w:szCs w:val="21"/>
        </w:rPr>
        <w:t xml:space="preserve">Tokenmaxxing</w:t>
      </w:r>
      <w:r>
        <w:rPr>
          <w:rFonts w:ascii="DejaVu Serif" w:cs="DejaVu Serif" w:eastAsia="DejaVu Serif" w:hAnsi="DejaVu Serif"/>
          <w:b w:val="false"/>
          <w:bCs w:val="false"/>
          <w:i w:val="false"/>
          <w:iCs w:val="false"/>
          <w:color w:val="1A1A1A"/>
          <w:sz w:val="21"/>
          <w:szCs w:val="21"/>
        </w:rPr>
        <w:t xml:space="preserve"> — treating token consumption as a proxy for productivity — is a real and documented failure mode, and the evidence against naïve volume-chasing is not trivial: data drawn from some 22,000 developers reportedly shows bugs up 54% and code churn up 861% in high-AI-adoption environments. A reader encountering this paper’s argument for high Spenditure is entitled to ask whether it is tokenmaxxing with a better vocabulary.</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It isn’t, and the distinction is precisely the three-needle split. Tokenmaxxing is Spenditure treated </w:t>
      </w:r>
      <w:r>
        <w:rPr>
          <w:rFonts w:ascii="DejaVu Serif" w:cs="DejaVu Serif" w:eastAsia="DejaVu Serif" w:hAnsi="DejaVu Serif"/>
          <w:b w:val="false"/>
          <w:bCs w:val="false"/>
          <w:i/>
          <w:iCs/>
          <w:color w:val="1A1A1A"/>
          <w:sz w:val="21"/>
          <w:szCs w:val="21"/>
        </w:rPr>
        <w:t xml:space="preserve">as</w:t>
      </w:r>
      <w:r>
        <w:rPr>
          <w:rFonts w:ascii="DejaVu Serif" w:cs="DejaVu Serif" w:eastAsia="DejaVu Serif" w:hAnsi="DejaVu Serif"/>
          <w:b w:val="false"/>
          <w:bCs w:val="false"/>
          <w:i w:val="false"/>
          <w:iCs w:val="false"/>
          <w:color w:val="1A1A1A"/>
          <w:sz w:val="21"/>
          <w:szCs w:val="21"/>
        </w:rPr>
        <w:t xml:space="preserve"> the outcome. This framework treats Spenditure as an input that is worthless unless Value moves — which is why Value carries the veto, why the unit is outcomes per token, and why teams reporting 60–90% token reductions through better agent architecture are demonstrating the thesis rather than contradicting it. Falling Cost at constant Value is a win. Rising Spenditure at flat Value is the failure the critics correctly identify. Anyone who reads this paper as permission to burn tokens has read exactly half of it.</w:t>
      </w:r>
    </w:p>
    <w:p>
      <w:pPr>
        <w:pStyle w:val="Heading2"/>
        <w:pBdr>
          <w:top w:val="single" w:color="1F6F77" w:sz="12" w:space="8"/>
        </w:pBdr>
        <w:spacing w:after="200" w:before="360"/>
      </w:pPr>
      <w:r>
        <w:rPr>
          <w:rFonts w:ascii="DejaVu Serif" w:cs="DejaVu Serif" w:eastAsia="DejaVu Serif" w:hAnsi="DejaVu Serif"/>
          <w:b/>
          <w:bCs/>
          <w:color w:val="1A1A1A"/>
          <w:sz w:val="33"/>
          <w:szCs w:val="33"/>
        </w:rPr>
        <w:t xml:space="preserve">9. Hardware Available Right Now</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You don’t have to wait for 2028. Unified-memory desktop machines already make local agent swarms economically viable:</w:t>
      </w:r>
    </w:p>
    <w:p>
      <w:pPr>
        <w:pStyle w:val="ListParagraph"/>
        <w:numPr>
          <w:ilvl w:val="0"/>
          <w:numId w:val="2"/>
        </w:numPr>
        <w:spacing w:after="120" w:line="300"/>
      </w:pPr>
      <w:r>
        <w:rPr>
          <w:rFonts w:ascii="DejaVu Serif" w:cs="DejaVu Serif" w:eastAsia="DejaVu Serif" w:hAnsi="DejaVu Serif"/>
          <w:b/>
          <w:bCs/>
          <w:color w:val="1A1A1A"/>
          <w:sz w:val="21"/>
          <w:szCs w:val="21"/>
        </w:rPr>
        <w:t xml:space="preserve">NVIDIA DGX Spark</w:t>
      </w:r>
      <w:r>
        <w:rPr>
          <w:rFonts w:ascii="DejaVu Serif" w:cs="DejaVu Serif" w:eastAsia="DejaVu Serif" w:hAnsi="DejaVu Serif"/>
          <w:color w:val="1A1A1A"/>
          <w:sz w:val="21"/>
          <w:szCs w:val="21"/>
        </w:rPr>
        <w:t xml:space="preserve"> — roughly $3,000–4,700. 128 GB unified CPU+GPU memory, full CUDA stack, runs fully offline; handles 70B models without quantization, and two units can be paired for 256 GB. Throughput per agent is modest, which sounds disqualifying until you remember the architecture this paper argues for: asynchronous background agents care about task completion over hours, not streaming latency for human eyes. A swarm doesn’t need any single agent to be fast — it needs many agents to be always on and nearly free.</w:t>
      </w:r>
    </w:p>
    <w:p>
      <w:pPr>
        <w:pStyle w:val="ListParagraph"/>
        <w:numPr>
          <w:ilvl w:val="0"/>
          <w:numId w:val="2"/>
        </w:numPr>
        <w:spacing w:after="120" w:line="300"/>
      </w:pPr>
      <w:r>
        <w:rPr>
          <w:rFonts w:ascii="DejaVu Serif" w:cs="DejaVu Serif" w:eastAsia="DejaVu Serif" w:hAnsi="DejaVu Serif"/>
          <w:b/>
          <w:bCs/>
          <w:color w:val="1A1A1A"/>
          <w:sz w:val="21"/>
          <w:szCs w:val="21"/>
        </w:rPr>
        <w:t xml:space="preserve">NVIDIA DGX Station</w:t>
      </w:r>
      <w:r>
        <w:rPr>
          <w:rFonts w:ascii="DejaVu Serif" w:cs="DejaVu Serif" w:eastAsia="DejaVu Serif" w:hAnsi="DejaVu Serif"/>
          <w:color w:val="1A1A1A"/>
          <w:sz w:val="21"/>
          <w:szCs w:val="21"/>
        </w:rPr>
        <w:t xml:space="preserve"> — the bigger sibling, a proper desktop workstation rather than a hand-sized box. More power, more cost, aimed at teams doing heavier fine-tuning rather than inference alone.</w:t>
      </w:r>
    </w:p>
    <w:p>
      <w:pPr>
        <w:pStyle w:val="ListParagraph"/>
        <w:numPr>
          <w:ilvl w:val="0"/>
          <w:numId w:val="2"/>
        </w:numPr>
        <w:spacing w:after="120" w:line="300"/>
      </w:pPr>
      <w:r>
        <w:rPr>
          <w:rFonts w:ascii="DejaVu Serif" w:cs="DejaVu Serif" w:eastAsia="DejaVu Serif" w:hAnsi="DejaVu Serif"/>
          <w:b/>
          <w:bCs/>
          <w:color w:val="1A1A1A"/>
          <w:sz w:val="21"/>
          <w:szCs w:val="21"/>
        </w:rPr>
        <w:t xml:space="preserve">A high-end gaming PC (RTX 5090-class)</w:t>
      </w:r>
      <w:r>
        <w:rPr>
          <w:rFonts w:ascii="DejaVu Serif" w:cs="DejaVu Serif" w:eastAsia="DejaVu Serif" w:hAnsi="DejaVu Serif"/>
          <w:color w:val="1A1A1A"/>
          <w:sz w:val="21"/>
          <w:szCs w:val="21"/>
        </w:rPr>
        <w:t xml:space="preserve"> — more raw GPU throughput per dollar, and doubles as a video/render rig. But no unified memory: capped by VRAM, which rules out the model sizes a unified-memory box handles comfortably.</w:t>
      </w:r>
    </w:p>
    <w:p>
      <w:pPr>
        <w:spacing w:after="180" w:before="120" w:line="300"/>
        <w:jc w:val="both"/>
      </w:pPr>
      <w:r>
        <w:rPr>
          <w:rFonts w:ascii="DejaVu Serif" w:cs="DejaVu Serif" w:eastAsia="DejaVu Serif" w:hAnsi="DejaVu Serif"/>
          <w:b w:val="false"/>
          <w:bCs w:val="false"/>
          <w:i w:val="false"/>
          <w:iCs w:val="false"/>
          <w:color w:val="1A1A1A"/>
          <w:sz w:val="21"/>
          <w:szCs w:val="21"/>
        </w:rPr>
        <w:t xml:space="preserve">For organizations serious about Spenditure rather than curious about it, the unified-memory route is the honest bridge. The gaming-PC route makes sense only if the real bottleneck is graphics work rather than agent inference.</w:t>
      </w:r>
    </w:p>
    <w:p>
      <w:pPr>
        <w:pStyle w:val="Heading2"/>
        <w:pBdr>
          <w:top w:val="single" w:color="1F6F77" w:sz="12" w:space="8"/>
        </w:pBdr>
        <w:spacing w:after="200" w:before="360"/>
      </w:pPr>
      <w:r>
        <w:rPr>
          <w:rFonts w:ascii="DejaVu Serif" w:cs="DejaVu Serif" w:eastAsia="DejaVu Serif" w:hAnsi="DejaVu Serif"/>
          <w:b/>
          <w:bCs/>
          <w:color w:val="1A1A1A"/>
          <w:sz w:val="33"/>
          <w:szCs w:val="33"/>
        </w:rPr>
        <w:t xml:space="preserve">10. Two Postures, Side by Side</w:t>
      </w:r>
    </w:p>
    <w:tbl>
      <w:tblPr>
        <w:tblW w:type="dxa" w:w="9400"/>
        <w:tblBorders>
          <w:top w:val="none"/>
          <w:left w:val="none"/>
          <w:bottom w:val="none"/>
          <w:right w:val="none"/>
          <w:insideH w:val="single" w:color="E6E2DC" w:sz="2"/>
          <w:insideV w:val="none"/>
        </w:tblBorders>
      </w:tblPr>
      <w:tblGrid>
        <w:gridCol w:w="2100"/>
        <w:gridCol w:w="3300"/>
        <w:gridCol w:w="4000"/>
      </w:tblGrid>
      <w:tr>
        <w:trPr>
          <w:tblHeader/>
        </w:trPr>
        <w:tc>
          <w:tcPr>
            <w:tcW w:type="dxa" w:w="0"/>
            <w:shd w:fill="1F6F77" w:val="clear"/>
            <w:tcMar>
              <w:top w:type="dxa" w:w="120"/>
              <w:left w:type="dxa" w:w="150"/>
              <w:bottom w:type="dxa" w:w="120"/>
              <w:right w:type="dxa" w:w="150"/>
            </w:tcMar>
          </w:tcPr>
          <w:p>
            <w:r>
              <w:rPr>
                <w:rFonts w:ascii="Carlito" w:cs="Carlito" w:eastAsia="Carlito" w:hAnsi="Carlito"/>
                <w:b/>
                <w:bCs/>
                <w:color w:val="FFFFFF"/>
                <w:sz w:val="17"/>
                <w:szCs w:val="17"/>
              </w:rPr>
              <w:t xml:space="preserve"/>
            </w:r>
          </w:p>
        </w:tc>
        <w:tc>
          <w:tcPr>
            <w:tcW w:type="dxa" w:w="0"/>
            <w:shd w:fill="1F6F77" w:val="clear"/>
            <w:tcMar>
              <w:top w:type="dxa" w:w="120"/>
              <w:left w:type="dxa" w:w="150"/>
              <w:bottom w:type="dxa" w:w="120"/>
              <w:right w:type="dxa" w:w="150"/>
            </w:tcMar>
          </w:tcPr>
          <w:p>
            <w:r>
              <w:rPr>
                <w:rFonts w:ascii="Carlito" w:cs="Carlito" w:eastAsia="Carlito" w:hAnsi="Carlito"/>
                <w:b/>
                <w:bCs/>
                <w:color w:val="FFFFFF"/>
                <w:sz w:val="17"/>
                <w:szCs w:val="17"/>
              </w:rPr>
              <w:t xml:space="preserve">Legacy posture (throttled)</w:t>
            </w:r>
          </w:p>
        </w:tc>
        <w:tc>
          <w:tcPr>
            <w:tcW w:type="dxa" w:w="0"/>
            <w:shd w:fill="1F6F77" w:val="clear"/>
            <w:tcMar>
              <w:top w:type="dxa" w:w="120"/>
              <w:left w:type="dxa" w:w="150"/>
              <w:bottom w:type="dxa" w:w="120"/>
              <w:right w:type="dxa" w:w="150"/>
            </w:tcMar>
          </w:tcPr>
          <w:p>
            <w:r>
              <w:rPr>
                <w:rFonts w:ascii="Carlito" w:cs="Carlito" w:eastAsia="Carlito" w:hAnsi="Carlito"/>
                <w:b/>
                <w:bCs/>
                <w:color w:val="FFFFFF"/>
                <w:sz w:val="17"/>
                <w:szCs w:val="17"/>
              </w:rPr>
              <w:t xml:space="preserve">Decoupled posture (optimized)</w:t>
            </w:r>
          </w:p>
        </w:tc>
      </w:tr>
      <w:tr>
        <w:tc>
          <w:tcPr>
            <w:tcW w:type="dxa" w:w="2100"/>
            <w:shd w:fill="FFFFFF" w:val="clear"/>
            <w:tcMar>
              <w:top w:type="dxa" w:w="120"/>
              <w:left w:type="dxa" w:w="150"/>
              <w:bottom w:type="dxa" w:w="120"/>
              <w:right w:type="dxa" w:w="150"/>
            </w:tcMar>
          </w:tcPr>
          <w:p>
            <w:r>
              <w:rPr>
                <w:rFonts w:ascii="Carlito" w:cs="Carlito" w:eastAsia="Carlito" w:hAnsi="Carlito"/>
                <w:b/>
                <w:bCs/>
                <w:color w:val="1A1A1A"/>
                <w:sz w:val="17"/>
                <w:szCs w:val="17"/>
              </w:rPr>
              <w:t xml:space="preserve">Primary goal</w:t>
            </w:r>
          </w:p>
        </w:tc>
        <w:tc>
          <w:tcPr>
            <w:tcW w:type="dxa" w:w="3300"/>
            <w:shd w:fill="FFFFFF" w:val="clear"/>
            <w:tcMar>
              <w:top w:type="dxa" w:w="120"/>
              <w:left w:type="dxa" w:w="150"/>
              <w:bottom w:type="dxa" w:w="120"/>
              <w:right w:type="dxa" w:w="150"/>
            </w:tcMar>
          </w:tcPr>
          <w:p>
            <w:r>
              <w:rPr>
                <w:rFonts w:ascii="Carlito" w:cs="Carlito" w:eastAsia="Carlito" w:hAnsi="Carlito"/>
                <w:b w:val="false"/>
                <w:bCs w:val="false"/>
                <w:color w:val="1A1A1A"/>
                <w:sz w:val="17"/>
                <w:szCs w:val="17"/>
              </w:rPr>
              <w:t xml:space="preserve">Minimize the inference bill</w:t>
            </w:r>
          </w:p>
        </w:tc>
        <w:tc>
          <w:tcPr>
            <w:tcW w:type="dxa" w:w="4000"/>
            <w:shd w:fill="FFFFFF" w:val="clear"/>
            <w:tcMar>
              <w:top w:type="dxa" w:w="120"/>
              <w:left w:type="dxa" w:w="150"/>
              <w:bottom w:type="dxa" w:w="120"/>
              <w:right w:type="dxa" w:w="150"/>
            </w:tcMar>
          </w:tcPr>
          <w:p>
            <w:r>
              <w:rPr>
                <w:rFonts w:ascii="Carlito" w:cs="Carlito" w:eastAsia="Carlito" w:hAnsi="Carlito"/>
                <w:b w:val="false"/>
                <w:bCs w:val="false"/>
                <w:color w:val="1A1A1A"/>
                <w:sz w:val="17"/>
                <w:szCs w:val="17"/>
              </w:rPr>
              <w:t xml:space="preserve">Maximize AI integration density</w:t>
            </w:r>
          </w:p>
        </w:tc>
      </w:tr>
      <w:tr>
        <w:tc>
          <w:tcPr>
            <w:tcW w:type="dxa" w:w="2100"/>
            <w:shd w:fill="F5F2EC" w:val="clear"/>
            <w:tcMar>
              <w:top w:type="dxa" w:w="120"/>
              <w:left w:type="dxa" w:w="150"/>
              <w:bottom w:type="dxa" w:w="120"/>
              <w:right w:type="dxa" w:w="150"/>
            </w:tcMar>
          </w:tcPr>
          <w:p>
            <w:r>
              <w:rPr>
                <w:rFonts w:ascii="Carlito" w:cs="Carlito" w:eastAsia="Carlito" w:hAnsi="Carlito"/>
                <w:b/>
                <w:bCs/>
                <w:color w:val="1A1A1A"/>
                <w:sz w:val="17"/>
                <w:szCs w:val="17"/>
              </w:rPr>
              <w:t xml:space="preserve">Architecture</w:t>
            </w:r>
          </w:p>
        </w:tc>
        <w:tc>
          <w:tcPr>
            <w:tcW w:type="dxa" w:w="3300"/>
            <w:shd w:fill="F5F2EC" w:val="clear"/>
            <w:tcMar>
              <w:top w:type="dxa" w:w="120"/>
              <w:left w:type="dxa" w:w="150"/>
              <w:bottom w:type="dxa" w:w="120"/>
              <w:right w:type="dxa" w:w="150"/>
            </w:tcMar>
          </w:tcPr>
          <w:p>
            <w:r>
              <w:rPr>
                <w:rFonts w:ascii="Carlito" w:cs="Carlito" w:eastAsia="Carlito" w:hAnsi="Carlito"/>
                <w:b w:val="false"/>
                <w:bCs w:val="false"/>
                <w:color w:val="1A1A1A"/>
                <w:sz w:val="17"/>
                <w:szCs w:val="17"/>
              </w:rPr>
              <w:t xml:space="preserve">One frontier model, API calls</w:t>
            </w:r>
          </w:p>
        </w:tc>
        <w:tc>
          <w:tcPr>
            <w:tcW w:type="dxa" w:w="4000"/>
            <w:shd w:fill="F5F2EC" w:val="clear"/>
            <w:tcMar>
              <w:top w:type="dxa" w:w="120"/>
              <w:left w:type="dxa" w:w="150"/>
              <w:bottom w:type="dxa" w:w="120"/>
              <w:right w:type="dxa" w:w="150"/>
            </w:tcMar>
          </w:tcPr>
          <w:p>
            <w:r>
              <w:rPr>
                <w:rFonts w:ascii="Carlito" w:cs="Carlito" w:eastAsia="Carlito" w:hAnsi="Carlito"/>
                <w:b w:val="false"/>
                <w:bCs w:val="false"/>
                <w:color w:val="1A1A1A"/>
                <w:sz w:val="17"/>
                <w:szCs w:val="17"/>
              </w:rPr>
              <w:t xml:space="preserve">Swarms of specialized models + routing, local where it counts</w:t>
            </w:r>
          </w:p>
        </w:tc>
      </w:tr>
      <w:tr>
        <w:tc>
          <w:tcPr>
            <w:tcW w:type="dxa" w:w="2100"/>
            <w:shd w:fill="FFFFFF" w:val="clear"/>
            <w:tcMar>
              <w:top w:type="dxa" w:w="120"/>
              <w:left w:type="dxa" w:w="150"/>
              <w:bottom w:type="dxa" w:w="120"/>
              <w:right w:type="dxa" w:w="150"/>
            </w:tcMar>
          </w:tcPr>
          <w:p>
            <w:r>
              <w:rPr>
                <w:rFonts w:ascii="Carlito" w:cs="Carlito" w:eastAsia="Carlito" w:hAnsi="Carlito"/>
                <w:b/>
                <w:bCs/>
                <w:color w:val="1A1A1A"/>
                <w:sz w:val="17"/>
                <w:szCs w:val="17"/>
              </w:rPr>
              <w:t xml:space="preserve">Cost behavior</w:t>
            </w:r>
          </w:p>
        </w:tc>
        <w:tc>
          <w:tcPr>
            <w:tcW w:type="dxa" w:w="3300"/>
            <w:shd w:fill="FFFFFF" w:val="clear"/>
            <w:tcMar>
              <w:top w:type="dxa" w:w="120"/>
              <w:left w:type="dxa" w:w="150"/>
              <w:bottom w:type="dxa" w:w="120"/>
              <w:right w:type="dxa" w:w="150"/>
            </w:tcMar>
          </w:tcPr>
          <w:p>
            <w:r>
              <w:rPr>
                <w:rFonts w:ascii="Carlito" w:cs="Carlito" w:eastAsia="Carlito" w:hAnsi="Carlito"/>
                <w:b w:val="false"/>
                <w:bCs w:val="false"/>
                <w:color w:val="1A1A1A"/>
                <w:sz w:val="17"/>
                <w:szCs w:val="17"/>
              </w:rPr>
              <w:t xml:space="preserve">Scales linearly with ambition</w:t>
            </w:r>
          </w:p>
        </w:tc>
        <w:tc>
          <w:tcPr>
            <w:tcW w:type="dxa" w:w="4000"/>
            <w:shd w:fill="FFFFFF" w:val="clear"/>
            <w:tcMar>
              <w:top w:type="dxa" w:w="120"/>
              <w:left w:type="dxa" w:w="150"/>
              <w:bottom w:type="dxa" w:w="120"/>
              <w:right w:type="dxa" w:w="150"/>
            </w:tcMar>
          </w:tcPr>
          <w:p>
            <w:r>
              <w:rPr>
                <w:rFonts w:ascii="Carlito" w:cs="Carlito" w:eastAsia="Carlito" w:hAnsi="Carlito"/>
                <w:b w:val="false"/>
                <w:bCs w:val="false"/>
                <w:color w:val="1A1A1A"/>
                <w:sz w:val="17"/>
                <w:szCs w:val="17"/>
              </w:rPr>
              <w:t xml:space="preserve">Flat or falling while Spenditure climbs</w:t>
            </w:r>
          </w:p>
        </w:tc>
      </w:tr>
      <w:tr>
        <w:tc>
          <w:tcPr>
            <w:tcW w:type="dxa" w:w="2100"/>
            <w:shd w:fill="F5F2EC" w:val="clear"/>
            <w:tcMar>
              <w:top w:type="dxa" w:w="120"/>
              <w:left w:type="dxa" w:w="150"/>
              <w:bottom w:type="dxa" w:w="120"/>
              <w:right w:type="dxa" w:w="150"/>
            </w:tcMar>
          </w:tcPr>
          <w:p>
            <w:r>
              <w:rPr>
                <w:rFonts w:ascii="Carlito" w:cs="Carlito" w:eastAsia="Carlito" w:hAnsi="Carlito"/>
                <w:b/>
                <w:bCs/>
                <w:color w:val="1A1A1A"/>
                <w:sz w:val="17"/>
                <w:szCs w:val="17"/>
              </w:rPr>
              <w:t xml:space="preserve">Failure mode</w:t>
            </w:r>
          </w:p>
        </w:tc>
        <w:tc>
          <w:tcPr>
            <w:tcW w:type="dxa" w:w="3300"/>
            <w:shd w:fill="F5F2EC" w:val="clear"/>
            <w:tcMar>
              <w:top w:type="dxa" w:w="120"/>
              <w:left w:type="dxa" w:w="150"/>
              <w:bottom w:type="dxa" w:w="120"/>
              <w:right w:type="dxa" w:w="150"/>
            </w:tcMar>
          </w:tcPr>
          <w:p>
            <w:r>
              <w:rPr>
                <w:rFonts w:ascii="Carlito" w:cs="Carlito" w:eastAsia="Carlito" w:hAnsi="Carlito"/>
                <w:b w:val="false"/>
                <w:bCs w:val="false"/>
                <w:color w:val="1A1A1A"/>
                <w:sz w:val="17"/>
                <w:szCs w:val="17"/>
              </w:rPr>
              <w:t xml:space="preserve">Low ambition, no transformation</w:t>
            </w:r>
          </w:p>
        </w:tc>
        <w:tc>
          <w:tcPr>
            <w:tcW w:type="dxa" w:w="4000"/>
            <w:shd w:fill="F5F2EC" w:val="clear"/>
            <w:tcMar>
              <w:top w:type="dxa" w:w="120"/>
              <w:left w:type="dxa" w:w="150"/>
              <w:bottom w:type="dxa" w:w="120"/>
              <w:right w:type="dxa" w:w="150"/>
            </w:tcMar>
          </w:tcPr>
          <w:p>
            <w:r>
              <w:rPr>
                <w:rFonts w:ascii="Carlito" w:cs="Carlito" w:eastAsia="Carlito" w:hAnsi="Carlito"/>
                <w:b w:val="false"/>
                <w:bCs w:val="false"/>
                <w:color w:val="1A1A1A"/>
                <w:sz w:val="17"/>
                <w:szCs w:val="17"/>
              </w:rPr>
              <w:t xml:space="preserve">Token inflation — vanity Spenditure (mitigated by outcome tracking)</w:t>
            </w:r>
          </w:p>
        </w:tc>
      </w:tr>
      <w:tr>
        <w:tc>
          <w:tcPr>
            <w:tcW w:type="dxa" w:w="2100"/>
            <w:shd w:fill="FFFFFF" w:val="clear"/>
            <w:tcMar>
              <w:top w:type="dxa" w:w="120"/>
              <w:left w:type="dxa" w:w="150"/>
              <w:bottom w:type="dxa" w:w="120"/>
              <w:right w:type="dxa" w:w="150"/>
            </w:tcMar>
          </w:tcPr>
          <w:p>
            <w:r>
              <w:rPr>
                <w:rFonts w:ascii="Carlito" w:cs="Carlito" w:eastAsia="Carlito" w:hAnsi="Carlito"/>
                <w:b/>
                <w:bCs/>
                <w:color w:val="1A1A1A"/>
                <w:sz w:val="17"/>
                <w:szCs w:val="17"/>
              </w:rPr>
              <w:t xml:space="preserve">What the board sees</w:t>
            </w:r>
          </w:p>
        </w:tc>
        <w:tc>
          <w:tcPr>
            <w:tcW w:type="dxa" w:w="3300"/>
            <w:shd w:fill="FFFFFF" w:val="clear"/>
            <w:tcMar>
              <w:top w:type="dxa" w:w="120"/>
              <w:left w:type="dxa" w:w="150"/>
              <w:bottom w:type="dxa" w:w="120"/>
              <w:right w:type="dxa" w:w="150"/>
            </w:tcMar>
          </w:tcPr>
          <w:p>
            <w:r>
              <w:rPr>
                <w:rFonts w:ascii="Carlito" w:cs="Carlito" w:eastAsia="Carlito" w:hAnsi="Carlito"/>
                <w:b w:val="false"/>
                <w:bCs w:val="false"/>
                <w:color w:val="1A1A1A"/>
                <w:sz w:val="17"/>
                <w:szCs w:val="17"/>
              </w:rPr>
              <w:t xml:space="preserve">A cost line to cut</w:t>
            </w:r>
          </w:p>
        </w:tc>
        <w:tc>
          <w:tcPr>
            <w:tcW w:type="dxa" w:w="4000"/>
            <w:shd w:fill="FFFFFF" w:val="clear"/>
            <w:tcMar>
              <w:top w:type="dxa" w:w="120"/>
              <w:left w:type="dxa" w:w="150"/>
              <w:bottom w:type="dxa" w:w="120"/>
              <w:right w:type="dxa" w:w="150"/>
            </w:tcMar>
          </w:tcPr>
          <w:p>
            <w:r>
              <w:rPr>
                <w:rFonts w:ascii="Carlito" w:cs="Carlito" w:eastAsia="Carlito" w:hAnsi="Carlito"/>
                <w:b w:val="false"/>
                <w:bCs w:val="false"/>
                <w:color w:val="1A1A1A"/>
                <w:sz w:val="17"/>
                <w:szCs w:val="17"/>
              </w:rPr>
              <w:t xml:space="preserve">Three needles: Spenditure, Cost, Value</w:t>
            </w:r>
          </w:p>
        </w:tc>
      </w:tr>
    </w:tbl>
    <w:p>
      <w:pPr>
        <w:spacing w:after="240"/>
      </w:pPr>
    </w:p>
    <w:p>
      <w:pPr>
        <w:pStyle w:val="Heading2"/>
        <w:pBdr>
          <w:top w:val="single" w:color="1F6F77" w:sz="12" w:space="8"/>
        </w:pBdr>
        <w:spacing w:after="200" w:before="360"/>
      </w:pPr>
      <w:r>
        <w:rPr>
          <w:rFonts w:ascii="DejaVu Serif" w:cs="DejaVu Serif" w:eastAsia="DejaVu Serif" w:hAnsi="DejaVu Serif"/>
          <w:b/>
          <w:bCs/>
          <w:color w:val="1A1A1A"/>
          <w:sz w:val="33"/>
          <w:szCs w:val="33"/>
        </w:rPr>
        <w:t xml:space="preserve">11. The Bottom Line</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Three needles: Token Spenditure, Token Cost, Token Value. Rising Spenditure with rising Cost and flat Value means you’re spending your way to a result — expensive, and eventually unaffordable. Rising Spenditure with flat or falling Cost, and Value pulling ahead of both, means you’ve built something that scales its own thinking and pays for itself while doing it.</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If you want the whole framework in one line, treat it as a conceptual equation, not literal mathematics:</w:t>
      </w:r>
    </w:p>
    <w:p>
      <w:pPr>
        <w:spacing w:after="200" w:before="160" w:line="300"/>
        <w:jc w:val="center"/>
      </w:pPr>
      <w:r>
        <w:rPr>
          <w:rFonts w:ascii="DejaVu Serif" w:cs="DejaVu Serif" w:eastAsia="DejaVu Serif" w:hAnsi="DejaVu Serif"/>
          <w:b/>
          <w:bCs/>
          <w:color w:val="1F6F77"/>
          <w:sz w:val="25"/>
          <w:szCs w:val="25"/>
        </w:rPr>
        <w:t xml:space="preserve">Organizational Intelligence ≈ (Token Spenditure × Token Value) ÷ Token Cost</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Read Value as outcomes, never as token count — otherwise the equation rewards exactly the busywork it’s meant to expose. Push the numerator up. Engineer the denominator down. Everything else in this paper is commentary on those two moves.</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Three things this short paper deliberately leaves open, each large enough to deserve its own: how to attribute Token Value to outcomes when effects are lagged and multi-causal; what has to change in workflows, review loops, and trust calibration before high Spenditure is even possible; and how organizations that can’t build private clusters achieve the same decoupling through open models, efficient fine-tunes, and shared infrastructure. Naming them is not the same as solving them — but a framework that pretended they were solved would be worth less than one that doesn’t.</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In ten years, organizations won’t be measured by how many employees they have. They’ll be measured by how much thinking they can afford. Token Spenditure is simply the first attempt to measure that.</w:t>
      </w:r>
    </w:p>
    <w:p>
      <w:pPr>
        <w:pStyle w:val="Heading2"/>
        <w:pBdr>
          <w:top w:val="single" w:color="1F6F77" w:sz="12" w:space="8"/>
        </w:pBdr>
        <w:spacing w:after="200" w:before="360"/>
      </w:pPr>
      <w:r>
        <w:rPr>
          <w:rFonts w:ascii="DejaVu Serif" w:cs="DejaVu Serif" w:eastAsia="DejaVu Serif" w:hAnsi="DejaVu Serif"/>
          <w:b/>
          <w:bCs/>
          <w:color w:val="1A1A1A"/>
          <w:sz w:val="33"/>
          <w:szCs w:val="33"/>
        </w:rPr>
        <w:t xml:space="preserve">A Note on How This Paper Was Made</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This paper was produced by the model it describes: one accountable human Product Owner and an agentic team of several frontier models, handling drafting, critique, and revision across four versions. Independent agent reviews caught the first drafts’ weakest claims — an overstated hardware timeline, a metric defined as philosophy rather than as a number — and the accountable human overruled the agents more than once, including on what this paper should leave unsolved.</w:t>
      </w:r>
    </w:p>
    <w:p>
      <w:pPr>
        <w:pStyle w:val="Heading2"/>
        <w:pBdr>
          <w:top w:val="single" w:color="1F6F77" w:sz="12" w:space="8"/>
        </w:pBdr>
        <w:spacing w:after="200" w:before="360"/>
      </w:pPr>
      <w:r>
        <w:rPr>
          <w:rFonts w:ascii="DejaVu Serif" w:cs="DejaVu Serif" w:eastAsia="DejaVu Serif" w:hAnsi="DejaVu Serif"/>
          <w:b/>
          <w:bCs/>
          <w:color w:val="1A1A1A"/>
          <w:sz w:val="33"/>
          <w:szCs w:val="33"/>
        </w:rPr>
        <w:t xml:space="preserve">About This Paper</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Jesper Karlsson is a UX and product designer, and founder of Otrobonita AI Labs. He has spent three decades in human–computer interaction, enterprise design systems and software development, most recently building autonomous agentic production systems.</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Disagreement is the point. If part of this is wrong — and some of it will be — the author would rather hear it than not.</w:t>
      </w:r>
    </w:p>
    <w:p>
      <w:pPr>
        <w:spacing w:after="100" w:before="0" w:line="260"/>
        <w:jc w:val="left"/>
      </w:pPr>
      <w:r>
        <w:rPr>
          <w:rFonts w:ascii="Carlito" w:cs="Carlito" w:eastAsia="Carlito" w:hAnsi="Carlito"/>
          <w:b/>
          <w:bCs/>
          <w:i w:val="false"/>
          <w:iCs w:val="false"/>
          <w:color w:val="6E6E6E"/>
          <w:sz w:val="17"/>
          <w:szCs w:val="17"/>
        </w:rPr>
        <w:t xml:space="preserve">Cite as </w:t>
      </w:r>
      <w:r>
        <w:rPr>
          <w:rFonts w:ascii="Carlito" w:cs="Carlito" w:eastAsia="Carlito" w:hAnsi="Carlito"/>
          <w:b w:val="false"/>
          <w:bCs w:val="false"/>
          <w:i w:val="false"/>
          <w:iCs w:val="false"/>
          <w:color w:val="6E6E6E"/>
          <w:sz w:val="17"/>
          <w:szCs w:val="17"/>
        </w:rPr>
        <w:t xml:space="preserve">Karlsson, J. (2026). </w:t>
      </w:r>
      <w:r>
        <w:rPr>
          <w:rFonts w:ascii="Carlito" w:cs="Carlito" w:eastAsia="Carlito" w:hAnsi="Carlito"/>
          <w:b w:val="false"/>
          <w:bCs w:val="false"/>
          <w:i/>
          <w:iCs/>
          <w:color w:val="6E6E6E"/>
          <w:sz w:val="17"/>
          <w:szCs w:val="17"/>
        </w:rPr>
        <w:t xml:space="preserve">Token Spenditure as a Performance Indicator: Why your inference bill is a competitive signal, not a line item to shrink.</w:t>
      </w:r>
      <w:r>
        <w:rPr>
          <w:rFonts w:ascii="Carlito" w:cs="Carlito" w:eastAsia="Carlito" w:hAnsi="Carlito"/>
          <w:b w:val="false"/>
          <w:bCs w:val="false"/>
          <w:i w:val="false"/>
          <w:iCs w:val="false"/>
          <w:color w:val="6E6E6E"/>
          <w:sz w:val="17"/>
          <w:szCs w:val="17"/>
        </w:rPr>
        <w:t xml:space="preserve"> Otrobonita AI Labs. otrobonita.com/whitepapers</w:t>
      </w:r>
    </w:p>
    <w:p>
      <w:pPr>
        <w:spacing w:after="100" w:before="0" w:line="260"/>
        <w:jc w:val="left"/>
      </w:pPr>
      <w:r>
        <w:rPr>
          <w:rFonts w:ascii="Carlito" w:cs="Carlito" w:eastAsia="Carlito" w:hAnsi="Carlito"/>
          <w:b/>
          <w:bCs/>
          <w:i w:val="false"/>
          <w:iCs w:val="false"/>
          <w:color w:val="6E6E6E"/>
          <w:sz w:val="17"/>
          <w:szCs w:val="17"/>
        </w:rPr>
        <w:t xml:space="preserve">Licence </w:t>
      </w:r>
      <w:r>
        <w:rPr>
          <w:rFonts w:ascii="Carlito" w:cs="Carlito" w:eastAsia="Carlito" w:hAnsi="Carlito"/>
          <w:b w:val="false"/>
          <w:bCs w:val="false"/>
          <w:i w:val="false"/>
          <w:iCs w:val="false"/>
          <w:color w:val="6E6E6E"/>
          <w:sz w:val="17"/>
          <w:szCs w:val="17"/>
        </w:rPr>
        <w:t xml:space="preserve">Creative Commons Attribution 4.0 (CC BY 4.0). Share it, quote it, argue with it — attribution is all that is asked.</w:t>
      </w:r>
    </w:p>
    <w:p>
      <w:pPr>
        <w:spacing w:after="100" w:before="0" w:line="260"/>
        <w:jc w:val="left"/>
      </w:pPr>
      <w:r>
        <w:rPr>
          <w:rFonts w:ascii="Carlito" w:cs="Carlito" w:eastAsia="Carlito" w:hAnsi="Carlito"/>
          <w:b/>
          <w:bCs/>
          <w:i w:val="false"/>
          <w:iCs w:val="false"/>
          <w:color w:val="6E6E6E"/>
          <w:sz w:val="17"/>
          <w:szCs w:val="17"/>
        </w:rPr>
        <w:t xml:space="preserve">Contact </w:t>
      </w:r>
      <w:r>
        <w:rPr>
          <w:rFonts w:ascii="Carlito" w:cs="Carlito" w:eastAsia="Carlito" w:hAnsi="Carlito"/>
          <w:b w:val="false"/>
          <w:bCs w:val="false"/>
          <w:i w:val="false"/>
          <w:iCs w:val="false"/>
          <w:color w:val="6E6E6E"/>
          <w:sz w:val="17"/>
          <w:szCs w:val="17"/>
        </w:rPr>
        <w:t xml:space="preserve">otrobonita.com · otrobonita.com/whitepapers · jesper@otrobonita.com</w:t>
      </w:r>
    </w:p>
    <w:sectPr>
      <w:headerReference w:type="default" r:id="rId7"/>
      <w:footerReference w:type="default" r:id="rId8"/>
      <w:pgSz w:w="11906" w:h="16838" w:orient="portrait"/>
      <w:pgMar w:top="1360" w:right="1250" w:bottom="12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E2DC" w:sz="4" w:space="6"/>
      </w:pBdr>
      <w:tabs>
        <w:tab w:val="right" w:pos="9026"/>
      </w:tabs>
    </w:pPr>
    <w:r>
      <w:rPr>
        <w:rFonts w:ascii="Carlito" w:cs="Carlito" w:eastAsia="Carlito" w:hAnsi="Carlito"/>
        <w:color w:val="6E6E6E"/>
        <w:sz w:val="15"/>
        <w:szCs w:val="15"/>
      </w:rPr>
      <w:t xml:space="preserve">otrobonita.com/whitepapers</w:t>
    </w:r>
    <w:r>
      <w:rPr>
        <w:rFonts w:ascii="Carlito" w:cs="Carlito" w:eastAsia="Carlito" w:hAnsi="Carlito"/>
        <w:sz w:val="15"/>
        <w:szCs w:val="15"/>
      </w:rPr>
      <w:t xml:space="preserve">	</w:t>
    </w:r>
    <w:r>
      <w:rPr>
        <w:rFonts w:ascii="Carlito" w:cs="Carlito" w:eastAsia="Carlito" w:hAnsi="Carlito"/>
        <w:color w:val="6E6E6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E2DC" w:sz="4" w:space="6"/>
      </w:pBdr>
      <w:spacing w:after="120"/>
    </w:pPr>
    <w:r>
      <w:rPr>
        <w:rFonts w:ascii="Carlito" w:cs="Carlito" w:eastAsia="Carlito" w:hAnsi="Carlito"/>
        <w:color w:val="6E6E6E"/>
        <w:sz w:val="15"/>
        <w:szCs w:val="15"/>
      </w:rPr>
      <w:t xml:space="preserve">Token Spenditure as a Performance Indicator · Draft v5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77ed8adf1304fdc18c16373f32cb7e042c2899c.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Token Spenditure as a Performance Indicator</dc:title>
  <dc:creator>Jesper Karlsson</dc:creator>
  <dc:description>Why your inference bill is a competitive signal, not a line item to shrink.</dc:description>
  <cp:lastModifiedBy>Un-named</cp:lastModifiedBy>
  <cp:revision>1</cp:revision>
  <dcterms:created xsi:type="dcterms:W3CDTF">2026-08-02T21:56:26.549Z</dcterms:created>
  <dcterms:modified xsi:type="dcterms:W3CDTF">2026-08-02T21:56:26.573Z</dcterms:modified>
</cp:coreProperties>
</file>

<file path=docProps/custom.xml><?xml version="1.0" encoding="utf-8"?>
<Properties xmlns="http://schemas.openxmlformats.org/officeDocument/2006/custom-properties" xmlns:vt="http://schemas.openxmlformats.org/officeDocument/2006/docPropsVTypes"/>
</file>