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595959"/>
          <w:sz w:val="20"/>
          <w:szCs w:val="20"/>
        </w:rPr>
        <w:t xml:space="preserve">SEMAFORE / G2S</w:t>
      </w:r>
    </w:p>
    <w:p>
      <w:pPr>
        <w:spacing w:after="100"/>
      </w:pPr>
      <w:r>
        <w:rPr>
          <w:b/>
          <w:bCs/>
          <w:color w:val="1F3864"/>
          <w:sz w:val="34"/>
          <w:szCs w:val="34"/>
        </w:rPr>
        <w:t xml:space="preserve">Recette fonctionnelle et industrialisation des tests</w:t>
      </w:r>
    </w:p>
    <w:p>
      <w:pPr>
        <w:spacing w:after="400"/>
      </w:pPr>
      <w:r>
        <w:rPr>
          <w:color w:val="1F3864"/>
          <w:sz w:val="26"/>
          <w:szCs w:val="26"/>
        </w:rPr>
        <w:t xml:space="preserve">État des lieux et stratégie de recette</w:t>
      </w:r>
    </w:p>
    <w:p>
      <w:pPr>
        <w:spacing w:after="60"/>
      </w:pPr>
      <w:r>
        <w:rPr>
          <w:b/>
          <w:bCs/>
          <w:sz w:val="20"/>
          <w:szCs w:val="20"/>
        </w:rPr>
        <w:t xml:space="preserve">Auteur : </w:t>
      </w:r>
      <w:r>
        <w:rPr>
          <w:sz w:val="20"/>
          <w:szCs w:val="20"/>
        </w:rPr>
        <w:t xml:space="preserve">N'Koy Otshudi — Consultant QA Automation Senior / Test Lead</w:t>
      </w:r>
    </w:p>
    <w:p>
      <w:pPr>
        <w:spacing w:after="60"/>
      </w:pPr>
      <w:r>
        <w:rPr>
          <w:b/>
          <w:bCs/>
          <w:sz w:val="20"/>
          <w:szCs w:val="20"/>
        </w:rPr>
        <w:t xml:space="preserve">Destinataire : </w:t>
      </w:r>
      <w:r>
        <w:rPr>
          <w:sz w:val="20"/>
          <w:szCs w:val="20"/>
        </w:rPr>
        <w:t xml:space="preserve">G2S — Application SEMAFORE (Groupama Supports et Services)</w:t>
      </w:r>
    </w:p>
    <w:p>
      <w:pPr>
        <w:spacing w:after="60"/>
      </w:pPr>
      <w:r>
        <w:rPr>
          <w:b/>
          <w:bCs/>
          <w:sz w:val="20"/>
          <w:szCs w:val="20"/>
        </w:rPr>
        <w:t xml:space="preserve">Statut : </w:t>
      </w:r>
      <w:r>
        <w:rPr>
          <w:i/>
          <w:iCs/>
          <w:sz w:val="20"/>
          <w:szCs w:val="20"/>
        </w:rPr>
        <w:t xml:space="preserve">Document de démonstration — livrable type produit à partir d'un environnement de recette reconstitué, en préparation de la mission</w:t>
      </w:r>
    </w:p>
    <w:p>
      <w:pPr>
        <w:spacing w:after="60"/>
      </w:pPr>
      <w:r>
        <w:rPr>
          <w:b/>
          <w:bCs/>
          <w:sz w:val="20"/>
          <w:szCs w:val="20"/>
        </w:rPr>
        <w:t xml:space="preserve">Référentiel technique : </w:t>
      </w:r>
      <w:r>
        <w:rPr>
          <w:sz w:val="20"/>
          <w:szCs w:val="20"/>
        </w:rPr>
        <w:t xml:space="preserve">github.com/otshudi-n-koy/semafore-g2s-qa-automation</w:t>
      </w:r>
    </w:p>
    <w:p>
      <w:pPr>
        <w:spacing w:after="400"/>
      </w:pPr>
      <w:r>
        <w:rPr>
          <w:b/>
          <w:bCs/>
          <w:sz w:val="20"/>
          <w:szCs w:val="20"/>
        </w:rPr>
        <w:t xml:space="preserve">Version : </w:t>
      </w:r>
      <w:r>
        <w:rPr>
          <w:sz w:val="20"/>
          <w:szCs w:val="20"/>
        </w:rPr>
        <w:t xml:space="preserve">1.0 — Août 2026</w:t>
      </w:r>
    </w:p>
    <w:p>
      <w:pPr>
        <w:spacing w:after="120" w:line="276"/>
      </w:pPr>
      <w:r>
        <w:rPr>
          <w:i/>
          <w:iCs/>
          <w:color w:val="595959"/>
          <w:sz w:val="21"/>
          <w:szCs w:val="21"/>
        </w:rPr>
        <w:t xml:space="preserve">Ce document présente, à titre de démonstration, la structuration d'une stratégie de recette pour l'application SEMAFORE, construite sur un environnement de recette reconstitué (mock applicatif, données synthétiques avec anomalies contrôlées). Il reprend la trame de livrables attendue dans le cadre de l'offre G2S : état des lieux, stratégie et trajectoire, plans de test, patrimoine Xray, rapports, scripts versionnés, procédures et tableaux de bord.</w:t>
      </w:r>
    </w:p>
    <w:p>
      <w:pPr>
        <w:pageBreakBefore/>
      </w:pPr>
      <w:r>
        <w:br/>
        <w:t xml:space="preserve"/>
      </w:r>
    </w:p>
    <w:p>
      <w:pPr>
        <w:pStyle w:val="Heading1"/>
        <w:pBdr>
          <w:bottom w:val="single" w:color="1F3864" w:sz="6" w:space="4"/>
        </w:pBdr>
        <w:spacing w:after="160" w:before="320"/>
      </w:pPr>
      <w:r>
        <w:rPr>
          <w:b/>
          <w:bCs/>
          <w:color w:val="1F3864"/>
          <w:sz w:val="26"/>
          <w:szCs w:val="26"/>
        </w:rPr>
        <w:t xml:space="preserve">1. État des lieux des pratiques et outils existants</w:t>
      </w:r>
    </w:p>
    <w:p>
      <w:pPr>
        <w:spacing w:after="120" w:line="276"/>
      </w:pPr>
      <w:r>
        <w:rPr>
          <w:color w:val="222222"/>
          <w:sz w:val="21"/>
          <w:szCs w:val="21"/>
        </w:rPr>
        <w:t xml:space="preserve">Le périmètre de démonstration reproduit les caractéristiques structurantes de SEMAFORE décrites dans l'offre : un concentrateur de données interconnecté à un référentiel RH/IAM, alimenté par des flux (source → intégré → diffusé), avec des contrôles existants sous SQL, Power Query et des tests automatisés.</w:t>
      </w:r>
    </w:p>
    <w:p>
      <w:pPr>
        <w:pStyle w:val="Heading2"/>
        <w:spacing w:after="100" w:before="220"/>
      </w:pPr>
      <w:r>
        <w:rPr>
          <w:b/>
          <w:bCs/>
          <w:color w:val="1F3864"/>
          <w:sz w:val="22"/>
          <w:szCs w:val="22"/>
        </w:rPr>
        <w:t xml:space="preserve">1.1 Périmètre couvert</w:t>
      </w:r>
    </w:p>
    <w:p>
      <w:pPr>
        <w:pStyle w:val="ListParagraph"/>
        <w:numPr>
          <w:ilvl w:val="0"/>
          <w:numId w:val="2"/>
        </w:numPr>
        <w:spacing w:after="60" w:line="264"/>
      </w:pPr>
      <w:r>
        <w:rPr>
          <w:color w:val="222222"/>
          <w:sz w:val="21"/>
          <w:szCs w:val="21"/>
        </w:rPr>
        <w:t xml:space="preserve">Référentiel RH/IAM : employés, identités SI, droits d'accès (application, rôle, dates)</w:t>
      </w:r>
    </w:p>
    <w:p>
      <w:pPr>
        <w:pStyle w:val="ListParagraph"/>
        <w:numPr>
          <w:ilvl w:val="0"/>
          <w:numId w:val="2"/>
        </w:numPr>
        <w:spacing w:after="60" w:line="264"/>
      </w:pPr>
      <w:r>
        <w:rPr>
          <w:color w:val="222222"/>
          <w:sz w:val="21"/>
          <w:szCs w:val="21"/>
        </w:rPr>
        <w:t xml:space="preserve">Flux de traitement : suivi par étape (source, intégré, diffusé) avec volumétrie et statut</w:t>
      </w:r>
    </w:p>
    <w:p>
      <w:pPr>
        <w:pStyle w:val="ListParagraph"/>
        <w:numPr>
          <w:ilvl w:val="0"/>
          <w:numId w:val="2"/>
        </w:numPr>
        <w:spacing w:after="60" w:line="264"/>
      </w:pPr>
      <w:r>
        <w:rPr>
          <w:color w:val="222222"/>
          <w:sz w:val="21"/>
          <w:szCs w:val="21"/>
        </w:rPr>
        <w:t xml:space="preserve">API exposées : consultation des employés, identités, droits d'accès, statut des flux</w:t>
      </w:r>
    </w:p>
    <w:p>
      <w:pPr>
        <w:pStyle w:val="Heading2"/>
        <w:spacing w:after="100" w:before="220"/>
      </w:pPr>
      <w:r>
        <w:rPr>
          <w:b/>
          <w:bCs/>
          <w:color w:val="1F3864"/>
          <w:sz w:val="22"/>
          <w:szCs w:val="22"/>
        </w:rPr>
        <w:t xml:space="preserve">1.2 Évaluation des dispositifs de contrôle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350"/>
      </w:tblGrid>
      <w:tr>
        <w:tc>
          <w:tcPr>
            <w:shd w:fill="1F3864" w:val="clear"/>
            <w:tcMar>
              <w:top w:type="dxa" w:w="80"/>
              <w:left w:type="dxa" w:w="100"/>
              <w:bottom w:type="dxa" w:w="80"/>
              <w:right w:type="dxa" w:w="100"/>
            </w:tcMar>
          </w:tcPr>
          <w:p>
            <w:r>
              <w:rPr>
                <w:b/>
                <w:bCs/>
                <w:color w:val="FFFFFF"/>
                <w:sz w:val="19"/>
                <w:szCs w:val="19"/>
              </w:rPr>
              <w:t xml:space="preserve">Dispositif</w:t>
            </w:r>
          </w:p>
        </w:tc>
        <w:tc>
          <w:tcPr>
            <w:shd w:fill="1F3864" w:val="clear"/>
            <w:tcMar>
              <w:top w:type="dxa" w:w="80"/>
              <w:left w:type="dxa" w:w="100"/>
              <w:bottom w:type="dxa" w:w="80"/>
              <w:right w:type="dxa" w:w="100"/>
            </w:tcMar>
          </w:tcPr>
          <w:p>
            <w:r>
              <w:rPr>
                <w:b/>
                <w:bCs/>
                <w:color w:val="FFFFFF"/>
                <w:sz w:val="19"/>
                <w:szCs w:val="19"/>
              </w:rPr>
              <w:t xml:space="preserve">Couverture</w:t>
            </w:r>
          </w:p>
        </w:tc>
        <w:tc>
          <w:tcPr>
            <w:shd w:fill="1F3864" w:val="clear"/>
            <w:tcMar>
              <w:top w:type="dxa" w:w="80"/>
              <w:left w:type="dxa" w:w="100"/>
              <w:bottom w:type="dxa" w:w="80"/>
              <w:right w:type="dxa" w:w="100"/>
            </w:tcMar>
          </w:tcPr>
          <w:p>
            <w:r>
              <w:rPr>
                <w:b/>
                <w:bCs/>
                <w:color w:val="FFFFFF"/>
                <w:sz w:val="19"/>
                <w:szCs w:val="19"/>
              </w:rPr>
              <w:t xml:space="preserve">Fiabilité</w:t>
            </w:r>
          </w:p>
        </w:tc>
        <w:tc>
          <w:tcPr>
            <w:shd w:fill="1F3864" w:val="clear"/>
            <w:tcMar>
              <w:top w:type="dxa" w:w="80"/>
              <w:left w:type="dxa" w:w="100"/>
              <w:bottom w:type="dxa" w:w="80"/>
              <w:right w:type="dxa" w:w="100"/>
            </w:tcMar>
          </w:tcPr>
          <w:p>
            <w:r>
              <w:rPr>
                <w:b/>
                <w:bCs/>
                <w:color w:val="FFFFFF"/>
                <w:sz w:val="19"/>
                <w:szCs w:val="19"/>
              </w:rPr>
              <w:t xml:space="preserve">Automatisable</w:t>
            </w:r>
          </w:p>
        </w:tc>
        <w:tc>
          <w:tcPr>
            <w:shd w:fill="1F3864" w:val="clear"/>
            <w:tcMar>
              <w:top w:type="dxa" w:w="80"/>
              <w:left w:type="dxa" w:w="100"/>
              <w:bottom w:type="dxa" w:w="80"/>
              <w:right w:type="dxa" w:w="100"/>
            </w:tcMar>
          </w:tcPr>
          <w:p>
            <w:r>
              <w:rPr>
                <w:b/>
                <w:bCs/>
                <w:color w:val="FFFFFF"/>
                <w:sz w:val="19"/>
                <w:szCs w:val="19"/>
              </w:rPr>
              <w:t xml:space="preserve">Décision</w:t>
            </w:r>
          </w:p>
        </w:tc>
      </w:tr>
      <w:tr>
        <w:tc>
          <w:tcPr>
            <w:tcMar>
              <w:top w:type="dxa" w:w="80"/>
              <w:left w:type="dxa" w:w="100"/>
              <w:bottom w:type="dxa" w:w="80"/>
              <w:right w:type="dxa" w:w="100"/>
            </w:tcMar>
          </w:tcPr>
          <w:p>
            <w:r>
              <w:rPr>
                <w:b w:val="false"/>
                <w:bCs w:val="false"/>
                <w:color w:val="222222"/>
                <w:sz w:val="19"/>
                <w:szCs w:val="19"/>
              </w:rPr>
              <w:t xml:space="preserve">Contrôles SQL de rapprochement</w:t>
            </w:r>
          </w:p>
        </w:tc>
        <w:tc>
          <w:tcPr>
            <w:tcMar>
              <w:top w:type="dxa" w:w="80"/>
              <w:left w:type="dxa" w:w="100"/>
              <w:bottom w:type="dxa" w:w="80"/>
              <w:right w:type="dxa" w:w="100"/>
            </w:tcMar>
          </w:tcPr>
          <w:p>
            <w:r>
              <w:rPr>
                <w:b w:val="false"/>
                <w:bCs w:val="false"/>
                <w:color w:val="222222"/>
                <w:sz w:val="19"/>
                <w:szCs w:val="19"/>
              </w:rPr>
              <w:t xml:space="preserve">Bonne</w:t>
            </w:r>
          </w:p>
        </w:tc>
        <w:tc>
          <w:tcPr>
            <w:tcMar>
              <w:top w:type="dxa" w:w="80"/>
              <w:left w:type="dxa" w:w="100"/>
              <w:bottom w:type="dxa" w:w="80"/>
              <w:right w:type="dxa" w:w="100"/>
            </w:tcMar>
          </w:tcPr>
          <w:p>
            <w:r>
              <w:rPr>
                <w:b w:val="false"/>
                <w:bCs w:val="false"/>
                <w:color w:val="222222"/>
                <w:sz w:val="19"/>
                <w:szCs w:val="19"/>
              </w:rPr>
              <w:t xml:space="preserve">Élevée</w:t>
            </w:r>
          </w:p>
        </w:tc>
        <w:tc>
          <w:tcPr>
            <w:tcMar>
              <w:top w:type="dxa" w:w="80"/>
              <w:left w:type="dxa" w:w="100"/>
              <w:bottom w:type="dxa" w:w="80"/>
              <w:right w:type="dxa" w:w="100"/>
            </w:tcMar>
          </w:tcPr>
          <w:p>
            <w:r>
              <w:rPr>
                <w:b w:val="false"/>
                <w:bCs w:val="false"/>
                <w:color w:val="222222"/>
                <w:sz w:val="19"/>
                <w:szCs w:val="19"/>
              </w:rPr>
              <w:t xml:space="preserve">Oui — fait</w:t>
            </w:r>
          </w:p>
        </w:tc>
        <w:tc>
          <w:tcPr>
            <w:shd w:fill="DCE6F1" w:val="clear"/>
            <w:tcMar>
              <w:top w:type="dxa" w:w="80"/>
              <w:left w:type="dxa" w:w="100"/>
              <w:bottom w:type="dxa" w:w="80"/>
              <w:right w:type="dxa" w:w="100"/>
            </w:tcMar>
          </w:tcPr>
          <w:p>
            <w:r>
              <w:rPr>
                <w:b w:val="false"/>
                <w:bCs w:val="false"/>
                <w:color w:val="222222"/>
                <w:sz w:val="19"/>
                <w:szCs w:val="19"/>
              </w:rPr>
              <w:t xml:space="preserve">Conserver</w:t>
            </w:r>
          </w:p>
        </w:tc>
      </w:tr>
      <w:tr>
        <w:tc>
          <w:tcPr>
            <w:tcMar>
              <w:top w:type="dxa" w:w="80"/>
              <w:left w:type="dxa" w:w="100"/>
              <w:bottom w:type="dxa" w:w="80"/>
              <w:right w:type="dxa" w:w="100"/>
            </w:tcMar>
          </w:tcPr>
          <w:p>
            <w:r>
              <w:rPr>
                <w:b w:val="false"/>
                <w:bCs w:val="false"/>
                <w:color w:val="222222"/>
                <w:sz w:val="19"/>
                <w:szCs w:val="19"/>
              </w:rPr>
              <w:t xml:space="preserve">Contrôles Power Query</w:t>
            </w:r>
          </w:p>
        </w:tc>
        <w:tc>
          <w:tcPr>
            <w:tcMar>
              <w:top w:type="dxa" w:w="80"/>
              <w:left w:type="dxa" w:w="100"/>
              <w:bottom w:type="dxa" w:w="80"/>
              <w:right w:type="dxa" w:w="100"/>
            </w:tcMar>
          </w:tcPr>
          <w:p>
            <w:r>
              <w:rPr>
                <w:b w:val="false"/>
                <w:bCs w:val="false"/>
                <w:color w:val="222222"/>
                <w:sz w:val="19"/>
                <w:szCs w:val="19"/>
              </w:rPr>
              <w:t xml:space="preserve">Partielle</w:t>
            </w:r>
          </w:p>
        </w:tc>
        <w:tc>
          <w:tcPr>
            <w:tcMar>
              <w:top w:type="dxa" w:w="80"/>
              <w:left w:type="dxa" w:w="100"/>
              <w:bottom w:type="dxa" w:w="80"/>
              <w:right w:type="dxa" w:w="100"/>
            </w:tcMar>
          </w:tcPr>
          <w:p>
            <w:r>
              <w:rPr>
                <w:b w:val="false"/>
                <w:bCs w:val="false"/>
                <w:color w:val="222222"/>
                <w:sz w:val="19"/>
                <w:szCs w:val="19"/>
              </w:rPr>
              <w:t xml:space="preserve">Élevée</w:t>
            </w:r>
          </w:p>
        </w:tc>
        <w:tc>
          <w:tcPr>
            <w:tcMar>
              <w:top w:type="dxa" w:w="80"/>
              <w:left w:type="dxa" w:w="100"/>
              <w:bottom w:type="dxa" w:w="80"/>
              <w:right w:type="dxa" w:w="100"/>
            </w:tcMar>
          </w:tcPr>
          <w:p>
            <w:r>
              <w:rPr>
                <w:b w:val="false"/>
                <w:bCs w:val="false"/>
                <w:color w:val="222222"/>
                <w:sz w:val="19"/>
                <w:szCs w:val="19"/>
              </w:rPr>
              <w:t xml:space="preserve">Partiel</w:t>
            </w:r>
          </w:p>
        </w:tc>
        <w:tc>
          <w:tcPr>
            <w:shd w:fill="DCE6F1" w:val="clear"/>
            <w:tcMar>
              <w:top w:type="dxa" w:w="80"/>
              <w:left w:type="dxa" w:w="100"/>
              <w:bottom w:type="dxa" w:w="80"/>
              <w:right w:type="dxa" w:w="100"/>
            </w:tcMar>
          </w:tcPr>
          <w:p>
            <w:r>
              <w:rPr>
                <w:b w:val="false"/>
                <w:bCs w:val="false"/>
                <w:color w:val="222222"/>
                <w:sz w:val="19"/>
                <w:szCs w:val="19"/>
              </w:rPr>
              <w:t xml:space="preserve">Rationaliser</w:t>
            </w:r>
          </w:p>
        </w:tc>
      </w:tr>
      <w:tr>
        <w:tc>
          <w:tcPr>
            <w:tcMar>
              <w:top w:type="dxa" w:w="80"/>
              <w:left w:type="dxa" w:w="100"/>
              <w:bottom w:type="dxa" w:w="80"/>
              <w:right w:type="dxa" w:w="100"/>
            </w:tcMar>
          </w:tcPr>
          <w:p>
            <w:r>
              <w:rPr>
                <w:b w:val="false"/>
                <w:bCs w:val="false"/>
                <w:color w:val="222222"/>
                <w:sz w:val="19"/>
                <w:szCs w:val="19"/>
              </w:rPr>
              <w:t xml:space="preserve">Tests API manuels</w:t>
            </w:r>
          </w:p>
        </w:tc>
        <w:tc>
          <w:tcPr>
            <w:tcMar>
              <w:top w:type="dxa" w:w="80"/>
              <w:left w:type="dxa" w:w="100"/>
              <w:bottom w:type="dxa" w:w="80"/>
              <w:right w:type="dxa" w:w="100"/>
            </w:tcMar>
          </w:tcPr>
          <w:p>
            <w:r>
              <w:rPr>
                <w:b w:val="false"/>
                <w:bCs w:val="false"/>
                <w:color w:val="222222"/>
                <w:sz w:val="19"/>
                <w:szCs w:val="19"/>
              </w:rPr>
              <w:t xml:space="preserve">Faible</w:t>
            </w:r>
          </w:p>
        </w:tc>
        <w:tc>
          <w:tcPr>
            <w:tcMar>
              <w:top w:type="dxa" w:w="80"/>
              <w:left w:type="dxa" w:w="100"/>
              <w:bottom w:type="dxa" w:w="80"/>
              <w:right w:type="dxa" w:w="100"/>
            </w:tcMar>
          </w:tcPr>
          <w:p>
            <w:r>
              <w:rPr>
                <w:b w:val="false"/>
                <w:bCs w:val="false"/>
                <w:color w:val="222222"/>
                <w:sz w:val="19"/>
                <w:szCs w:val="19"/>
              </w:rPr>
              <w:t xml:space="preserve">Moyenne</w:t>
            </w:r>
          </w:p>
        </w:tc>
        <w:tc>
          <w:tcPr>
            <w:tcMar>
              <w:top w:type="dxa" w:w="80"/>
              <w:left w:type="dxa" w:w="100"/>
              <w:bottom w:type="dxa" w:w="80"/>
              <w:right w:type="dxa" w:w="100"/>
            </w:tcMar>
          </w:tcPr>
          <w:p>
            <w:r>
              <w:rPr>
                <w:b w:val="false"/>
                <w:bCs w:val="false"/>
                <w:color w:val="222222"/>
                <w:sz w:val="19"/>
                <w:szCs w:val="19"/>
              </w:rPr>
              <w:t xml:space="preserve">Oui — fait</w:t>
            </w:r>
          </w:p>
        </w:tc>
        <w:tc>
          <w:tcPr>
            <w:shd w:fill="DCE6F1" w:val="clear"/>
            <w:tcMar>
              <w:top w:type="dxa" w:w="80"/>
              <w:left w:type="dxa" w:w="100"/>
              <w:bottom w:type="dxa" w:w="80"/>
              <w:right w:type="dxa" w:w="100"/>
            </w:tcMar>
          </w:tcPr>
          <w:p>
            <w:r>
              <w:rPr>
                <w:b w:val="false"/>
                <w:bCs w:val="false"/>
                <w:color w:val="222222"/>
                <w:sz w:val="19"/>
                <w:szCs w:val="19"/>
              </w:rPr>
              <w:t xml:space="preserve">Remplacer par Postman/Newman</w:t>
            </w:r>
          </w:p>
        </w:tc>
      </w:tr>
      <w:tr>
        <w:tc>
          <w:tcPr>
            <w:tcMar>
              <w:top w:type="dxa" w:w="80"/>
              <w:left w:type="dxa" w:w="100"/>
              <w:bottom w:type="dxa" w:w="80"/>
              <w:right w:type="dxa" w:w="100"/>
            </w:tcMar>
          </w:tcPr>
          <w:p>
            <w:r>
              <w:rPr>
                <w:b w:val="false"/>
                <w:bCs w:val="false"/>
                <w:color w:val="222222"/>
                <w:sz w:val="19"/>
                <w:szCs w:val="19"/>
              </w:rPr>
              <w:t xml:space="preserve">Suivi des anomalies</w:t>
            </w:r>
          </w:p>
        </w:tc>
        <w:tc>
          <w:tcPr>
            <w:tcMar>
              <w:top w:type="dxa" w:w="80"/>
              <w:left w:type="dxa" w:w="100"/>
              <w:bottom w:type="dxa" w:w="80"/>
              <w:right w:type="dxa" w:w="100"/>
            </w:tcMar>
          </w:tcPr>
          <w:p>
            <w:r>
              <w:rPr>
                <w:b w:val="false"/>
                <w:bCs w:val="false"/>
                <w:color w:val="222222"/>
                <w:sz w:val="19"/>
                <w:szCs w:val="19"/>
              </w:rPr>
              <w:t xml:space="preserve">Faible</w:t>
            </w:r>
          </w:p>
        </w:tc>
        <w:tc>
          <w:tcPr>
            <w:tcMar>
              <w:top w:type="dxa" w:w="80"/>
              <w:left w:type="dxa" w:w="100"/>
              <w:bottom w:type="dxa" w:w="80"/>
              <w:right w:type="dxa" w:w="100"/>
            </w:tcMar>
          </w:tcPr>
          <w:p>
            <w:r>
              <w:rPr>
                <w:b w:val="false"/>
                <w:bCs w:val="false"/>
                <w:color w:val="222222"/>
                <w:sz w:val="19"/>
                <w:szCs w:val="19"/>
              </w:rPr>
              <w:t xml:space="preserve">Faible</w:t>
            </w:r>
          </w:p>
        </w:tc>
        <w:tc>
          <w:tcPr>
            <w:tcMar>
              <w:top w:type="dxa" w:w="80"/>
              <w:left w:type="dxa" w:w="100"/>
              <w:bottom w:type="dxa" w:w="80"/>
              <w:right w:type="dxa" w:w="100"/>
            </w:tcMar>
          </w:tcPr>
          <w:p>
            <w:r>
              <w:rPr>
                <w:b w:val="false"/>
                <w:bCs w:val="false"/>
                <w:color w:val="222222"/>
                <w:sz w:val="19"/>
                <w:szCs w:val="19"/>
              </w:rPr>
              <w:t xml:space="preserve">Oui — fait</w:t>
            </w:r>
          </w:p>
        </w:tc>
        <w:tc>
          <w:tcPr>
            <w:shd w:fill="DCE6F1" w:val="clear"/>
            <w:tcMar>
              <w:top w:type="dxa" w:w="80"/>
              <w:left w:type="dxa" w:w="100"/>
              <w:bottom w:type="dxa" w:w="80"/>
              <w:right w:type="dxa" w:w="100"/>
            </w:tcMar>
          </w:tcPr>
          <w:p>
            <w:r>
              <w:rPr>
                <w:b w:val="false"/>
                <w:bCs w:val="false"/>
                <w:color w:val="222222"/>
                <w:sz w:val="19"/>
                <w:szCs w:val="19"/>
              </w:rPr>
              <w:t xml:space="preserve">Structurer dans Xray</w:t>
            </w:r>
          </w:p>
        </w:tc>
      </w:tr>
    </w:tbl>
    <w:p>
      <w:pPr>
        <w:spacing w:after="120" w:line="276"/>
      </w:pPr>
      <w:r>
        <w:rPr>
          <w:i/>
          <w:iCs/>
          <w:color w:val="222222"/>
          <w:sz w:val="21"/>
          <w:szCs w:val="21"/>
        </w:rPr>
        <w:t xml:space="preserve">Constat : les contrôles SQL et Power Query couvrent efficacement les mêmes règles de gestion (rapprochement volumétrique, doublons de droits, cohérence référentielle) mais restent exécutés manuellement, sans traçabilité ni non-régression automatisée.</w:t>
      </w:r>
    </w:p>
    <w:p>
      <w:pPr>
        <w:pStyle w:val="Heading1"/>
        <w:pBdr>
          <w:bottom w:val="single" w:color="1F3864" w:sz="6" w:space="4"/>
        </w:pBdr>
        <w:spacing w:after="160" w:before="320"/>
      </w:pPr>
      <w:r>
        <w:rPr>
          <w:b/>
          <w:bCs/>
          <w:color w:val="1F3864"/>
          <w:sz w:val="26"/>
          <w:szCs w:val="26"/>
        </w:rPr>
        <w:t xml:space="preserve">2. Stratégie de test et trajectoire d'amélioration</w:t>
      </w:r>
    </w:p>
    <w:p>
      <w:pPr>
        <w:pStyle w:val="Heading2"/>
        <w:spacing w:after="100" w:before="220"/>
      </w:pPr>
      <w:r>
        <w:rPr>
          <w:b/>
          <w:bCs/>
          <w:color w:val="1F3864"/>
          <w:sz w:val="22"/>
          <w:szCs w:val="22"/>
        </w:rPr>
        <w:t xml:space="preserve">2.1 Principes directeurs</w:t>
      </w:r>
    </w:p>
    <w:p>
      <w:pPr>
        <w:pStyle w:val="ListParagraph"/>
        <w:numPr>
          <w:ilvl w:val="0"/>
          <w:numId w:val="2"/>
        </w:numPr>
        <w:spacing w:after="60" w:line="264"/>
      </w:pPr>
      <w:r>
        <w:rPr>
          <w:color w:val="222222"/>
          <w:sz w:val="21"/>
          <w:szCs w:val="21"/>
        </w:rPr>
        <w:t xml:space="preserve">Automatiser prioritairement les contrôles critiques, fréquents et stables (rapprochement de flux, cohérence RH/IAM)</w:t>
      </w:r>
    </w:p>
    <w:p>
      <w:pPr>
        <w:pStyle w:val="ListParagraph"/>
        <w:numPr>
          <w:ilvl w:val="0"/>
          <w:numId w:val="2"/>
        </w:numPr>
        <w:spacing w:after="60" w:line="264"/>
      </w:pPr>
      <w:r>
        <w:rPr>
          <w:color w:val="222222"/>
          <w:sz w:val="21"/>
          <w:szCs w:val="21"/>
        </w:rPr>
        <w:t xml:space="preserve">Conserver une couche de contrôle SQL et Power Query en parallèle des tests automatisés, pour permettre l'investigation manuelle rapide</w:t>
      </w:r>
    </w:p>
    <w:p>
      <w:pPr>
        <w:pStyle w:val="ListParagraph"/>
        <w:numPr>
          <w:ilvl w:val="0"/>
          <w:numId w:val="2"/>
        </w:numPr>
        <w:spacing w:after="60" w:line="264"/>
      </w:pPr>
      <w:r>
        <w:rPr>
          <w:color w:val="222222"/>
          <w:sz w:val="21"/>
          <w:szCs w:val="21"/>
        </w:rPr>
        <w:t xml:space="preserve">Structurer progressivement le patrimoine de tests dans Xray pour Jira Cloud, sans réécrire l'existant du jour au lendemain</w:t>
      </w:r>
    </w:p>
    <w:p>
      <w:pPr>
        <w:pStyle w:val="ListParagraph"/>
        <w:numPr>
          <w:ilvl w:val="0"/>
          <w:numId w:val="2"/>
        </w:numPr>
        <w:spacing w:after="60" w:line="264"/>
      </w:pPr>
      <w:r>
        <w:rPr>
          <w:color w:val="222222"/>
          <w:sz w:val="21"/>
          <w:szCs w:val="21"/>
        </w:rPr>
        <w:t xml:space="preserve">Bloquer la livraison via un pipeline CI/CD tant qu'une anomalie de données n'est pas qualifiée et traitée</w:t>
      </w:r>
    </w:p>
    <w:p>
      <w:pPr>
        <w:pStyle w:val="Heading2"/>
        <w:spacing w:after="100" w:before="220"/>
      </w:pPr>
      <w:r>
        <w:rPr>
          <w:b/>
          <w:bCs/>
          <w:color w:val="1F3864"/>
          <w:sz w:val="22"/>
          <w:szCs w:val="22"/>
        </w:rPr>
        <w:t xml:space="preserve">2.2 Trajectoire en 3 paliers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550"/>
        <w:gridCol w:w="3200"/>
      </w:tblGrid>
      <w:tr>
        <w:tc>
          <w:tcPr>
            <w:shd w:fill="1F3864" w:val="clear"/>
            <w:tcMar>
              <w:top w:type="dxa" w:w="80"/>
              <w:left w:type="dxa" w:w="100"/>
              <w:bottom w:type="dxa" w:w="80"/>
              <w:right w:type="dxa" w:w="100"/>
            </w:tcMar>
          </w:tcPr>
          <w:p>
            <w:r>
              <w:rPr>
                <w:b/>
                <w:bCs/>
                <w:color w:val="FFFFFF"/>
                <w:sz w:val="19"/>
                <w:szCs w:val="19"/>
              </w:rPr>
              <w:t xml:space="preserve">Palier</w:t>
            </w:r>
          </w:p>
        </w:tc>
        <w:tc>
          <w:tcPr>
            <w:shd w:fill="1F3864" w:val="clear"/>
            <w:tcMar>
              <w:top w:type="dxa" w:w="80"/>
              <w:left w:type="dxa" w:w="100"/>
              <w:bottom w:type="dxa" w:w="80"/>
              <w:right w:type="dxa" w:w="100"/>
            </w:tcMar>
          </w:tcPr>
          <w:p>
            <w:r>
              <w:rPr>
                <w:b/>
                <w:bCs/>
                <w:color w:val="FFFFFF"/>
                <w:sz w:val="19"/>
                <w:szCs w:val="19"/>
              </w:rPr>
              <w:t xml:space="preserve">Objectif</w:t>
            </w:r>
          </w:p>
        </w:tc>
        <w:tc>
          <w:tcPr>
            <w:shd w:fill="1F3864" w:val="clear"/>
            <w:tcMar>
              <w:top w:type="dxa" w:w="80"/>
              <w:left w:type="dxa" w:w="100"/>
              <w:bottom w:type="dxa" w:w="80"/>
              <w:right w:type="dxa" w:w="100"/>
            </w:tcMar>
          </w:tcPr>
          <w:p>
            <w:r>
              <w:rPr>
                <w:b/>
                <w:bCs/>
                <w:color w:val="FFFFFF"/>
                <w:sz w:val="19"/>
                <w:szCs w:val="19"/>
              </w:rPr>
              <w:t xml:space="preserve">Réalisé dans la démonstration</w:t>
            </w:r>
          </w:p>
        </w:tc>
      </w:tr>
      <w:tr>
        <w:tc>
          <w:tcPr>
            <w:tcMar>
              <w:top w:type="dxa" w:w="80"/>
              <w:left w:type="dxa" w:w="100"/>
              <w:bottom w:type="dxa" w:w="80"/>
              <w:right w:type="dxa" w:w="100"/>
            </w:tcMar>
          </w:tcPr>
          <w:p>
            <w:r>
              <w:rPr>
                <w:b w:val="false"/>
                <w:bCs w:val="false"/>
                <w:color w:val="222222"/>
                <w:sz w:val="19"/>
                <w:szCs w:val="19"/>
              </w:rPr>
              <w:t xml:space="preserve">1 — Fiabiliser</w:t>
            </w:r>
          </w:p>
        </w:tc>
        <w:tc>
          <w:tcPr>
            <w:tcMar>
              <w:top w:type="dxa" w:w="80"/>
              <w:left w:type="dxa" w:w="100"/>
              <w:bottom w:type="dxa" w:w="80"/>
              <w:right w:type="dxa" w:w="100"/>
            </w:tcMar>
          </w:tcPr>
          <w:p>
            <w:r>
              <w:rPr>
                <w:b w:val="false"/>
                <w:bCs w:val="false"/>
                <w:color w:val="222222"/>
                <w:sz w:val="19"/>
                <w:szCs w:val="19"/>
              </w:rPr>
              <w:t xml:space="preserve">Sécuriser les contrôles de cohérence de données critiques (RH/IAM, flux)</w:t>
            </w:r>
          </w:p>
        </w:tc>
        <w:tc>
          <w:tcPr>
            <w:tcMar>
              <w:top w:type="dxa" w:w="80"/>
              <w:left w:type="dxa" w:w="100"/>
              <w:bottom w:type="dxa" w:w="80"/>
              <w:right w:type="dxa" w:w="100"/>
            </w:tcMar>
          </w:tcPr>
          <w:p>
            <w:r>
              <w:rPr>
                <w:b w:val="false"/>
                <w:bCs w:val="false"/>
                <w:color w:val="222222"/>
                <w:sz w:val="19"/>
                <w:szCs w:val="19"/>
              </w:rPr>
              <w:t xml:space="preserve">4 contrôles SQL + 4 tests pytest de non-régression</w:t>
            </w:r>
          </w:p>
        </w:tc>
      </w:tr>
      <w:tr>
        <w:tc>
          <w:tcPr>
            <w:tcMar>
              <w:top w:type="dxa" w:w="80"/>
              <w:left w:type="dxa" w:w="100"/>
              <w:bottom w:type="dxa" w:w="80"/>
              <w:right w:type="dxa" w:w="100"/>
            </w:tcMar>
          </w:tcPr>
          <w:p>
            <w:r>
              <w:rPr>
                <w:b w:val="false"/>
                <w:bCs w:val="false"/>
                <w:color w:val="222222"/>
                <w:sz w:val="19"/>
                <w:szCs w:val="19"/>
              </w:rPr>
              <w:t xml:space="preserve">2 — Industrialiser</w:t>
            </w:r>
          </w:p>
        </w:tc>
        <w:tc>
          <w:tcPr>
            <w:tcMar>
              <w:top w:type="dxa" w:w="80"/>
              <w:left w:type="dxa" w:w="100"/>
              <w:bottom w:type="dxa" w:w="80"/>
              <w:right w:type="dxa" w:w="100"/>
            </w:tcMar>
          </w:tcPr>
          <w:p>
            <w:r>
              <w:rPr>
                <w:b w:val="false"/>
                <w:bCs w:val="false"/>
                <w:color w:val="222222"/>
                <w:sz w:val="19"/>
                <w:szCs w:val="19"/>
              </w:rPr>
              <w:t xml:space="preserve">Automatiser l'exécution des contrôles et des tests API dans un pipeline CI/CD</w:t>
            </w:r>
          </w:p>
        </w:tc>
        <w:tc>
          <w:tcPr>
            <w:tcMar>
              <w:top w:type="dxa" w:w="80"/>
              <w:left w:type="dxa" w:w="100"/>
              <w:bottom w:type="dxa" w:w="80"/>
              <w:right w:type="dxa" w:w="100"/>
            </w:tcMar>
          </w:tcPr>
          <w:p>
            <w:r>
              <w:rPr>
                <w:b w:val="false"/>
                <w:bCs w:val="false"/>
                <w:color w:val="222222"/>
                <w:sz w:val="19"/>
                <w:szCs w:val="19"/>
              </w:rPr>
              <w:t xml:space="preserve">Collection Postman/Newman (10 tests) + pipeline GitHub Actions</w:t>
            </w:r>
          </w:p>
        </w:tc>
      </w:tr>
      <w:tr>
        <w:tc>
          <w:tcPr>
            <w:tcMar>
              <w:top w:type="dxa" w:w="80"/>
              <w:left w:type="dxa" w:w="100"/>
              <w:bottom w:type="dxa" w:w="80"/>
              <w:right w:type="dxa" w:w="100"/>
            </w:tcMar>
          </w:tcPr>
          <w:p>
            <w:r>
              <w:rPr>
                <w:b w:val="false"/>
                <w:bCs w:val="false"/>
                <w:color w:val="222222"/>
                <w:sz w:val="19"/>
                <w:szCs w:val="19"/>
              </w:rPr>
              <w:t xml:space="preserve">3 — Structurer</w:t>
            </w:r>
          </w:p>
        </w:tc>
        <w:tc>
          <w:tcPr>
            <w:tcMar>
              <w:top w:type="dxa" w:w="80"/>
              <w:left w:type="dxa" w:w="100"/>
              <w:bottom w:type="dxa" w:w="80"/>
              <w:right w:type="dxa" w:w="100"/>
            </w:tcMar>
          </w:tcPr>
          <w:p>
            <w:r>
              <w:rPr>
                <w:b w:val="false"/>
                <w:bCs w:val="false"/>
                <w:color w:val="222222"/>
                <w:sz w:val="19"/>
                <w:szCs w:val="19"/>
              </w:rPr>
              <w:t xml:space="preserve">Constituer un patrimoine de tests traçable, avec exécutions et anomalies liées</w:t>
            </w:r>
          </w:p>
        </w:tc>
        <w:tc>
          <w:tcPr>
            <w:tcMar>
              <w:top w:type="dxa" w:w="80"/>
              <w:left w:type="dxa" w:w="100"/>
              <w:bottom w:type="dxa" w:w="80"/>
              <w:right w:type="dxa" w:w="100"/>
            </w:tcMar>
          </w:tcPr>
          <w:p>
            <w:r>
              <w:rPr>
                <w:b w:val="false"/>
                <w:bCs w:val="false"/>
                <w:color w:val="222222"/>
                <w:sz w:val="19"/>
                <w:szCs w:val="19"/>
              </w:rPr>
              <w:t xml:space="preserve">Projet Xray SEMA : 4 Tests, 1 Test Plan, 1 Test Execution</w:t>
            </w:r>
          </w:p>
        </w:tc>
      </w:tr>
    </w:tbl>
    <w:p>
      <w:pPr>
        <w:pStyle w:val="Heading1"/>
        <w:pBdr>
          <w:bottom w:val="single" w:color="1F3864" w:sz="6" w:space="4"/>
        </w:pBdr>
        <w:spacing w:after="160" w:before="320"/>
      </w:pPr>
      <w:r>
        <w:rPr>
          <w:b/>
          <w:bCs/>
          <w:color w:val="1F3864"/>
          <w:sz w:val="26"/>
          <w:szCs w:val="26"/>
        </w:rPr>
        <w:t xml:space="preserve">3. Plans de test, cas de test et jeux de données</w:t>
      </w:r>
    </w:p>
    <w:p>
      <w:pPr>
        <w:spacing w:after="120" w:line="276"/>
      </w:pPr>
      <w:r>
        <w:rPr>
          <w:color w:val="222222"/>
          <w:sz w:val="21"/>
          <w:szCs w:val="21"/>
        </w:rPr>
        <w:t xml:space="preserve">Le jeu de données de démonstration (100 employés, 95 identités, ~200 droits d'accès, 9 lignes de suivi de flux) intègre volontairement des anomalies contrôlées, permettant de valider que les contrôles détectent bien les écarts réels plutôt que de simplement s'exécuter sans erreur.</w:t>
      </w:r>
    </w:p>
    <w:p>
      <w:pPr>
        <w:pStyle w:val="Heading2"/>
        <w:spacing w:after="100" w:before="220"/>
      </w:pPr>
      <w:r>
        <w:rPr>
          <w:b/>
          <w:bCs/>
          <w:color w:val="1F3864"/>
          <w:sz w:val="22"/>
          <w:szCs w:val="22"/>
        </w:rPr>
        <w:t xml:space="preserve">3.1 Cas de test structurés (Xray)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550"/>
        <w:gridCol w:w="2200"/>
        <w:gridCol w:w="1300"/>
      </w:tblGrid>
      <w:tr>
        <w:tc>
          <w:tcPr>
            <w:shd w:fill="1F3864" w:val="clear"/>
            <w:tcMar>
              <w:top w:type="dxa" w:w="80"/>
              <w:left w:type="dxa" w:w="100"/>
              <w:bottom w:type="dxa" w:w="80"/>
              <w:right w:type="dxa" w:w="100"/>
            </w:tcMar>
          </w:tcPr>
          <w:p>
            <w:r>
              <w:rPr>
                <w:b/>
                <w:bCs/>
                <w:color w:val="FFFFFF"/>
                <w:sz w:val="19"/>
                <w:szCs w:val="19"/>
              </w:rPr>
              <w:t xml:space="preserve">Réf.</w:t>
            </w:r>
          </w:p>
        </w:tc>
        <w:tc>
          <w:tcPr>
            <w:shd w:fill="1F3864" w:val="clear"/>
            <w:tcMar>
              <w:top w:type="dxa" w:w="80"/>
              <w:left w:type="dxa" w:w="100"/>
              <w:bottom w:type="dxa" w:w="80"/>
              <w:right w:type="dxa" w:w="100"/>
            </w:tcMar>
          </w:tcPr>
          <w:p>
            <w:r>
              <w:rPr>
                <w:b/>
                <w:bCs/>
                <w:color w:val="FFFFFF"/>
                <w:sz w:val="19"/>
                <w:szCs w:val="19"/>
              </w:rPr>
              <w:t xml:space="preserve">Cas de test</w:t>
            </w:r>
          </w:p>
        </w:tc>
        <w:tc>
          <w:tcPr>
            <w:shd w:fill="1F3864" w:val="clear"/>
            <w:tcMar>
              <w:top w:type="dxa" w:w="80"/>
              <w:left w:type="dxa" w:w="100"/>
              <w:bottom w:type="dxa" w:w="80"/>
              <w:right w:type="dxa" w:w="100"/>
            </w:tcMar>
          </w:tcPr>
          <w:p>
            <w:r>
              <w:rPr>
                <w:b/>
                <w:bCs/>
                <w:color w:val="FFFFFF"/>
                <w:sz w:val="19"/>
                <w:szCs w:val="19"/>
              </w:rPr>
              <w:t xml:space="preserve">Règle de gestion vérifiée</w:t>
            </w:r>
          </w:p>
        </w:tc>
        <w:tc>
          <w:tcPr>
            <w:shd w:fill="1F3864" w:val="clear"/>
            <w:tcMar>
              <w:top w:type="dxa" w:w="80"/>
              <w:left w:type="dxa" w:w="100"/>
              <w:bottom w:type="dxa" w:w="80"/>
              <w:right w:type="dxa" w:w="100"/>
            </w:tcMar>
          </w:tcPr>
          <w:p>
            <w:r>
              <w:rPr>
                <w:b/>
                <w:bCs/>
                <w:color w:val="FFFFFF"/>
                <w:sz w:val="19"/>
                <w:szCs w:val="19"/>
              </w:rPr>
              <w:t xml:space="preserve">Résultat</w:t>
            </w:r>
          </w:p>
        </w:tc>
      </w:tr>
      <w:tr>
        <w:tc>
          <w:tcPr>
            <w:tcMar>
              <w:top w:type="dxa" w:w="80"/>
              <w:left w:type="dxa" w:w="100"/>
              <w:bottom w:type="dxa" w:w="80"/>
              <w:right w:type="dxa" w:w="100"/>
            </w:tcMar>
          </w:tcPr>
          <w:p>
            <w:r>
              <w:rPr>
                <w:b w:val="false"/>
                <w:bCs w:val="false"/>
                <w:color w:val="222222"/>
                <w:sz w:val="19"/>
                <w:szCs w:val="19"/>
              </w:rPr>
              <w:t xml:space="preserve">SEMA-1</w:t>
            </w:r>
          </w:p>
        </w:tc>
        <w:tc>
          <w:tcPr>
            <w:tcMar>
              <w:top w:type="dxa" w:w="80"/>
              <w:left w:type="dxa" w:w="100"/>
              <w:bottom w:type="dxa" w:w="80"/>
              <w:right w:type="dxa" w:w="100"/>
            </w:tcMar>
          </w:tcPr>
          <w:p>
            <w:r>
              <w:rPr>
                <w:b w:val="false"/>
                <w:bCs w:val="false"/>
                <w:color w:val="222222"/>
                <w:sz w:val="19"/>
                <w:szCs w:val="19"/>
              </w:rPr>
              <w:t xml:space="preserve">Rapprochement volumétrique source / intégré / diffusé</w:t>
            </w:r>
          </w:p>
        </w:tc>
        <w:tc>
          <w:tcPr>
            <w:tcMar>
              <w:top w:type="dxa" w:w="80"/>
              <w:left w:type="dxa" w:w="100"/>
              <w:bottom w:type="dxa" w:w="80"/>
              <w:right w:type="dxa" w:w="100"/>
            </w:tcMar>
          </w:tcPr>
          <w:p>
            <w:r>
              <w:rPr>
                <w:b w:val="false"/>
                <w:bCs w:val="false"/>
                <w:color w:val="222222"/>
                <w:sz w:val="19"/>
                <w:szCs w:val="19"/>
              </w:rPr>
              <w:t xml:space="preserve">Écart ≤ 5% par flux</w:t>
            </w:r>
          </w:p>
        </w:tc>
        <w:tc>
          <w:tcPr>
            <w:shd w:fill="DCE6F1" w:val="clear"/>
            <w:tcMar>
              <w:top w:type="dxa" w:w="80"/>
              <w:left w:type="dxa" w:w="100"/>
              <w:bottom w:type="dxa" w:w="80"/>
              <w:right w:type="dxa" w:w="100"/>
            </w:tcMar>
          </w:tcPr>
          <w:p>
            <w:r>
              <w:rPr>
                <w:b w:val="false"/>
                <w:bCs w:val="false"/>
                <w:color w:val="222222"/>
                <w:sz w:val="19"/>
                <w:szCs w:val="19"/>
              </w:rPr>
              <w:t xml:space="preserve">PASSED</w:t>
            </w:r>
          </w:p>
        </w:tc>
      </w:tr>
      <w:tr>
        <w:tc>
          <w:tcPr>
            <w:tcMar>
              <w:top w:type="dxa" w:w="80"/>
              <w:left w:type="dxa" w:w="100"/>
              <w:bottom w:type="dxa" w:w="80"/>
              <w:right w:type="dxa" w:w="100"/>
            </w:tcMar>
          </w:tcPr>
          <w:p>
            <w:r>
              <w:rPr>
                <w:b w:val="false"/>
                <w:bCs w:val="false"/>
                <w:color w:val="222222"/>
                <w:sz w:val="19"/>
                <w:szCs w:val="19"/>
              </w:rPr>
              <w:t xml:space="preserve">SEMA-2</w:t>
            </w:r>
          </w:p>
        </w:tc>
        <w:tc>
          <w:tcPr>
            <w:tcMar>
              <w:top w:type="dxa" w:w="80"/>
              <w:left w:type="dxa" w:w="100"/>
              <w:bottom w:type="dxa" w:w="80"/>
              <w:right w:type="dxa" w:w="100"/>
            </w:tcMar>
          </w:tcPr>
          <w:p>
            <w:r>
              <w:rPr>
                <w:b w:val="false"/>
                <w:bCs w:val="false"/>
                <w:color w:val="222222"/>
                <w:sz w:val="19"/>
                <w:szCs w:val="19"/>
              </w:rPr>
              <w:t xml:space="preserve">Employés actifs sans identité SI</w:t>
            </w:r>
          </w:p>
        </w:tc>
        <w:tc>
          <w:tcPr>
            <w:tcMar>
              <w:top w:type="dxa" w:w="80"/>
              <w:left w:type="dxa" w:w="100"/>
              <w:bottom w:type="dxa" w:w="80"/>
              <w:right w:type="dxa" w:w="100"/>
            </w:tcMar>
          </w:tcPr>
          <w:p>
            <w:r>
              <w:rPr>
                <w:b w:val="false"/>
                <w:bCs w:val="false"/>
                <w:color w:val="222222"/>
                <w:sz w:val="19"/>
                <w:szCs w:val="19"/>
              </w:rPr>
              <w:t xml:space="preserve">Tout employé actif doit avoir une identité SI</w:t>
            </w:r>
          </w:p>
        </w:tc>
        <w:tc>
          <w:tcPr>
            <w:shd w:fill="DCE6F1" w:val="clear"/>
            <w:tcMar>
              <w:top w:type="dxa" w:w="80"/>
              <w:left w:type="dxa" w:w="100"/>
              <w:bottom w:type="dxa" w:w="80"/>
              <w:right w:type="dxa" w:w="100"/>
            </w:tcMar>
          </w:tcPr>
          <w:p>
            <w:r>
              <w:rPr>
                <w:b w:val="false"/>
                <w:bCs w:val="false"/>
                <w:color w:val="222222"/>
                <w:sz w:val="19"/>
                <w:szCs w:val="19"/>
              </w:rPr>
              <w:t xml:space="preserve">FAILED</w:t>
            </w:r>
          </w:p>
        </w:tc>
      </w:tr>
      <w:tr>
        <w:tc>
          <w:tcPr>
            <w:tcMar>
              <w:top w:type="dxa" w:w="80"/>
              <w:left w:type="dxa" w:w="100"/>
              <w:bottom w:type="dxa" w:w="80"/>
              <w:right w:type="dxa" w:w="100"/>
            </w:tcMar>
          </w:tcPr>
          <w:p>
            <w:r>
              <w:rPr>
                <w:b w:val="false"/>
                <w:bCs w:val="false"/>
                <w:color w:val="222222"/>
                <w:sz w:val="19"/>
                <w:szCs w:val="19"/>
              </w:rPr>
              <w:t xml:space="preserve">SEMA-3</w:t>
            </w:r>
          </w:p>
        </w:tc>
        <w:tc>
          <w:tcPr>
            <w:tcMar>
              <w:top w:type="dxa" w:w="80"/>
              <w:left w:type="dxa" w:w="100"/>
              <w:bottom w:type="dxa" w:w="80"/>
              <w:right w:type="dxa" w:w="100"/>
            </w:tcMar>
          </w:tcPr>
          <w:p>
            <w:r>
              <w:rPr>
                <w:b w:val="false"/>
                <w:bCs w:val="false"/>
                <w:color w:val="222222"/>
                <w:sz w:val="19"/>
                <w:szCs w:val="19"/>
              </w:rPr>
              <w:t xml:space="preserve">Doublons de droits d'accès</w:t>
            </w:r>
          </w:p>
        </w:tc>
        <w:tc>
          <w:tcPr>
            <w:tcMar>
              <w:top w:type="dxa" w:w="80"/>
              <w:left w:type="dxa" w:w="100"/>
              <w:bottom w:type="dxa" w:w="80"/>
              <w:right w:type="dxa" w:w="100"/>
            </w:tcMar>
          </w:tcPr>
          <w:p>
            <w:r>
              <w:rPr>
                <w:b w:val="false"/>
                <w:bCs w:val="false"/>
                <w:color w:val="222222"/>
                <w:sz w:val="19"/>
                <w:szCs w:val="19"/>
              </w:rPr>
              <w:t xml:space="preserve">Un droit (identité + application + rôle) ne doit pas être dupliqué</w:t>
            </w:r>
          </w:p>
        </w:tc>
        <w:tc>
          <w:tcPr>
            <w:shd w:fill="DCE6F1" w:val="clear"/>
            <w:tcMar>
              <w:top w:type="dxa" w:w="80"/>
              <w:left w:type="dxa" w:w="100"/>
              <w:bottom w:type="dxa" w:w="80"/>
              <w:right w:type="dxa" w:w="100"/>
            </w:tcMar>
          </w:tcPr>
          <w:p>
            <w:r>
              <w:rPr>
                <w:b w:val="false"/>
                <w:bCs w:val="false"/>
                <w:color w:val="222222"/>
                <w:sz w:val="19"/>
                <w:szCs w:val="19"/>
              </w:rPr>
              <w:t xml:space="preserve">FAILED</w:t>
            </w:r>
          </w:p>
        </w:tc>
      </w:tr>
      <w:tr>
        <w:tc>
          <w:tcPr>
            <w:tcMar>
              <w:top w:type="dxa" w:w="80"/>
              <w:left w:type="dxa" w:w="100"/>
              <w:bottom w:type="dxa" w:w="80"/>
              <w:right w:type="dxa" w:w="100"/>
            </w:tcMar>
          </w:tcPr>
          <w:p>
            <w:r>
              <w:rPr>
                <w:b w:val="false"/>
                <w:bCs w:val="false"/>
                <w:color w:val="222222"/>
                <w:sz w:val="19"/>
                <w:szCs w:val="19"/>
              </w:rPr>
              <w:t xml:space="preserve">SEMA-4</w:t>
            </w:r>
          </w:p>
        </w:tc>
        <w:tc>
          <w:tcPr>
            <w:tcMar>
              <w:top w:type="dxa" w:w="80"/>
              <w:left w:type="dxa" w:w="100"/>
              <w:bottom w:type="dxa" w:w="80"/>
              <w:right w:type="dxa" w:w="100"/>
            </w:tcMar>
          </w:tcPr>
          <w:p>
            <w:r>
              <w:rPr>
                <w:b w:val="false"/>
                <w:bCs w:val="false"/>
                <w:color w:val="222222"/>
                <w:sz w:val="19"/>
                <w:szCs w:val="19"/>
              </w:rPr>
              <w:t xml:space="preserve">Identités sans droit d'accès</w:t>
            </w:r>
          </w:p>
        </w:tc>
        <w:tc>
          <w:tcPr>
            <w:tcMar>
              <w:top w:type="dxa" w:w="80"/>
              <w:left w:type="dxa" w:w="100"/>
              <w:bottom w:type="dxa" w:w="80"/>
              <w:right w:type="dxa" w:w="100"/>
            </w:tcMar>
          </w:tcPr>
          <w:p>
            <w:r>
              <w:rPr>
                <w:b w:val="false"/>
                <w:bCs w:val="false"/>
                <w:color w:val="222222"/>
                <w:sz w:val="19"/>
                <w:szCs w:val="19"/>
              </w:rPr>
              <w:t xml:space="preserve">Toute identité SI doit avoir au moins un droit</w:t>
            </w:r>
          </w:p>
        </w:tc>
        <w:tc>
          <w:tcPr>
            <w:shd w:fill="DCE6F1" w:val="clear"/>
            <w:tcMar>
              <w:top w:type="dxa" w:w="80"/>
              <w:left w:type="dxa" w:w="100"/>
              <w:bottom w:type="dxa" w:w="80"/>
              <w:right w:type="dxa" w:w="100"/>
            </w:tcMar>
          </w:tcPr>
          <w:p>
            <w:r>
              <w:rPr>
                <w:b w:val="false"/>
                <w:bCs w:val="false"/>
                <w:color w:val="222222"/>
                <w:sz w:val="19"/>
                <w:szCs w:val="19"/>
              </w:rPr>
              <w:t xml:space="preserve">PASSED</w:t>
            </w:r>
          </w:p>
        </w:tc>
      </w:tr>
    </w:tbl>
    <w:p>
      <w:pPr>
        <w:spacing w:after="120" w:line="276"/>
      </w:pPr>
      <w:r>
        <w:rPr>
          <w:i/>
          <w:iCs/>
          <w:color w:val="222222"/>
          <w:sz w:val="21"/>
          <w:szCs w:val="21"/>
        </w:rPr>
        <w:t xml:space="preserve">Les statuts FAILED (SEMA-2, SEMA-3) sont attendus et documentés : ils correspondent aux anomalies volontairement injectées dans le jeu de données de démonstration, et sont cohérents entre les trois canaux de contrôle (SQL, pytest, Xray).</w:t>
      </w:r>
    </w:p>
    <w:p>
      <w:pPr>
        <w:pStyle w:val="Heading1"/>
        <w:pBdr>
          <w:bottom w:val="single" w:color="1F3864" w:sz="6" w:space="4"/>
        </w:pBdr>
        <w:spacing w:after="160" w:before="320"/>
      </w:pPr>
      <w:r>
        <w:rPr>
          <w:b/>
          <w:bCs/>
          <w:color w:val="1F3864"/>
          <w:sz w:val="26"/>
          <w:szCs w:val="26"/>
        </w:rPr>
        <w:t xml:space="preserve">4. Patrimoine de tests dans Xray</w:t>
      </w:r>
    </w:p>
    <w:p>
      <w:pPr>
        <w:pStyle w:val="ListParagraph"/>
        <w:numPr>
          <w:ilvl w:val="0"/>
          <w:numId w:val="2"/>
        </w:numPr>
        <w:spacing w:after="60" w:line="264"/>
      </w:pPr>
      <w:r>
        <w:rPr>
          <w:color w:val="222222"/>
          <w:sz w:val="21"/>
          <w:szCs w:val="21"/>
        </w:rPr>
        <w:t xml:space="preserve">Projet Jira Cloud dédié SEMAFORE (clé SEMA), types de ticket Xray activés : Test, Test Execution, Test Plan, Precondition</w:t>
      </w:r>
    </w:p>
    <w:p>
      <w:pPr>
        <w:pStyle w:val="ListParagraph"/>
        <w:numPr>
          <w:ilvl w:val="0"/>
          <w:numId w:val="2"/>
        </w:numPr>
        <w:spacing w:after="60" w:line="264"/>
      </w:pPr>
      <w:r>
        <w:rPr>
          <w:color w:val="222222"/>
          <w:sz w:val="21"/>
          <w:szCs w:val="21"/>
        </w:rPr>
        <w:t xml:space="preserve">Test Plan SEMA-5 regroupant les 4 cas de test de cohérence de données</w:t>
      </w:r>
    </w:p>
    <w:p>
      <w:pPr>
        <w:pStyle w:val="ListParagraph"/>
        <w:numPr>
          <w:ilvl w:val="0"/>
          <w:numId w:val="2"/>
        </w:numPr>
        <w:spacing w:after="60" w:line="264"/>
      </w:pPr>
      <w:r>
        <w:rPr>
          <w:color w:val="222222"/>
          <w:sz w:val="21"/>
          <w:szCs w:val="21"/>
        </w:rPr>
        <w:t xml:space="preserve">Test Execution SEMA-6 avec statut d'exécution global et historique horodaté</w:t>
      </w:r>
    </w:p>
    <w:p>
      <w:pPr>
        <w:pStyle w:val="ListParagraph"/>
        <w:numPr>
          <w:ilvl w:val="0"/>
          <w:numId w:val="2"/>
        </w:numPr>
        <w:spacing w:after="60" w:line="264"/>
      </w:pPr>
      <w:r>
        <w:rPr>
          <w:color w:val="222222"/>
          <w:sz w:val="21"/>
          <w:szCs w:val="21"/>
        </w:rPr>
        <w:t xml:space="preserve">Chaque cas de test lié au script SQL correspondant dans le dépôt GitHub (traçabilité test ↔ code)</w:t>
      </w:r>
    </w:p>
    <w:p>
      <w:pPr>
        <w:pStyle w:val="ListParagraph"/>
        <w:numPr>
          <w:ilvl w:val="0"/>
          <w:numId w:val="2"/>
        </w:numPr>
        <w:spacing w:after="60" w:line="264"/>
      </w:pPr>
      <w:r>
        <w:rPr>
          <w:color w:val="222222"/>
          <w:sz w:val="21"/>
          <w:szCs w:val="21"/>
        </w:rPr>
        <w:t xml:space="preserve">Cas de test structurés en Type Manual avec Action / Données / Résultat attendu (réutilisables comme socle pour une automatisation ultérieure via l'API Xray)</w:t>
      </w:r>
    </w:p>
    <w:p>
      <w:pPr>
        <w:pStyle w:val="Heading1"/>
        <w:pBdr>
          <w:bottom w:val="single" w:color="1F3864" w:sz="6" w:space="4"/>
        </w:pBdr>
        <w:spacing w:after="160" w:before="320"/>
      </w:pPr>
      <w:r>
        <w:rPr>
          <w:b/>
          <w:bCs/>
          <w:color w:val="1F3864"/>
          <w:sz w:val="26"/>
          <w:szCs w:val="26"/>
        </w:rPr>
        <w:t xml:space="preserve">5. Rapports et bilans de recette</w:t>
      </w:r>
    </w:p>
    <w:p>
      <w:pPr>
        <w:pStyle w:val="ListParagraph"/>
        <w:numPr>
          <w:ilvl w:val="0"/>
          <w:numId w:val="2"/>
        </w:numPr>
        <w:spacing w:after="60" w:line="264"/>
      </w:pPr>
      <w:r>
        <w:rPr>
          <w:color w:val="222222"/>
          <w:sz w:val="21"/>
          <w:szCs w:val="21"/>
        </w:rPr>
        <w:t xml:space="preserve">Statut d'exécution global du Test Plan (2 PASSED / 2 FAILED sur la démonstration)</w:t>
      </w:r>
    </w:p>
    <w:p>
      <w:pPr>
        <w:pStyle w:val="ListParagraph"/>
        <w:numPr>
          <w:ilvl w:val="0"/>
          <w:numId w:val="2"/>
        </w:numPr>
        <w:spacing w:after="60" w:line="264"/>
      </w:pPr>
      <w:r>
        <w:rPr>
          <w:color w:val="222222"/>
          <w:sz w:val="21"/>
          <w:szCs w:val="21"/>
        </w:rPr>
        <w:t xml:space="preserve">Rapport pytest détaillé avec messages d'anomalie exploitables (matricules, doublons identifiés nommément)</w:t>
      </w:r>
    </w:p>
    <w:p>
      <w:pPr>
        <w:pStyle w:val="ListParagraph"/>
        <w:numPr>
          <w:ilvl w:val="0"/>
          <w:numId w:val="2"/>
        </w:numPr>
        <w:spacing w:after="60" w:line="264"/>
      </w:pPr>
      <w:r>
        <w:rPr>
          <w:color w:val="222222"/>
          <w:sz w:val="21"/>
          <w:szCs w:val="21"/>
        </w:rPr>
        <w:t xml:space="preserve">Rapport Postman/Newman (10/10 tests API en succès sur l'environnement de démonstration)</w:t>
      </w:r>
    </w:p>
    <w:p>
      <w:pPr>
        <w:pStyle w:val="ListParagraph"/>
        <w:numPr>
          <w:ilvl w:val="0"/>
          <w:numId w:val="2"/>
        </w:numPr>
        <w:spacing w:after="60" w:line="264"/>
      </w:pPr>
      <w:r>
        <w:rPr>
          <w:color w:val="222222"/>
          <w:sz w:val="21"/>
          <w:szCs w:val="21"/>
        </w:rPr>
        <w:t xml:space="preserve">Pipeline CI/CD : le job échoue explicitement à l'étape des tests de non-régression tant que les anomalies de données ne sont pas résolues, matérialisant un contrôle qualité bloquant avant livraison</w:t>
      </w:r>
    </w:p>
    <w:p>
      <w:pPr>
        <w:pStyle w:val="Heading1"/>
        <w:pBdr>
          <w:bottom w:val="single" w:color="1F3864" w:sz="6" w:space="4"/>
        </w:pBdr>
        <w:spacing w:after="160" w:before="320"/>
      </w:pPr>
      <w:r>
        <w:rPr>
          <w:b/>
          <w:bCs/>
          <w:color w:val="1F3864"/>
          <w:sz w:val="26"/>
          <w:szCs w:val="26"/>
        </w:rPr>
        <w:t xml:space="preserve">6. Scripts SQL et scripts d'automatisation versionnés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shd w:fill="1F3864" w:val="clear"/>
            <w:tcMar>
              <w:top w:type="dxa" w:w="80"/>
              <w:left w:type="dxa" w:w="100"/>
              <w:bottom w:type="dxa" w:w="80"/>
              <w:right w:type="dxa" w:w="100"/>
            </w:tcMar>
          </w:tcPr>
          <w:p>
            <w:r>
              <w:rPr>
                <w:b/>
                <w:bCs/>
                <w:color w:val="FFFFFF"/>
                <w:sz w:val="19"/>
                <w:szCs w:val="19"/>
              </w:rPr>
              <w:t xml:space="preserve">Composant</w:t>
            </w:r>
          </w:p>
        </w:tc>
        <w:tc>
          <w:tcPr>
            <w:shd w:fill="1F3864" w:val="clear"/>
            <w:tcMar>
              <w:top w:type="dxa" w:w="80"/>
              <w:left w:type="dxa" w:w="100"/>
              <w:bottom w:type="dxa" w:w="80"/>
              <w:right w:type="dxa" w:w="100"/>
            </w:tcMar>
          </w:tcPr>
          <w:p>
            <w:r>
              <w:rPr>
                <w:b/>
                <w:bCs/>
                <w:color w:val="FFFFFF"/>
                <w:sz w:val="19"/>
                <w:szCs w:val="19"/>
              </w:rPr>
              <w:t xml:space="preserve">Emplacement</w:t>
            </w:r>
          </w:p>
        </w:tc>
      </w:tr>
      <w:tr>
        <w:tc>
          <w:tcPr>
            <w:tcMar>
              <w:top w:type="dxa" w:w="80"/>
              <w:left w:type="dxa" w:w="100"/>
              <w:bottom w:type="dxa" w:w="80"/>
              <w:right w:type="dxa" w:w="100"/>
            </w:tcMar>
          </w:tcPr>
          <w:p>
            <w:r>
              <w:rPr>
                <w:b w:val="false"/>
                <w:bCs w:val="false"/>
                <w:color w:val="222222"/>
                <w:sz w:val="19"/>
                <w:szCs w:val="19"/>
              </w:rPr>
              <w:t xml:space="preserve">Contrôles SQL</w:t>
            </w:r>
          </w:p>
        </w:tc>
        <w:tc>
          <w:tcPr>
            <w:tcMar>
              <w:top w:type="dxa" w:w="80"/>
              <w:left w:type="dxa" w:w="100"/>
              <w:bottom w:type="dxa" w:w="80"/>
              <w:right w:type="dxa" w:w="100"/>
            </w:tcMar>
          </w:tcPr>
          <w:p>
            <w:r>
              <w:rPr>
                <w:b w:val="false"/>
                <w:bCs w:val="false"/>
                <w:color w:val="222222"/>
                <w:sz w:val="19"/>
                <w:szCs w:val="19"/>
              </w:rPr>
              <w:t xml:space="preserve">sql/controles_rapprochement.sql, sql/run_controles.py</w:t>
            </w:r>
          </w:p>
        </w:tc>
      </w:tr>
      <w:tr>
        <w:tc>
          <w:tcPr>
            <w:tcMar>
              <w:top w:type="dxa" w:w="80"/>
              <w:left w:type="dxa" w:w="100"/>
              <w:bottom w:type="dxa" w:w="80"/>
              <w:right w:type="dxa" w:w="100"/>
            </w:tcMar>
          </w:tcPr>
          <w:p>
            <w:r>
              <w:rPr>
                <w:b w:val="false"/>
                <w:bCs w:val="false"/>
                <w:color w:val="222222"/>
                <w:sz w:val="19"/>
                <w:szCs w:val="19"/>
              </w:rPr>
              <w:t xml:space="preserve">Tests de non-régression</w:t>
            </w:r>
          </w:p>
        </w:tc>
        <w:tc>
          <w:tcPr>
            <w:tcMar>
              <w:top w:type="dxa" w:w="80"/>
              <w:left w:type="dxa" w:w="100"/>
              <w:bottom w:type="dxa" w:w="80"/>
              <w:right w:type="dxa" w:w="100"/>
            </w:tcMar>
          </w:tcPr>
          <w:p>
            <w:r>
              <w:rPr>
                <w:b w:val="false"/>
                <w:bCs w:val="false"/>
                <w:color w:val="222222"/>
                <w:sz w:val="19"/>
                <w:szCs w:val="19"/>
              </w:rPr>
              <w:t xml:space="preserve">tests/test_controles_donnees.py (pytest)</w:t>
            </w:r>
          </w:p>
        </w:tc>
      </w:tr>
      <w:tr>
        <w:tc>
          <w:tcPr>
            <w:tcMar>
              <w:top w:type="dxa" w:w="80"/>
              <w:left w:type="dxa" w:w="100"/>
              <w:bottom w:type="dxa" w:w="80"/>
              <w:right w:type="dxa" w:w="100"/>
            </w:tcMar>
          </w:tcPr>
          <w:p>
            <w:r>
              <w:rPr>
                <w:b w:val="false"/>
                <w:bCs w:val="false"/>
                <w:color w:val="222222"/>
                <w:sz w:val="19"/>
                <w:szCs w:val="19"/>
              </w:rPr>
              <w:t xml:space="preserve">Mock API et données</w:t>
            </w:r>
          </w:p>
        </w:tc>
        <w:tc>
          <w:tcPr>
            <w:tcMar>
              <w:top w:type="dxa" w:w="80"/>
              <w:left w:type="dxa" w:w="100"/>
              <w:bottom w:type="dxa" w:w="80"/>
              <w:right w:type="dxa" w:w="100"/>
            </w:tcMar>
          </w:tcPr>
          <w:p>
            <w:r>
              <w:rPr>
                <w:b w:val="false"/>
                <w:bCs w:val="false"/>
                <w:color w:val="222222"/>
                <w:sz w:val="19"/>
                <w:szCs w:val="19"/>
              </w:rPr>
              <w:t xml:space="preserve">app/main.py, db/models.py, db/seed.py</w:t>
            </w:r>
          </w:p>
        </w:tc>
      </w:tr>
      <w:tr>
        <w:tc>
          <w:tcPr>
            <w:tcMar>
              <w:top w:type="dxa" w:w="80"/>
              <w:left w:type="dxa" w:w="100"/>
              <w:bottom w:type="dxa" w:w="80"/>
              <w:right w:type="dxa" w:w="100"/>
            </w:tcMar>
          </w:tcPr>
          <w:p>
            <w:r>
              <w:rPr>
                <w:b w:val="false"/>
                <w:bCs w:val="false"/>
                <w:color w:val="222222"/>
                <w:sz w:val="19"/>
                <w:szCs w:val="19"/>
              </w:rPr>
              <w:t xml:space="preserve">Tests API</w:t>
            </w:r>
          </w:p>
        </w:tc>
        <w:tc>
          <w:tcPr>
            <w:tcMar>
              <w:top w:type="dxa" w:w="80"/>
              <w:left w:type="dxa" w:w="100"/>
              <w:bottom w:type="dxa" w:w="80"/>
              <w:right w:type="dxa" w:w="100"/>
            </w:tcMar>
          </w:tcPr>
          <w:p>
            <w:r>
              <w:rPr>
                <w:b w:val="false"/>
                <w:bCs w:val="false"/>
                <w:color w:val="222222"/>
                <w:sz w:val="19"/>
                <w:szCs w:val="19"/>
              </w:rPr>
              <w:t xml:space="preserve">postman/semafore-api-tests.postman_collection.json</w:t>
            </w:r>
          </w:p>
        </w:tc>
      </w:tr>
      <w:tr>
        <w:tc>
          <w:tcPr>
            <w:tcMar>
              <w:top w:type="dxa" w:w="80"/>
              <w:left w:type="dxa" w:w="100"/>
              <w:bottom w:type="dxa" w:w="80"/>
              <w:right w:type="dxa" w:w="100"/>
            </w:tcMar>
          </w:tcPr>
          <w:p>
            <w:r>
              <w:rPr>
                <w:b w:val="false"/>
                <w:bCs w:val="false"/>
                <w:color w:val="222222"/>
                <w:sz w:val="19"/>
                <w:szCs w:val="19"/>
              </w:rPr>
              <w:t xml:space="preserve">Contrôles Power Query</w:t>
            </w:r>
          </w:p>
        </w:tc>
        <w:tc>
          <w:tcPr>
            <w:tcMar>
              <w:top w:type="dxa" w:w="80"/>
              <w:left w:type="dxa" w:w="100"/>
              <w:bottom w:type="dxa" w:w="80"/>
              <w:right w:type="dxa" w:w="100"/>
            </w:tcMar>
          </w:tcPr>
          <w:p>
            <w:r>
              <w:rPr>
                <w:b w:val="false"/>
                <w:bCs w:val="false"/>
                <w:color w:val="222222"/>
                <w:sz w:val="19"/>
                <w:szCs w:val="19"/>
              </w:rPr>
              <w:t xml:space="preserve">powerquery/semafore_controles.xlsx, powerquery/export_csv.py</w:t>
            </w:r>
          </w:p>
        </w:tc>
      </w:tr>
      <w:tr>
        <w:tc>
          <w:tcPr>
            <w:tcMar>
              <w:top w:type="dxa" w:w="80"/>
              <w:left w:type="dxa" w:w="100"/>
              <w:bottom w:type="dxa" w:w="80"/>
              <w:right w:type="dxa" w:w="100"/>
            </w:tcMar>
          </w:tcPr>
          <w:p>
            <w:r>
              <w:rPr>
                <w:b w:val="false"/>
                <w:bCs w:val="false"/>
                <w:color w:val="222222"/>
                <w:sz w:val="19"/>
                <w:szCs w:val="19"/>
              </w:rPr>
              <w:t xml:space="preserve">Pipeline CI/CD</w:t>
            </w:r>
          </w:p>
        </w:tc>
        <w:tc>
          <w:tcPr>
            <w:tcMar>
              <w:top w:type="dxa" w:w="80"/>
              <w:left w:type="dxa" w:w="100"/>
              <w:bottom w:type="dxa" w:w="80"/>
              <w:right w:type="dxa" w:w="100"/>
            </w:tcMar>
          </w:tcPr>
          <w:p>
            <w:r>
              <w:rPr>
                <w:b w:val="false"/>
                <w:bCs w:val="false"/>
                <w:color w:val="222222"/>
                <w:sz w:val="19"/>
                <w:szCs w:val="19"/>
              </w:rPr>
              <w:t xml:space="preserve">.github/workflows/ci.yml</w:t>
            </w:r>
          </w:p>
        </w:tc>
      </w:tr>
    </w:tbl>
    <w:p>
      <w:pPr>
        <w:spacing w:after="120" w:line="276"/>
      </w:pPr>
      <w:r>
        <w:rPr>
          <w:i/>
          <w:iCs/>
          <w:color w:val="222222"/>
          <w:sz w:val="21"/>
          <w:szCs w:val="21"/>
        </w:rPr>
        <w:t xml:space="preserve">Ensemble versionné sous Git, dépôt public à des fins de démonstration : github.com/otshudi-n-koy/semafore-g2s-qa-automation.</w:t>
      </w:r>
    </w:p>
    <w:p>
      <w:pPr>
        <w:pStyle w:val="Heading1"/>
        <w:pBdr>
          <w:bottom w:val="single" w:color="1F3864" w:sz="6" w:space="4"/>
        </w:pBdr>
        <w:spacing w:after="160" w:before="320"/>
      </w:pPr>
      <w:r>
        <w:rPr>
          <w:b/>
          <w:bCs/>
          <w:color w:val="1F3864"/>
          <w:sz w:val="26"/>
          <w:szCs w:val="26"/>
        </w:rPr>
        <w:t xml:space="preserve">7. Procédures d'exécution et de maintenance</w:t>
      </w:r>
    </w:p>
    <w:p>
      <w:pPr>
        <w:pStyle w:val="Heading2"/>
        <w:spacing w:after="100" w:before="220"/>
      </w:pPr>
      <w:r>
        <w:rPr>
          <w:b/>
          <w:bCs/>
          <w:color w:val="1F3864"/>
          <w:sz w:val="22"/>
          <w:szCs w:val="22"/>
        </w:rPr>
        <w:t xml:space="preserve">7.1 Régénérer l'environnement de démonstration</w:t>
      </w:r>
    </w:p>
    <w:p>
      <w:pPr>
        <w:pStyle w:val="ListParagraph"/>
        <w:numPr>
          <w:ilvl w:val="0"/>
          <w:numId w:val="2"/>
        </w:numPr>
        <w:spacing w:after="60" w:line="264"/>
      </w:pPr>
      <w:r>
        <w:rPr>
          <w:color w:val="222222"/>
          <w:sz w:val="21"/>
          <w:szCs w:val="21"/>
        </w:rPr>
        <w:t xml:space="preserve">Activer l'environnement Python : conda activate semafore-qa</w:t>
      </w:r>
    </w:p>
    <w:p>
      <w:pPr>
        <w:pStyle w:val="ListParagraph"/>
        <w:numPr>
          <w:ilvl w:val="0"/>
          <w:numId w:val="2"/>
        </w:numPr>
        <w:spacing w:after="60" w:line="264"/>
      </w:pPr>
      <w:r>
        <w:rPr>
          <w:color w:val="222222"/>
          <w:sz w:val="21"/>
          <w:szCs w:val="21"/>
        </w:rPr>
        <w:t xml:space="preserve">Régénérer les données : python -m db.seed</w:t>
      </w:r>
    </w:p>
    <w:p>
      <w:pPr>
        <w:pStyle w:val="ListParagraph"/>
        <w:numPr>
          <w:ilvl w:val="0"/>
          <w:numId w:val="2"/>
        </w:numPr>
        <w:spacing w:after="60" w:line="264"/>
      </w:pPr>
      <w:r>
        <w:rPr>
          <w:color w:val="222222"/>
          <w:sz w:val="21"/>
          <w:szCs w:val="21"/>
        </w:rPr>
        <w:t xml:space="preserve">Lancer les contrôles SQL : python sql/run_controles.py</w:t>
      </w:r>
    </w:p>
    <w:p>
      <w:pPr>
        <w:pStyle w:val="ListParagraph"/>
        <w:numPr>
          <w:ilvl w:val="0"/>
          <w:numId w:val="2"/>
        </w:numPr>
        <w:spacing w:after="60" w:line="264"/>
      </w:pPr>
      <w:r>
        <w:rPr>
          <w:color w:val="222222"/>
          <w:sz w:val="21"/>
          <w:szCs w:val="21"/>
        </w:rPr>
        <w:t xml:space="preserve">Lancer les tests de non-régression : pytest tests/ -v</w:t>
      </w:r>
    </w:p>
    <w:p>
      <w:pPr>
        <w:pStyle w:val="ListParagraph"/>
        <w:numPr>
          <w:ilvl w:val="0"/>
          <w:numId w:val="2"/>
        </w:numPr>
        <w:spacing w:after="60" w:line="264"/>
      </w:pPr>
      <w:r>
        <w:rPr>
          <w:color w:val="222222"/>
          <w:sz w:val="21"/>
          <w:szCs w:val="21"/>
        </w:rPr>
        <w:t xml:space="preserve">Démarrer l'API et rejouer les tests Postman : python -m uvicorn app.main:app --reload, puis newman run postman/*.json</w:t>
      </w:r>
    </w:p>
    <w:p>
      <w:pPr>
        <w:pStyle w:val="Heading2"/>
        <w:spacing w:after="100" w:before="220"/>
      </w:pPr>
      <w:r>
        <w:rPr>
          <w:b/>
          <w:bCs/>
          <w:color w:val="1F3864"/>
          <w:sz w:val="22"/>
          <w:szCs w:val="22"/>
        </w:rPr>
        <w:t xml:space="preserve">7.2 Maintenance</w:t>
      </w:r>
    </w:p>
    <w:p>
      <w:pPr>
        <w:pStyle w:val="ListParagraph"/>
        <w:numPr>
          <w:ilvl w:val="0"/>
          <w:numId w:val="2"/>
        </w:numPr>
        <w:spacing w:after="60" w:line="264"/>
      </w:pPr>
      <w:r>
        <w:rPr>
          <w:color w:val="222222"/>
          <w:sz w:val="21"/>
          <w:szCs w:val="21"/>
        </w:rPr>
        <w:t xml:space="preserve">Toute nouvelle règle de gestion identifiée fait l'objet d'un contrôle SQL, d'un test pytest associé, et d'un cas de test Xray correspondant</w:t>
      </w:r>
    </w:p>
    <w:p>
      <w:pPr>
        <w:pStyle w:val="ListParagraph"/>
        <w:numPr>
          <w:ilvl w:val="0"/>
          <w:numId w:val="2"/>
        </w:numPr>
        <w:spacing w:after="60" w:line="264"/>
      </w:pPr>
      <w:r>
        <w:rPr>
          <w:color w:val="222222"/>
          <w:sz w:val="21"/>
          <w:szCs w:val="21"/>
        </w:rPr>
        <w:t xml:space="preserve">Les seuils de tolérance (ex. 5% d'écart de volumétrie) sont centralisés dans les tests et ajustables avec le métier</w:t>
      </w:r>
    </w:p>
    <w:p>
      <w:pPr>
        <w:pStyle w:val="Heading1"/>
        <w:pBdr>
          <w:bottom w:val="single" w:color="1F3864" w:sz="6" w:space="4"/>
        </w:pBdr>
        <w:spacing w:after="160" w:before="320"/>
      </w:pPr>
      <w:r>
        <w:rPr>
          <w:b/>
          <w:bCs/>
          <w:color w:val="1F3864"/>
          <w:sz w:val="26"/>
          <w:szCs w:val="26"/>
        </w:rPr>
        <w:t xml:space="preserve">8. Tableaux de bord de suivi de la qualité</w:t>
      </w:r>
    </w:p>
    <w:p>
      <w:pPr>
        <w:pStyle w:val="ListParagraph"/>
        <w:numPr>
          <w:ilvl w:val="0"/>
          <w:numId w:val="2"/>
        </w:numPr>
        <w:spacing w:after="60" w:line="264"/>
      </w:pPr>
      <w:r>
        <w:rPr>
          <w:color w:val="222222"/>
          <w:sz w:val="21"/>
          <w:szCs w:val="21"/>
        </w:rPr>
        <w:t xml:space="preserve">Statut d'exécution global Xray (Test Plan SEMA-5) : proportion PASSED / FAILED en temps réel</w:t>
      </w:r>
    </w:p>
    <w:p>
      <w:pPr>
        <w:pStyle w:val="ListParagraph"/>
        <w:numPr>
          <w:ilvl w:val="0"/>
          <w:numId w:val="2"/>
        </w:numPr>
        <w:spacing w:after="60" w:line="264"/>
      </w:pPr>
      <w:r>
        <w:rPr>
          <w:color w:val="222222"/>
          <w:sz w:val="21"/>
          <w:szCs w:val="21"/>
        </w:rPr>
        <w:t xml:space="preserve">Statut du pipeline CI/CD GitHub Actions : vert/rouge par étape (seed, contrôles SQL, tests, API, Postman)</w:t>
      </w:r>
    </w:p>
    <w:p>
      <w:pPr>
        <w:pStyle w:val="ListParagraph"/>
        <w:numPr>
          <w:ilvl w:val="0"/>
          <w:numId w:val="2"/>
        </w:numPr>
        <w:spacing w:after="60" w:line="264"/>
      </w:pPr>
      <w:r>
        <w:rPr>
          <w:color w:val="222222"/>
          <w:sz w:val="21"/>
          <w:szCs w:val="21"/>
        </w:rPr>
        <w:t xml:space="preserve">Historique Xray : traçabilité des exécutions dans le temps, par cas de test</w:t>
      </w:r>
    </w:p>
    <w:p>
      <w:pPr>
        <w:pStyle w:val="Heading1"/>
        <w:pBdr>
          <w:bottom w:val="single" w:color="1F3864" w:sz="6" w:space="4"/>
        </w:pBdr>
        <w:spacing w:after="160" w:before="320"/>
      </w:pPr>
      <w:r>
        <w:rPr>
          <w:b/>
          <w:bCs/>
          <w:color w:val="1F3864"/>
          <w:sz w:val="26"/>
          <w:szCs w:val="26"/>
        </w:rPr>
        <w:t xml:space="preserve">9. Transfert de compétences aux équipes internes</w:t>
      </w:r>
    </w:p>
    <w:p>
      <w:pPr>
        <w:pStyle w:val="ListParagraph"/>
        <w:numPr>
          <w:ilvl w:val="0"/>
          <w:numId w:val="2"/>
        </w:numPr>
        <w:spacing w:after="60" w:line="264"/>
      </w:pPr>
      <w:r>
        <w:rPr>
          <w:color w:val="222222"/>
          <w:sz w:val="21"/>
          <w:szCs w:val="21"/>
        </w:rPr>
        <w:t xml:space="preserve">Documentation des procédures d'exécution et de régénération de l'environnement (section 7)</w:t>
      </w:r>
    </w:p>
    <w:p>
      <w:pPr>
        <w:pStyle w:val="ListParagraph"/>
        <w:numPr>
          <w:ilvl w:val="0"/>
          <w:numId w:val="2"/>
        </w:numPr>
        <w:spacing w:after="60" w:line="264"/>
      </w:pPr>
      <w:r>
        <w:rPr>
          <w:color w:val="222222"/>
          <w:sz w:val="21"/>
          <w:szCs w:val="21"/>
        </w:rPr>
        <w:t xml:space="preserve">Choix d'outillage argumentés : SQL et Power Query maintenus en parallèle des tests automatisés pour rester accessibles aux équipes non-développeurs</w:t>
      </w:r>
    </w:p>
    <w:p>
      <w:pPr>
        <w:pStyle w:val="ListParagraph"/>
        <w:numPr>
          <w:ilvl w:val="0"/>
          <w:numId w:val="2"/>
        </w:numPr>
        <w:spacing w:after="60" w:line="264"/>
      </w:pPr>
      <w:r>
        <w:rPr>
          <w:color w:val="222222"/>
          <w:sz w:val="21"/>
          <w:szCs w:val="21"/>
        </w:rPr>
        <w:t xml:space="preserve">Structuration Xray conçue pour être reprise et enrichie sans dépendance à un outillage propriétaire complexe</w:t>
      </w:r>
    </w:p>
    <w:p>
      <w:pPr>
        <w:pStyle w:val="ListParagraph"/>
        <w:numPr>
          <w:ilvl w:val="0"/>
          <w:numId w:val="2"/>
        </w:numPr>
        <w:spacing w:after="60" w:line="264"/>
      </w:pPr>
      <w:r>
        <w:rPr>
          <w:color w:val="222222"/>
          <w:sz w:val="21"/>
          <w:szCs w:val="21"/>
        </w:rPr>
        <w:t xml:space="preserve">Scripts commentés et organisés par domaine (sql/, tests/, postman/, powerquery/) pour faciliter la prise en main</w:t>
      </w:r>
    </w:p>
    <w:p>
      <w:pPr>
        <w:pBdr>
          <w:top w:val="single" w:color="AAAAAA" w:sz="4" w:space="8"/>
        </w:pBdr>
        <w:spacing w:before="400"/>
      </w:pPr>
      <w:r>
        <w:rPr>
          <w:i/>
          <w:iCs/>
          <w:color w:val="595959"/>
          <w:sz w:val="18"/>
          <w:szCs w:val="18"/>
        </w:rPr>
        <w:t xml:space="preserve">Document produit dans le cadre de la préparation à la mission G2S / SEMAFORE — environnement de démonstration technique disponible sur demande.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2026-08-08T17:03:00.493Z</dcterms:created>
  <dcterms:modified xsi:type="dcterms:W3CDTF">2026-08-08T17:03:00.518Z</dcterms:modified>
</cp:coreProperties>
</file>

<file path=docProps/custom.xml><?xml version="1.0" encoding="utf-8"?>
<Properties xmlns="http://schemas.openxmlformats.org/officeDocument/2006/custom-properties" xmlns:vt="http://schemas.openxmlformats.org/officeDocument/2006/docPropsVTypes"/>
</file>