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eastAsia="Songti SC"/>
        </w:rPr>
        <w:t>文本与身份试编码上手方案</w:t>
      </w:r>
    </w:p>
    <w:p>
      <w:pPr>
        <w:spacing w:after="60"/>
      </w:pPr>
      <w:r>
        <w:rPr>
          <w:rFonts w:eastAsia="Songti SC"/>
          <w:sz w:val="20"/>
        </w:rPr>
        <w:t>适用对象：第一次参加本项目的两位编码员及研究负责人</w:t>
      </w:r>
    </w:p>
    <w:p>
      <w:pPr>
        <w:spacing w:after="60"/>
      </w:pPr>
      <w:r>
        <w:rPr>
          <w:rFonts w:eastAsia="Songti SC"/>
          <w:sz w:val="20"/>
        </w:rPr>
        <w:t>对齐标准：编码表 v3.16.0；内部文档版本：v1.0</w:t>
      </w:r>
    </w:p>
    <w:p>
      <w:pPr>
        <w:spacing w:after="60"/>
      </w:pPr>
      <w:r>
        <w:rPr>
          <w:rFonts w:eastAsia="Songti SC"/>
          <w:sz w:val="20"/>
        </w:rPr>
        <w:t>编写日期：2026年9月6日</w:t>
      </w:r>
    </w:p>
    <w:p>
      <w:pPr>
        <w:spacing w:after="60"/>
      </w:pPr>
      <w:r>
        <w:rPr>
          <w:rFonts w:eastAsia="Songti SC"/>
          <w:sz w:val="20"/>
        </w:rPr>
        <w:t>用途：第一轮共同试编码的操作说明。分批数量与用时是安排建议，不改变正式编码规则、校准总量或后续通过条件。</w:t>
      </w:r>
    </w:p>
    <w:p>
      <w:pPr>
        <w:pStyle w:val="Heading1"/>
      </w:pPr>
      <w:r>
        <w:rPr>
          <w:rFonts w:eastAsia="Songti SC"/>
        </w:rPr>
        <w:t>1  先用一分钟了解你要做什么</w:t>
      </w:r>
    </w:p>
    <w:p>
      <w:r>
        <w:rPr>
          <w:rFonts w:eastAsia="Songti SC"/>
        </w:rPr>
        <w:t>我们要把旅游帖子中的内容，以及作者资料中能够观察到的特征，按统一规则记入表格。这项工作叫“编码”。你不需要写程序，也不需要先读懂论文。</w:t>
      </w:r>
    </w:p>
    <w:p>
      <w:pPr>
        <w:keepNext/>
      </w:pPr>
      <w:r>
        <w:rPr>
          <w:rFonts w:eastAsia="Songti SC"/>
        </w:rPr>
        <w:t>你会做两种任务：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402"/>
        <w:gridCol w:w="5040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任务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你阅读什么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你回答什么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文本任务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一篇帖子的文字，以及已经分好的句子或短段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作者怎样表达？提到了什么？是在介绍、评价还是建议？具体评价了哪方面？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作者身份任务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同一个账号的固定主页资料和历史内容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这些材料能支持怎样的作者角色判断？哪些地方仍然无法确定？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这次先小批试做，再讨论遇到的困难，用来检查说明是否清楚、材料是否够用。发现规则有问题是有用的反馈，不需要为了“交出正确答案”而猜研究者想看到什么。</w:t>
      </w:r>
    </w:p>
    <w:p>
      <w:r>
        <w:rPr>
          <w:rFonts w:eastAsia="Songti SC"/>
          <w:b/>
        </w:rPr>
        <w:t>整个过程：读说明 → 各自填写同一批材料 → 分别交表 → 负责人保存原始答案 → 一起讨论 → 再做下一批。</w:t>
      </w:r>
    </w:p>
    <w:p>
      <w:pPr>
        <w:pStyle w:val="Heading1"/>
      </w:pPr>
      <w:r>
        <w:rPr>
          <w:rFonts w:eastAsia="Songti SC"/>
        </w:rPr>
        <w:t>2  开始前 拿到自己的材料</w:t>
      </w:r>
    </w:p>
    <w:p>
      <w:pPr>
        <w:keepNext/>
      </w:pPr>
      <w:r>
        <w:rPr>
          <w:rFonts w:eastAsia="Songti SC"/>
        </w:rPr>
        <w:t>负责人应分别发给编码员A和B：</w:t>
      </w:r>
    </w:p>
    <w:p>
      <w:pPr>
        <w:ind w:left="283" w:hanging="283"/>
      </w:pPr>
      <w:r>
        <w:rPr>
          <w:rFonts w:eastAsia="Songti SC"/>
        </w:rPr>
        <w:t>1. 本方案。</w:t>
      </w:r>
    </w:p>
    <w:p>
      <w:pPr>
        <w:ind w:left="283" w:hanging="283"/>
      </w:pPr>
      <w:r>
        <w:rPr>
          <w:rFonts w:eastAsia="Songti SC"/>
        </w:rPr>
        <w:t>2. 自己的文本工作簿和本批任务范围。</w:t>
      </w:r>
    </w:p>
    <w:p>
      <w:pPr>
        <w:ind w:left="283" w:hanging="283"/>
      </w:pPr>
      <w:r>
        <w:rPr>
          <w:rFonts w:eastAsia="Songti SC"/>
        </w:rPr>
        <w:t>3. 自己的作者身份工作簿，以及与之对应的作者证据包；身份批次开始时再发。</w:t>
      </w:r>
    </w:p>
    <w:p>
      <w:pPr>
        <w:ind w:left="283" w:hanging="283"/>
      </w:pPr>
      <w:r>
        <w:rPr>
          <w:rFonts w:eastAsia="Songti SC"/>
        </w:rPr>
        <w:t>4. 编码簿，供遇到具体标签时查阅。</w:t>
      </w:r>
    </w:p>
    <w:p>
      <w:pPr>
        <w:ind w:left="283" w:hanging="283"/>
      </w:pPr>
      <w:r>
        <w:rPr>
          <w:rFonts w:eastAsia="Songti SC"/>
        </w:rPr>
        <w:t>5. 交表位置、负责人联系方式、截止时间，以及本批允许使用的材料清单。</w:t>
      </w:r>
    </w:p>
    <w:p>
      <w:r>
        <w:rPr>
          <w:rFonts w:eastAsia="Songti SC"/>
        </w:rPr>
        <w:t xml:space="preserve">先检查工作簿注明的编码表版本是否为 </w:t>
      </w:r>
      <w:r>
        <w:rPr>
          <w:rFonts w:eastAsia="Songti SC"/>
          <w:b/>
        </w:rPr>
        <w:t>v3.16.0</w:t>
      </w:r>
      <w:r>
        <w:rPr>
          <w:rFonts w:eastAsia="Songti SC"/>
        </w:rPr>
        <w:t>，能否看到“有疑问填?”或含义相同的列。若表格仍要求逐项填1—5级置信度，或只有空表、没有对应材料，先联系负责人处理。</w:t>
      </w:r>
    </w:p>
    <w:p>
      <w:r>
        <w:rPr>
          <w:rFonts w:eastAsia="Songti SC"/>
        </w:rPr>
        <w:t>每人只打开自己的答案文件。可以询问负责人“材料打不开”“这一列在哪里”等操作问题；本批交表并保存前，不与另一位编码员讨论具体标签。负责人若要澄清规则，应把同一条说明同时发给两个人。</w:t>
      </w:r>
    </w:p>
    <w:p>
      <w:r>
        <w:rPr>
          <w:rFonts w:eastAsia="Songti SC"/>
        </w:rPr>
        <w:t>只使用发下来的材料，不自行搜索作者主页、补找帖子或用AI生成答案。文件只保存在负责人指定的位置。</w:t>
      </w:r>
    </w:p>
    <w:p>
      <w:pPr>
        <w:pStyle w:val="Heading1"/>
      </w:pPr>
      <w:r>
        <w:rPr>
          <w:rFonts w:eastAsia="Songti SC"/>
        </w:rPr>
        <w:t>3  先认清表格里的三类内容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571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表格内容</w:t>
            </w:r>
          </w:p>
        </w:tc>
        <w:tc>
          <w:tcPr>
            <w:tcW w:type="dxa" w:w="657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你怎么处理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已有材料：原文、任务编号、帖子编号、片段编号、版本、允许填写的值</w:t>
            </w:r>
          </w:p>
        </w:tc>
        <w:tc>
          <w:tcPr>
            <w:tcW w:type="dxa" w:w="657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阅读和核对，保持原样；发现错误告诉负责人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需要判断的内容：标签值、对应的原文证据或证据编号</w:t>
            </w:r>
          </w:p>
        </w:tc>
        <w:tc>
          <w:tcPr>
            <w:tcW w:type="dxa" w:w="657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按规则填写；需要人工判断的父类和子类都要填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疑问记录：问号、原因、简短说明、备选答案</w:t>
            </w:r>
          </w:p>
        </w:tc>
        <w:tc>
          <w:tcPr>
            <w:tcW w:type="dxa" w:w="657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只有拿不准时才填写；没有疑问就留空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“字段”就是一个需要回答的问题。“父类”是大类，“子类”是它下面的具体类别。例如，“自然旅游资源”是大类，“水域风光”是具体类别。表格同时要求它们时，两项都由你判断，不能只填小类、把大类空着。</w:t>
      </w:r>
    </w:p>
    <w:p>
      <w:r>
        <w:rPr>
          <w:rFonts w:eastAsia="Songti SC"/>
        </w:rPr>
        <w:t>文本工作簿可能是一条判断占一行：同一段原文会重复出现多行，因为每行问的问题不同。请看“中文标签”和“允许填写的值”，不要把重复显示的原文当成重复任务删掉。另一些表格把同一片段的多个问题排在一行，填写原则相同。</w:t>
      </w:r>
    </w:p>
    <w:p>
      <w:pPr>
        <w:pStyle w:val="Heading2"/>
      </w:pPr>
      <w:r>
        <w:rPr>
          <w:rFonts w:eastAsia="Songti SC"/>
        </w:rPr>
        <w:t>常见答案是什么意思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15"/>
        <w:gridCol w:w="4473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答案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意思</w:t>
            </w:r>
          </w:p>
        </w:tc>
        <w:tc>
          <w:tcPr>
            <w:tcW w:type="dxa" w:w="447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注意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1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有符合标签定义的证据</w:t>
            </w:r>
          </w:p>
        </w:tc>
        <w:tc>
          <w:tcPr>
            <w:tcW w:type="dxa" w:w="447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多个可共现标签可以同时为1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0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这个问题适用，检查后没有发现该特征</w:t>
            </w:r>
          </w:p>
        </w:tc>
        <w:tc>
          <w:tcPr>
            <w:tcW w:type="dxa" w:w="447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不表示“没来得及看”或“资料不够”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NA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前面的条件没成立，这个问题不适用</w:t>
            </w:r>
          </w:p>
        </w:tc>
        <w:tc>
          <w:tcPr>
            <w:tcW w:type="dxa" w:w="447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例如没有目的地属性评价或建议时，其余属性标签按规则填NA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UNK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这个问题应该判断，但材料不足以作出判断</w:t>
            </w:r>
          </w:p>
        </w:tc>
        <w:tc>
          <w:tcPr>
            <w:tcW w:type="dxa" w:w="447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只在该字段允许时使用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UNRESOLVED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试编码时，规则本身不能支持唯一答案</w:t>
            </w:r>
          </w:p>
        </w:tc>
        <w:tc>
          <w:tcPr>
            <w:tcW w:type="dxa" w:w="447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文本共同校准按允许值使用，同时标?并说明；不要写入未允许此值的身份字段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标签值空白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还没有完成</w:t>
            </w:r>
          </w:p>
        </w:tc>
        <w:tc>
          <w:tcPr>
            <w:tcW w:type="dxa" w:w="447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与“疑问标记列空白”不同；后者表示没有主动疑问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不是所有字段都能填以上全部答案。单选题按工作表给出的选项填写；不要把中文解释随意写进只接受代码的标签格，也不要自行增加“其他”“不确定”等选项。</w:t>
      </w:r>
    </w:p>
    <w:p>
      <w:pPr>
        <w:pStyle w:val="Heading1"/>
      </w:pPr>
      <w:r>
        <w:rPr>
          <w:rFonts w:eastAsia="Songti SC"/>
        </w:rPr>
        <w:t>4  文本任务 完整做完一篇 再做下一篇</w:t>
      </w:r>
    </w:p>
    <w:p>
      <w:pPr>
        <w:pStyle w:val="Heading2"/>
      </w:pPr>
      <w:r>
        <w:rPr>
          <w:rFonts w:eastAsia="Songti SC"/>
        </w:rPr>
        <w:t>第一步 先读完整帖子</w:t>
      </w:r>
    </w:p>
    <w:p>
      <w:pPr>
        <w:keepNext/>
      </w:pPr>
      <w:r>
        <w:rPr>
          <w:rFonts w:eastAsia="Songti SC"/>
        </w:rPr>
        <w:t>先了解它在讲什么，再完成整篇帖子的问题：</w:t>
      </w:r>
    </w:p>
    <w:p>
      <w:pPr>
        <w:pStyle w:val="ListBullet"/>
      </w:pPr>
      <w:r>
        <w:rPr>
          <w:rFonts w:eastAsia="Songti SC"/>
        </w:rPr>
        <w:t>是否明确写了广告、赞助、合作、受邀体验或推广等商业披露。出现品牌名、语气像广告，本身不够。</w:t>
      </w:r>
    </w:p>
    <w:p>
      <w:pPr>
        <w:pStyle w:val="ListBullet"/>
      </w:pPr>
      <w:r>
        <w:rPr>
          <w:rFonts w:eastAsia="Songti SC"/>
        </w:rPr>
        <w:t>完成工作表要求人工判断的帖子信息，例如目的地类型。已有的客观信息保持原样。</w:t>
      </w:r>
    </w:p>
    <w:p>
      <w:r>
        <w:rPr>
          <w:rFonts w:eastAsia="Songti SC"/>
        </w:rPr>
        <w:t>不要根据作者名、粉丝量或你对该作者的印象判断文本。</w:t>
      </w:r>
    </w:p>
    <w:p>
      <w:pPr>
        <w:pStyle w:val="Heading2"/>
      </w:pPr>
      <w:r>
        <w:rPr>
          <w:rFonts w:eastAsia="Songti SC"/>
        </w:rPr>
        <w:t>第二步 对每个固定片段回答四组问题</w:t>
      </w:r>
    </w:p>
    <w:p>
      <w:pPr>
        <w:keepNext/>
      </w:pPr>
      <w:r>
        <w:rPr>
          <w:rFonts w:eastAsia="Songti SC"/>
        </w:rPr>
        <w:t>“片段”就是已经分好的句子或短段，编号通常显示为</w:t>
      </w:r>
      <w:r>
        <w:rPr>
          <w:rFonts w:ascii="Arial" w:hAnsi="Arial" w:eastAsia="Songti SC"/>
          <w:sz w:val="21"/>
        </w:rPr>
        <w:t>seg_id</w:t>
      </w:r>
      <w:r>
        <w:rPr>
          <w:rFonts w:eastAsia="Songti SC"/>
        </w:rPr>
        <w:t>。先读当前片段，必要时回看整篇文字理解指代，再依次判断：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1701"/>
        <w:gridCol w:w="2891"/>
        <w:gridCol w:w="4586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eastAsia="Songti SC"/>
                <w:b/>
                <w:sz w:val="21"/>
              </w:rPr>
              <w:t>顺序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表中编号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用普通话理解这个问题</w:t>
            </w:r>
          </w:p>
        </w:tc>
        <w:tc>
          <w:tcPr>
            <w:tcW w:type="dxa" w:w="458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怎么填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Songti SC"/>
                <w:sz w:val="21"/>
              </w:rPr>
              <w:t>1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V3 内容策略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作者用什么方式讲这件事？</w:t>
            </w:r>
          </w:p>
        </w:tc>
        <w:tc>
          <w:tcPr>
            <w:tcW w:type="dxa" w:w="458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对照信息提供、知识解释、情感渲染、互动等定义，逐项判断大类和小类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Songti SC"/>
                <w:sz w:val="21"/>
              </w:rPr>
              <w:t>2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V4 旅游资源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文字实际提到了什么？</w:t>
            </w:r>
          </w:p>
        </w:tc>
        <w:tc>
          <w:tcPr>
            <w:tcW w:type="dxa" w:w="458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如海景、建筑、饮食、活动；符合多个标签时可同时填写，事件类继续判断具体事件子类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Songti SC"/>
                <w:sz w:val="21"/>
              </w:rPr>
              <w:t>3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V5 语言与情感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是介绍事实、表达评价，还是提出建议？态度和强度怎样？</w:t>
            </w:r>
          </w:p>
        </w:tc>
        <w:tc>
          <w:tcPr>
            <w:tcW w:type="dxa" w:w="458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信息、评价、建议可以共现；再按条件填写评价亚类、方向和正负强度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eastAsia="Songti SC"/>
                <w:sz w:val="21"/>
              </w:rPr>
              <w:t>4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V6 属性指向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具体在评价或建议哪方面？</w:t>
            </w:r>
          </w:p>
        </w:tc>
        <w:tc>
          <w:tcPr>
            <w:tcW w:type="dxa" w:w="458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先判断是否适用，再看景观品质、价格、服务、交通、卫生等属性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旅游资源和属性指向是两件事：提到地铁站，可以是资源信息；说“换乘很方便”，才是在评价交通便利性。不能因为出现价格、交通或卫生相关词，就直接认定存在属性评价。</w:t>
      </w:r>
    </w:p>
    <w:p>
      <w:pPr>
        <w:keepNext/>
      </w:pPr>
      <w:r>
        <w:rPr>
          <w:rFonts w:eastAsia="Songti SC"/>
        </w:rPr>
        <w:t>V5要特别注意：</w:t>
      </w:r>
    </w:p>
    <w:p>
      <w:pPr>
        <w:pStyle w:val="ListBullet"/>
      </w:pPr>
      <w:r>
        <w:rPr>
          <w:rFonts w:eastAsia="Songti SC"/>
        </w:rPr>
        <w:t>没有评价或建议时，不能为了填满表格而给出正负态度；按规则填写情感可判定状态和NA。</w:t>
      </w:r>
    </w:p>
    <w:p>
      <w:pPr>
        <w:pStyle w:val="ListBullet"/>
      </w:pPr>
      <w:r>
        <w:rPr>
          <w:rFonts w:eastAsia="Songti SC"/>
        </w:rPr>
        <w:t>“无法判定”不等于“中性”。中性用于确实表达无褒贬立场的评价或建议。</w:t>
      </w:r>
    </w:p>
    <w:p>
      <w:pPr>
        <w:pStyle w:val="ListBullet"/>
      </w:pPr>
      <w:r>
        <w:rPr>
          <w:rFonts w:eastAsia="Songti SC"/>
        </w:rPr>
        <w:t>正面强度和负面强度分别判断。</w:t>
      </w:r>
      <w:r>
        <w:rPr>
          <w:rFonts w:ascii="Arial" w:hAnsi="Arial" w:eastAsia="Songti SC"/>
          <w:sz w:val="21"/>
        </w:rPr>
        <w:t>0</w:t>
      </w:r>
      <w:r>
        <w:rPr>
          <w:rFonts w:eastAsia="Songti SC"/>
        </w:rPr>
        <w:t>是没有该方向，</w:t>
      </w:r>
      <w:r>
        <w:rPr>
          <w:rFonts w:ascii="Arial" w:hAnsi="Arial" w:eastAsia="Songti SC"/>
          <w:sz w:val="21"/>
        </w:rPr>
        <w:t>1</w:t>
      </w:r>
      <w:r>
        <w:rPr>
          <w:rFonts w:eastAsia="Songti SC"/>
        </w:rPr>
        <w:t>是一般强度，</w:t>
      </w:r>
      <w:r>
        <w:rPr>
          <w:rFonts w:ascii="Arial" w:hAnsi="Arial" w:eastAsia="Songti SC"/>
          <w:sz w:val="21"/>
        </w:rPr>
        <w:t>2</w:t>
      </w:r>
      <w:r>
        <w:rPr>
          <w:rFonts w:eastAsia="Songti SC"/>
        </w:rPr>
        <w:t>是有明确强烈表达；不是1—5级置信度评分。</w:t>
      </w:r>
    </w:p>
    <w:p>
      <w:pPr>
        <w:pStyle w:val="ListBullet"/>
      </w:pPr>
      <w:r>
        <w:rPr>
          <w:rFonts w:eastAsia="Songti SC"/>
        </w:rPr>
        <w:t>普通评价可能容易判断正负，却难以选出“赞赏”“满意”等亚类。先查定义，仍无法唯一判断时记录具体疑问，不必硬选最像的一个。</w:t>
      </w:r>
    </w:p>
    <w:p>
      <w:r>
        <w:rPr>
          <w:rFonts w:eastAsia="Songti SC"/>
        </w:rPr>
        <w:t>V6先填“是否适用”。若不适用，其余V6属性字段按规则填</w:t>
      </w:r>
      <w:r>
        <w:rPr>
          <w:rFonts w:ascii="Arial" w:hAnsi="Arial" w:eastAsia="Songti SC"/>
          <w:sz w:val="21"/>
        </w:rPr>
        <w:t>NA</w:t>
      </w:r>
      <w:r>
        <w:rPr>
          <w:rFonts w:eastAsia="Songti SC"/>
        </w:rPr>
        <w:t>；若适用，再对各属性逐项填</w:t>
      </w:r>
      <w:r>
        <w:rPr>
          <w:rFonts w:ascii="Arial" w:hAnsi="Arial" w:eastAsia="Songti SC"/>
          <w:sz w:val="21"/>
        </w:rPr>
        <w:t>1</w:t>
      </w:r>
      <w:r>
        <w:rPr>
          <w:rFonts w:eastAsia="Songti SC"/>
        </w:rPr>
        <w:t>或</w:t>
      </w:r>
      <w:r>
        <w:rPr>
          <w:rFonts w:ascii="Arial" w:hAnsi="Arial" w:eastAsia="Songti SC"/>
          <w:sz w:val="21"/>
        </w:rPr>
        <w:t>0</w:t>
      </w:r>
      <w:r>
        <w:rPr>
          <w:rFonts w:eastAsia="Songti SC"/>
        </w:rPr>
        <w:t>。</w:t>
      </w:r>
    </w:p>
    <w:p>
      <w:pPr>
        <w:pStyle w:val="Heading2"/>
      </w:pPr>
      <w:r>
        <w:rPr>
          <w:rFonts w:eastAsia="Songti SC"/>
        </w:rPr>
        <w:t>第三步 复制支持判断的原文</w:t>
      </w:r>
    </w:p>
    <w:p>
      <w:r>
        <w:rPr>
          <w:rFonts w:eastAsia="Songti SC"/>
        </w:rPr>
        <w:t>对实质性的阳性判断，原则上复制一段能说明理由的最短原文，放入对应证据位置。可以用同一段证据支持有关联的大类和小类。</w:t>
      </w:r>
    </w:p>
    <w:p>
      <w:r>
        <w:rPr>
          <w:rFonts w:eastAsia="Songti SC"/>
        </w:rPr>
        <w:t>例如原文是“并没有想象中那么干净”，不能只复制“干净”，因为这样会丢掉否定。证据保留原字句，不改成自己的总结。记录</w:t>
      </w:r>
      <w:r>
        <w:rPr>
          <w:rFonts w:ascii="Arial" w:hAnsi="Arial" w:eastAsia="Songti SC"/>
          <w:sz w:val="21"/>
        </w:rPr>
        <w:t>0</w:t>
      </w:r>
      <w:r>
        <w:rPr>
          <w:rFonts w:eastAsia="Songti SC"/>
        </w:rPr>
        <w:t>、</w:t>
      </w:r>
      <w:r>
        <w:rPr>
          <w:rFonts w:ascii="Arial" w:hAnsi="Arial" w:eastAsia="Songti SC"/>
          <w:sz w:val="21"/>
        </w:rPr>
        <w:t>UNK</w:t>
      </w:r>
      <w:r>
        <w:rPr>
          <w:rFonts w:eastAsia="Songti SC"/>
        </w:rPr>
        <w:t>、</w:t>
      </w:r>
      <w:r>
        <w:rPr>
          <w:rFonts w:ascii="Arial" w:hAnsi="Arial" w:eastAsia="Songti SC"/>
          <w:sz w:val="21"/>
        </w:rPr>
        <w:t>NA</w:t>
      </w:r>
      <w:r>
        <w:rPr>
          <w:rFonts w:eastAsia="Songti SC"/>
        </w:rPr>
        <w:t>或整体排除项时，不要编造局部证据来填满表格。</w:t>
      </w:r>
    </w:p>
    <w:p>
      <w:r>
        <w:rPr>
          <w:rFonts w:eastAsia="Songti SC"/>
        </w:rPr>
        <w:t>不用写程序、JSON或手算字符位置。若同样的证据在片段中出现多次，按表中说明标明位置；不会定位时联系负责人，不随便填一个数字。</w:t>
      </w:r>
    </w:p>
    <w:p>
      <w:pPr>
        <w:pStyle w:val="Heading2"/>
      </w:pPr>
      <w:r>
        <w:rPr>
          <w:rFonts w:eastAsia="Songti SC"/>
        </w:rPr>
        <w:t>一个练习例子</w:t>
      </w:r>
    </w:p>
    <w:p>
      <w:r>
        <w:rPr>
          <w:rFonts w:eastAsia="Songti SC"/>
        </w:rPr>
        <w:t>以下均为虚构教学文字，不来自待编码样本；这里只演示部分字段，不代表该片段全部字段已完成。</w:t>
      </w:r>
    </w:p>
    <w:p>
      <w:r>
        <w:rPr>
          <w:rFonts w:eastAsia="Songti SC"/>
        </w:rPr>
        <w:t>原文：“门票80元。”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1701"/>
        <w:gridCol w:w="4700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正在回答的问题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示例填写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为什么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有没有信息性陈述？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1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给出了一个可判断真假的价格信息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有没有评价？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0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没有说贵、便宜或值得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有没有建议？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0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没有建议读者采取行动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情感方向是否可判定？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0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这里没有评价或建议；情感方向及两项强度填NA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有没有适用的目的地属性评价或建议？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0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提到票价不等于评价价格；其余V6字段填NA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你是在记录作者表达了什么，不需要上网核对实际票价。</w:t>
      </w:r>
    </w:p>
    <w:p>
      <w:pPr>
        <w:pStyle w:val="Heading2"/>
      </w:pPr>
      <w:r>
        <w:rPr>
          <w:rFonts w:eastAsia="Songti SC"/>
        </w:rPr>
        <w:t>发现片段切得不合适怎么办</w:t>
      </w:r>
    </w:p>
    <w:p>
      <w:r>
        <w:rPr>
          <w:rFonts w:eastAsia="Songti SC"/>
        </w:rPr>
        <w:t>例如“景色很美，但厕所很脏”仍被放在同一个片段里，涉及不同属性和相反方向。不要自己拆成两行，也不要直接用一个“混合情感”掩盖问题。</w:t>
      </w:r>
    </w:p>
    <w:p>
      <w:r>
        <w:rPr>
          <w:rFonts w:eastAsia="Songti SC"/>
        </w:rPr>
        <w:t>保持原文和编号不变，先完成能判断的字段，登记“切分问题”（</w:t>
      </w:r>
      <w:r>
        <w:rPr>
          <w:rFonts w:ascii="Arial" w:hAnsi="Arial" w:eastAsia="Songti SC"/>
          <w:sz w:val="21"/>
        </w:rPr>
        <w:t>UNITIZATION_PROBLEM</w:t>
      </w:r>
      <w:r>
        <w:rPr>
          <w:rFonts w:eastAsia="Songti SC"/>
        </w:rPr>
        <w:t>），写“景色与厕所卫生应分别判断，现有片段混在一起”。受影响字段按允许的未决状态及疑问规则处理。负责人统一解决，后续两人使用同一份片段材料。</w:t>
      </w:r>
    </w:p>
    <w:p>
      <w:pPr>
        <w:pStyle w:val="Heading1"/>
      </w:pPr>
      <w:r>
        <w:rPr>
          <w:rFonts w:eastAsia="Songti SC"/>
        </w:rPr>
        <w:t>5  作者身份任务 读完同一人的全部材料 再给角色</w:t>
      </w:r>
    </w:p>
    <w:p>
      <w:r>
        <w:rPr>
          <w:rFonts w:eastAsia="Songti SC"/>
        </w:rPr>
        <w:t>每名作者作为一个任务，不把同一人的三篇历史帖子当成三名作者。当前身份轨只做小红书、知乎；证据包中每条资料应有编号和日期。</w:t>
      </w:r>
    </w:p>
    <w:p>
      <w:r>
        <w:rPr>
          <w:rFonts w:eastAsia="Songti SC"/>
        </w:rPr>
        <w:t>你判断的是固定材料能支持的作者特征，无法确认的地方可以按规则保留未知。不要用粉丝多少、点赞多少或“看起来很像博主”代替证据。</w:t>
      </w:r>
    </w:p>
    <w:p>
      <w:pPr>
        <w:pStyle w:val="Heading2"/>
      </w:pPr>
      <w:r>
        <w:rPr>
          <w:rFonts w:eastAsia="Songti SC"/>
        </w:rPr>
        <w:t>按这七步填写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628"/>
        <w:gridCol w:w="4303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步骤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你要回答的问题</w:t>
            </w:r>
          </w:p>
        </w:tc>
        <w:tc>
          <w:tcPr>
            <w:tcW w:type="dxa" w:w="430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操作提示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1. 主体性质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这是一个人、机构、多人共同运营，还是看不清？</w:t>
            </w:r>
          </w:p>
        </w:tc>
        <w:tc>
          <w:tcPr>
            <w:tcW w:type="dxa" w:w="430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先看可识别主体性质的材料；不要只凭营销语气下结论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2. 内容方向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从包内多条材料看，主要持续讲旅行、美食、生活方式，还是多个领域？</w:t>
            </w:r>
          </w:p>
        </w:tc>
        <w:tc>
          <w:tcPr>
            <w:tcW w:type="dxa" w:w="430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不用单篇偶然主题代替整个账号的方向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3. 专业权威（EA）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有哪些旅游或相关领域的专业依据？</w:t>
            </w:r>
          </w:p>
        </w:tc>
        <w:tc>
          <w:tcPr>
            <w:tcW w:type="dxa" w:w="430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逐项核对资质、相关职业、领域认证、机构关联、持续专业内容这五类证据，再填写总体判断；具体成立条件查编码簿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4. 消费者经验（CE）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是否反复分享自己的旅行或消费经历，并持续给其他普通使用者提供经验、建议？</w:t>
            </w:r>
          </w:p>
        </w:tc>
        <w:tc>
          <w:tcPr>
            <w:tcW w:type="dxa" w:w="430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两项都成立才支持总体CE=1；重复第一手经历须来自至少两个不同日期的来源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5. 持续创作（SC）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材料是否显示持续发布旅游相关内容？</w:t>
            </w:r>
          </w:p>
        </w:tc>
        <w:tc>
          <w:tcPr>
            <w:tcW w:type="dxa" w:w="430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SC=1须至少3个不同日期的相关来源，最早与最晚相隔至少30天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6. 证据是否充分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现有身份、日期和内容材料，是否足够完成角色判断？</w:t>
            </w:r>
          </w:p>
        </w:tc>
        <w:tc>
          <w:tcPr>
            <w:tcW w:type="dxa" w:w="430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有简介、有三篇帖，也不保证材料一定充分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7. 最终角色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综合上面已填写的判断，应选哪个角色？</w:t>
            </w:r>
          </w:p>
        </w:tc>
        <w:tc>
          <w:tcPr>
            <w:tcW w:type="dxa" w:w="430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由你直接填写，工作簿不会替你生成结果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各项按表格记录证据编号，多个编号用</w:t>
      </w:r>
      <w:r>
        <w:rPr>
          <w:rFonts w:ascii="Arial" w:hAnsi="Arial" w:eastAsia="Songti SC"/>
          <w:sz w:val="21"/>
        </w:rPr>
        <w:t>|</w:t>
      </w:r>
      <w:r>
        <w:rPr>
          <w:rFonts w:eastAsia="Songti SC"/>
        </w:rPr>
        <w:t>连接。阴性判断要有足够覆盖材料支撑，不要伪造一句“作者没有资质”作为反证。固定的社群关系字段</w:t>
      </w:r>
      <w:r>
        <w:rPr>
          <w:rFonts w:ascii="Arial" w:hAnsi="Arial" w:eastAsia="Songti SC"/>
          <w:sz w:val="21"/>
        </w:rPr>
        <w:t>UNAVAILABLE</w:t>
      </w:r>
      <w:r>
        <w:rPr>
          <w:rFonts w:eastAsia="Songti SC"/>
        </w:rPr>
        <w:t>保持原样。</w:t>
      </w:r>
    </w:p>
    <w:p>
      <w:r>
        <w:rPr>
          <w:rFonts w:eastAsia="Songti SC"/>
          <w:b/>
        </w:rPr>
        <w:t>“没看到”不总能填0。</w:t>
      </w:r>
      <w:r>
        <w:rPr>
          <w:rFonts w:eastAsia="Songti SC"/>
        </w:rPr>
        <w:t xml:space="preserve"> 只有满足至少3日期、跨度至少30天，并含可用主页或等价身份材料等要求后，才允许考虑专业权威或消费者经验的“未发现”代码。材料达不到覆盖要求时，应按对应规则使用未知；达到数量门，也仍须阅读内容才能判断。</w:t>
      </w:r>
    </w:p>
    <w:p>
      <w:r>
        <w:rPr>
          <w:rFonts w:eastAsia="Songti SC"/>
        </w:rPr>
        <w:t>一篇帖子说“我每年都来”，不等于包里有多个日期的独立来源；一份很长的攻略，也不能拆算成多次第一手消费证据。</w:t>
      </w:r>
    </w:p>
    <w:p>
      <w:pPr>
        <w:pStyle w:val="Heading2"/>
      </w:pPr>
      <w:r>
        <w:rPr>
          <w:rFonts w:eastAsia="Songti SC"/>
        </w:rPr>
        <w:t>最终角色怎么理解</w:t>
      </w:r>
    </w:p>
    <w:p>
      <w:r>
        <w:rPr>
          <w:rFonts w:eastAsia="Songti SC"/>
        </w:rPr>
        <w:t>下表帮助你核对填写是否有依据，不是让你跳过前面的判断。前四类都要求：单一自然人、证据充分、持续创作成立。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98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表中选项</w:t>
            </w:r>
          </w:p>
        </w:tc>
        <w:tc>
          <w:tcPr>
            <w:tcW w:type="dxa" w:w="79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在本项目中的意思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KOL_TYPE</w:t>
            </w:r>
          </w:p>
        </w:tc>
        <w:tc>
          <w:tcPr>
            <w:tcW w:type="dxa" w:w="79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专业权威成立，消费者同伴导向不成立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KOC_TYPE</w:t>
            </w:r>
          </w:p>
        </w:tc>
        <w:tc>
          <w:tcPr>
            <w:tcW w:type="dxa" w:w="79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专业权威不成立，消费者同伴导向成立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HYBRID</w:t>
            </w:r>
          </w:p>
        </w:tc>
        <w:tc>
          <w:tcPr>
            <w:tcW w:type="dxa" w:w="79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以上两种取向都成立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ORDINARY</w:t>
            </w:r>
          </w:p>
        </w:tc>
        <w:tc>
          <w:tcPr>
            <w:tcW w:type="dxa" w:w="79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以上两种取向都不成立；只是本项目分类名称，不等于“普通游客”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UNK</w:t>
            </w:r>
          </w:p>
        </w:tc>
        <w:tc>
          <w:tcPr>
            <w:tcW w:type="dxa" w:w="79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主体不清、关键证据不足、持续创作不成立，或关键判断未决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NA</w:t>
            </w:r>
          </w:p>
        </w:tc>
        <w:tc>
          <w:tcPr>
            <w:tcW w:type="dxa" w:w="79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机构或多人账号，不适用个人角色分类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无需为了凑齐类别而判断。只要证据不足，保留</w:t>
      </w:r>
      <w:r>
        <w:rPr>
          <w:rFonts w:ascii="Arial" w:hAnsi="Arial" w:eastAsia="Songti SC"/>
          <w:sz w:val="21"/>
        </w:rPr>
        <w:t>UNK</w:t>
      </w:r>
      <w:r>
        <w:rPr>
          <w:rFonts w:eastAsia="Songti SC"/>
        </w:rPr>
        <w:t>就比猜一个角色更符合要求。身份主表最终角色没有</w:t>
      </w:r>
      <w:r>
        <w:rPr>
          <w:rFonts w:ascii="Arial" w:hAnsi="Arial" w:eastAsia="Songti SC"/>
          <w:sz w:val="21"/>
        </w:rPr>
        <w:t>UNRESOLVED</w:t>
      </w:r>
      <w:r>
        <w:rPr>
          <w:rFonts w:eastAsia="Songti SC"/>
        </w:rPr>
        <w:t>选项；未解决的个案按当前允许的角色和组件状态填写，再用疑问备注说明，不自行新增值。</w:t>
      </w:r>
    </w:p>
    <w:p>
      <w:pPr>
        <w:pStyle w:val="Heading1"/>
      </w:pPr>
      <w:r>
        <w:rPr>
          <w:rFonts w:eastAsia="Songti SC"/>
        </w:rPr>
        <w:t>6  拿不准时 用一句话留下问题</w:t>
      </w:r>
    </w:p>
    <w:p>
      <w:r>
        <w:rPr>
          <w:rFonts w:eastAsia="Songti SC"/>
        </w:rPr>
        <w:t>先区分两种情况：有一个相对有依据的答案，就先填该答案并标</w:t>
      </w:r>
      <w:r>
        <w:rPr>
          <w:rFonts w:ascii="Arial" w:hAnsi="Arial" w:eastAsia="Songti SC"/>
          <w:sz w:val="21"/>
        </w:rPr>
        <w:t>?</w:t>
      </w:r>
      <w:r>
        <w:rPr>
          <w:rFonts w:eastAsia="Songti SC"/>
        </w:rPr>
        <w:t>；材料缺失或规则不能解决，则使用该字段允许的未知或未决状态，并记录需要复核的原因。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2778"/>
        <w:gridCol w:w="4700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你遇到的问题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文本表中的原因选项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一句说明示例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两个标签边界不清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BOUNDARY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“这里的‘可以去’是在介绍选择，还是提出建议？”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需要借前后文才能理解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CONTEXT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“本句只说‘很方便’，交通对象在上一句。”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材料之间有矛盾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CONFLICT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“两条资料对账号的运营主体描述不同。”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应有资料缺失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EVIDENCE_MISSING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“只有一篇历史帖，无法判断重复消费经历。”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其他问题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Arial" w:hAnsi="Arial" w:eastAsia="Songti SC"/>
                <w:sz w:val="21"/>
              </w:rPr>
              <w:t>OTHER</w:t>
            </w:r>
          </w:p>
        </w:tc>
        <w:tc>
          <w:tcPr>
            <w:tcW w:type="dxa" w:w="47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直接写清具体困难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文本表：在对应字段标</w:t>
      </w:r>
      <w:r>
        <w:rPr>
          <w:rFonts w:ascii="Arial" w:hAnsi="Arial" w:eastAsia="Songti SC"/>
          <w:sz w:val="21"/>
        </w:rPr>
        <w:t>?</w:t>
      </w:r>
      <w:r>
        <w:rPr>
          <w:rFonts w:eastAsia="Songti SC"/>
        </w:rPr>
        <w:t>，选择原因，写一句说明；有合理备选答案时再填备选值，没有就留空。</w:t>
      </w:r>
    </w:p>
    <w:p>
      <w:r>
        <w:rPr>
          <w:rFonts w:eastAsia="Songti SC"/>
        </w:rPr>
        <w:t>身份表：在对应判断旁标</w:t>
      </w:r>
      <w:r>
        <w:rPr>
          <w:rFonts w:ascii="Arial" w:hAnsi="Arial" w:eastAsia="Songti SC"/>
          <w:sz w:val="21"/>
        </w:rPr>
        <w:t>?</w:t>
      </w:r>
      <w:r>
        <w:rPr>
          <w:rFonts w:eastAsia="Songti SC"/>
        </w:rPr>
        <w:t>，在本行“疑问说明”中写出</w:t>
      </w:r>
      <w:r>
        <w:rPr>
          <w:rFonts w:eastAsia="Songti SC"/>
          <w:b/>
        </w:rPr>
        <w:t>字段名或中文问题＋困难</w:t>
      </w:r>
      <w:r>
        <w:rPr>
          <w:rFonts w:eastAsia="Songti SC"/>
        </w:rPr>
        <w:t>。若几项都有疑问，分别用短句说明，不只写“资料不足”。身份表没有文本表的独立原因列时，不用自己加列。</w:t>
      </w:r>
    </w:p>
    <w:p>
      <w:r>
        <w:rPr>
          <w:rFonts w:eastAsia="Songti SC"/>
        </w:rPr>
        <w:t>正常判断不用标问号。客观导入字段和结构性</w:t>
      </w:r>
      <w:r>
        <w:rPr>
          <w:rFonts w:ascii="Arial" w:hAnsi="Arial" w:eastAsia="Songti SC"/>
          <w:sz w:val="21"/>
        </w:rPr>
        <w:t>NA</w:t>
      </w:r>
      <w:r>
        <w:rPr>
          <w:rFonts w:eastAsia="Songti SC"/>
        </w:rPr>
        <w:t>不标问号；若怀疑这些材料或前置条件有错误，单独报告负责人。问号不能代替标签值。</w:t>
      </w:r>
    </w:p>
    <w:p>
      <w:pPr>
        <w:pStyle w:val="Heading1"/>
      </w:pPr>
      <w:r>
        <w:rPr>
          <w:rFonts w:eastAsia="Songti SC"/>
        </w:rPr>
        <w:t>7  交表与讨论</w:t>
      </w:r>
    </w:p>
    <w:p>
      <w:pPr>
        <w:pStyle w:val="Heading2"/>
      </w:pPr>
      <w:r>
        <w:rPr>
          <w:rFonts w:eastAsia="Songti SC"/>
        </w:rPr>
        <w:t>交表前 自己检查一次</w:t>
      </w:r>
    </w:p>
    <w:p>
      <w:pPr>
        <w:pStyle w:val="ListBullet"/>
      </w:pPr>
      <w:r>
        <w:rPr>
          <w:rFonts w:eastAsia="Songti SC"/>
        </w:rPr>
        <w:t>本批分配的所有帖子、片段或作者都已经处理；需要填写的标签没有遗漏。</w:t>
      </w:r>
    </w:p>
    <w:p>
      <w:pPr>
        <w:pStyle w:val="ListBullet"/>
      </w:pPr>
      <w:r>
        <w:rPr>
          <w:rFonts w:eastAsia="Songti SC"/>
        </w:rPr>
        <w:t>父类和子类分别填写，条件不适用时按规则填写NA。</w:t>
      </w:r>
    </w:p>
    <w:p>
      <w:pPr>
        <w:pStyle w:val="ListBullet"/>
      </w:pPr>
      <w:r>
        <w:rPr>
          <w:rFonts w:eastAsia="Songti SC"/>
        </w:rPr>
        <w:t>每个问号都有简短说明；文本问号有原因，文本UNRESOLVED有问号。</w:t>
      </w:r>
    </w:p>
    <w:p>
      <w:pPr>
        <w:pStyle w:val="ListBullet"/>
      </w:pPr>
      <w:r>
        <w:rPr>
          <w:rFonts w:eastAsia="Songti SC"/>
        </w:rPr>
        <w:t>已按规则记录原文证据或作者证据编号。</w:t>
      </w:r>
    </w:p>
    <w:p>
      <w:pPr>
        <w:pStyle w:val="ListBullet"/>
      </w:pPr>
      <w:r>
        <w:rPr>
          <w:rFonts w:eastAsia="Songti SC"/>
        </w:rPr>
        <w:t>原文、编号、版本和材料没有被改动，没有看另一人的答案。</w:t>
      </w:r>
    </w:p>
    <w:p>
      <w:r>
        <w:rPr>
          <w:rFonts w:eastAsia="Songti SC"/>
        </w:rPr>
        <w:t>将自己的文件保存为一个新的提交副本，按负责人指定的位置交回。命名示例：</w:t>
      </w:r>
      <w:r>
        <w:rPr>
          <w:rFonts w:ascii="Arial" w:hAnsi="Arial" w:eastAsia="Songti SC"/>
          <w:sz w:val="21"/>
        </w:rPr>
        <w:t>文本_第1批_编码员A_20260906_首次提交.xlsx</w:t>
      </w:r>
      <w:r>
        <w:rPr>
          <w:rFonts w:eastAsia="Songti SC"/>
        </w:rPr>
        <w:t>。该名称仅是个人交表副本示例，不要求重命名项目固定模板。</w:t>
      </w:r>
    </w:p>
    <w:p>
      <w:pPr>
        <w:keepNext/>
      </w:pPr>
      <w:r>
        <w:rPr>
          <w:rFonts w:eastAsia="Songti SC"/>
        </w:rPr>
        <w:t>同时发给负责人一条简短记录：</w:t>
      </w:r>
    </w:p>
    <w:p>
      <w:r>
        <w:rPr>
          <w:rFonts w:eastAsia="Songti SC"/>
        </w:rPr>
        <w:t>编码员A；文本第1批；完成__篇／__片段；阅读及填写__分钟，查规则__分钟；未完成或打不开的任务编号：__。</w:t>
      </w:r>
    </w:p>
    <w:p>
      <w:r>
        <w:rPr>
          <w:rFonts w:eastAsia="Songti SC"/>
        </w:rPr>
        <w:t>身份任务把篇数、片段数换成作者数。记录实际工作时间即可，不把中途休息算进去，也不需要为每个字段计时。</w:t>
      </w:r>
    </w:p>
    <w:p>
      <w:pPr>
        <w:pStyle w:val="Heading2"/>
      </w:pPr>
      <w:r>
        <w:rPr>
          <w:rFonts w:eastAsia="Songti SC"/>
        </w:rPr>
        <w:t>两人交表后再讨论</w:t>
      </w:r>
    </w:p>
    <w:p>
      <w:r>
        <w:rPr>
          <w:rFonts w:eastAsia="Songti SC"/>
        </w:rPr>
        <w:t>负责人先把两份原始文件保存成不再覆盖的版本，这就是“锁定”。之后才能查看彼此答案。</w:t>
      </w:r>
    </w:p>
    <w:p>
      <w:r>
        <w:rPr>
          <w:rFonts w:eastAsia="Songti SC"/>
        </w:rPr>
        <w:t>讨论按“哪一处原文或哪条证据 → 两人各自怎样理解规则 → 规则能否解决”的顺序进行。先看实际分歧，再看双方疑问；没有问号的字段也可能存在分歧。</w:t>
      </w:r>
    </w:p>
    <w:p>
      <w:r>
        <w:rPr>
          <w:rFonts w:eastAsia="Songti SC"/>
        </w:rPr>
        <w:t>不要直接把原始答案改成一致。讨论结果由负责人另行记录。涉及最终角色、反复出现的概念边界或规则修改的分歧，按现行规范交第三人裁决；暂时没有裁决结果时保留未决，不强行达成一致。</w:t>
      </w:r>
    </w:p>
    <w:p>
      <w:r>
        <w:rPr>
          <w:rFonts w:eastAsia="Songti SC"/>
        </w:rPr>
        <w:t>这轮共同试做不计算正式信度。规则确定后，负责人会另发没有讨论过的新材料，两人独立完成，那一轮才检验不同编码员能否稳定使用规则。</w:t>
      </w:r>
    </w:p>
    <w:p>
      <w:pPr>
        <w:pStyle w:val="Heading1"/>
        <w:pageBreakBefore/>
      </w:pPr>
      <w:r>
        <w:rPr>
          <w:rFonts w:eastAsia="Songti SC"/>
        </w:rPr>
        <w:t>8  负责人执行页 怎样把第一轮安排起来</w:t>
      </w:r>
    </w:p>
    <w:p>
      <w:r>
        <w:rPr>
          <w:rFonts w:eastAsia="Songti SC"/>
        </w:rPr>
        <w:t>本节由负责人使用，编码员不用承担抽样、文件哈希、统计和版本管理工作。</w:t>
      </w:r>
    </w:p>
    <w:p>
      <w:pPr>
        <w:pStyle w:val="Heading2"/>
      </w:pPr>
      <w:r>
        <w:rPr>
          <w:rFonts w:eastAsia="Songti SC"/>
        </w:rPr>
        <w:t>发材料前完成四件事</w:t>
      </w:r>
    </w:p>
    <w:p>
      <w:pPr>
        <w:ind w:left="283" w:hanging="283"/>
      </w:pPr>
      <w:r>
        <w:rPr>
          <w:rFonts w:eastAsia="Songti SC"/>
        </w:rPr>
        <w:t xml:space="preserve">1. </w:t>
      </w:r>
      <w:r>
        <w:rPr>
          <w:rFonts w:eastAsia="Songti SC"/>
          <w:b/>
        </w:rPr>
        <w:t>确认两份表可实际填写。</w:t>
      </w:r>
      <w:r>
        <w:rPr>
          <w:rFonts w:eastAsia="Songti SC"/>
        </w:rPr>
        <w:t xml:space="preserve"> 用v3.16.0契约准备A、B各自的材料和空白答案；明确版本、批次、任务范围及提交位置。不要把历史v3.13.0双任务包整体改名后直接发出，也不要把本方案当作已经生成任务包的证明。</w:t>
      </w:r>
    </w:p>
    <w:p>
      <w:pPr>
        <w:ind w:left="283" w:hanging="283"/>
      </w:pPr>
      <w:r>
        <w:rPr>
          <w:rFonts w:eastAsia="Songti SC"/>
        </w:rPr>
        <w:t xml:space="preserve">2. </w:t>
      </w:r>
      <w:r>
        <w:rPr>
          <w:rFonts w:eastAsia="Songti SC"/>
          <w:b/>
        </w:rPr>
        <w:t>文本先核对片段。</w:t>
      </w:r>
      <w:r>
        <w:rPr>
          <w:rFonts w:eastAsia="Songti SC"/>
        </w:rPr>
        <w:t xml:space="preserve"> 检查首批长句中的属性、方向切换，确认两人获得同一组固定片段。需要修订切分时先完成统一处理并保留原快照，再发受影响批次。</w:t>
      </w:r>
    </w:p>
    <w:p>
      <w:pPr>
        <w:ind w:left="283" w:hanging="283"/>
      </w:pPr>
      <w:r>
        <w:rPr>
          <w:rFonts w:eastAsia="Songti SC"/>
        </w:rPr>
        <w:t xml:space="preserve">3. </w:t>
      </w:r>
      <w:r>
        <w:rPr>
          <w:rFonts w:eastAsia="Songti SC"/>
          <w:b/>
        </w:rPr>
        <w:t>身份先核对样本与证据。</w:t>
      </w:r>
      <w:r>
        <w:rPr>
          <w:rFonts w:eastAsia="Songti SC"/>
        </w:rPr>
        <w:t xml:space="preserve"> 只从小红书、知乎中通过最低材料可用门的作者抽取；该门检查稳定作者键和可审计主页或等价身份材料，不要求预先达到3日期／30天或证据充分。按最高标准准备25名：15名历史丰富、5名边界、5名从其余可用作者随机抽取；不要按期望角色筛样。文本、身份作者不得重叠。每名最多展示5篇，按既定规则选取，并核对作者证据窗口及其与目标内容的时间关系。</w:t>
      </w:r>
    </w:p>
    <w:p>
      <w:pPr>
        <w:ind w:left="283" w:hanging="283"/>
      </w:pPr>
      <w:r>
        <w:rPr>
          <w:rFonts w:eastAsia="Songti SC"/>
        </w:rPr>
        <w:t xml:space="preserve">4. </w:t>
      </w:r>
      <w:r>
        <w:rPr>
          <w:rFonts w:eastAsia="Songti SC"/>
          <w:b/>
        </w:rPr>
        <w:t>确认问题和裁决由谁处理。</w:t>
      </w:r>
      <w:r>
        <w:rPr>
          <w:rFonts w:eastAsia="Songti SC"/>
        </w:rPr>
        <w:t xml:space="preserve"> 明确负责人，以及现行规范要求的第三人裁决安排；若尚未落实，可以先小批发现问题，但不能把未裁决内容宣布为正式金标。材料读取问题由负责人处理，不让编码员自行补搜。图片任务本次不发。</w:t>
      </w:r>
    </w:p>
    <w:p>
      <w:r>
        <w:rPr>
          <w:rFonts w:eastAsia="Songti SC"/>
        </w:rPr>
        <w:t>最低材料可用门只是决定能否进入身份试点；EA／CE阴性判断与最终角色所需的证据条件更高，两者不能混用。</w:t>
      </w:r>
    </w:p>
    <w:p>
      <w:pPr>
        <w:pStyle w:val="Heading2"/>
      </w:pPr>
      <w:r>
        <w:rPr>
          <w:rFonts w:eastAsia="Songti SC"/>
        </w:rPr>
        <w:t>推荐分批顺序</w:t>
      </w:r>
    </w:p>
    <w:p>
      <w:r>
        <w:rPr>
          <w:rFonts w:eastAsia="Songti SC"/>
        </w:rPr>
        <w:t>以下是上手安排，按真实耗时调整；不是每人每天必须完成的定额。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535"/>
        <w:gridCol w:w="3849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阶段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建议安排</w:t>
            </w:r>
          </w:p>
        </w:tc>
        <w:tc>
          <w:tcPr>
            <w:tcW w:type="dxa" w:w="38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本阶段交付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入门讲解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约20—30分钟，使用本方案虚构例句演示查标签、填值、摘证据、标疑问</w:t>
            </w:r>
          </w:p>
        </w:tc>
        <w:tc>
          <w:tcPr>
            <w:tcW w:type="dxa" w:w="38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两人能各自找到并填写相应位置；不展示待独立判断样本的参考答案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文本首批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从计划内材料选3—5篇，尽量合计约30—50个片段；达不到篇数与片段数同时满足时，以实际可完成的片段量控制首批</w:t>
            </w:r>
          </w:p>
        </w:tc>
        <w:tc>
          <w:tcPr>
            <w:tcW w:type="dxa" w:w="38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两份独立答案、个人用时、主要困难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首批讨论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两份文件锁定后安排约30—45分钟，优先处理信息／建议边界、评价亚类和切分问题</w:t>
            </w:r>
          </w:p>
        </w:tc>
        <w:tc>
          <w:tcPr>
            <w:tcW w:type="dxa" w:w="38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一份问题记录和下一批生效说明；没解决的问题继续保留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身份首批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从复核后的25名计划内取约5名，尽量涵盖材料较丰富和边界情况；不按预期角色挑选</w:t>
            </w:r>
          </w:p>
        </w:tc>
        <w:tc>
          <w:tcPr>
            <w:tcW w:type="dxa" w:w="38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两份作者判断、证据引用及材料缺口记录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分批继续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根据前两批真实耗时安排余量，完成25篇文本、25名作者共同校准；文本主线优先，两轨不要求每天同时推进</w:t>
            </w:r>
          </w:p>
        </w:tc>
        <w:tc>
          <w:tcPr>
            <w:tcW w:type="dxa" w:w="38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全部原始记录、疑问与分歧、规则修订记录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首批就是总校准任务的一部分，不另加一套样本配额。文本工作量按片段看，不能只按帖子篇数估计。若一天无法完成，记录实际进度并接着做，不通过省略字段赶量。</w:t>
      </w:r>
    </w:p>
    <w:p>
      <w:r>
        <w:rPr>
          <w:rFonts w:eastAsia="Songti SC"/>
        </w:rPr>
        <w:t>负责人讨论时可沿用现有问题清单，仅记录：任务／片段编号、字段、双方理由、问题属于规则还是材料、处理结果、哪些任务需要重做。保留每批规则快照、原始文件和哈希；不要给编码员增加一份重复填写的行政表。</w:t>
      </w:r>
    </w:p>
    <w:p>
      <w:pPr>
        <w:pStyle w:val="Heading2"/>
      </w:pPr>
      <w:r>
        <w:rPr>
          <w:rFonts w:eastAsia="Songti SC"/>
        </w:rPr>
        <w:t>什么时候进入下一阶段</w:t>
      </w:r>
    </w:p>
    <w:p>
      <w:r>
        <w:rPr>
          <w:rFonts w:eastAsia="Songti SC"/>
        </w:rPr>
        <w:t>共同校准要产出可执行的判断规则和明确的材料处理办法。V0还须按既有安排完成聚焦文献矩阵并冻结角色规则。随后另取80篇新文本、50名新作者独立盲试标，按编码表分别检查字段信度、类别支持与系统分歧；共同讨论过的答案不能冒充独立信度。</w:t>
      </w:r>
    </w:p>
    <w:p>
      <w:r>
        <w:rPr>
          <w:rFonts w:eastAsia="Songti SC"/>
        </w:rPr>
        <w:t>上述安排不承诺金标已足够启动模型训练。先用真实人工速度判断产能，再安排正式标注；不得把代码测试通过、模板能打开或AI试填结果当作人工试编码通过。</w:t>
      </w:r>
    </w:p>
    <w:p>
      <w:pPr>
        <w:pStyle w:val="Heading1"/>
        <w:keepNext/>
      </w:pPr>
      <w:r>
        <w:rPr>
          <w:rFonts w:eastAsia="Songti SC"/>
        </w:rPr>
        <w:t>9  查阅依据</w:t>
      </w:r>
    </w:p>
    <w:p>
      <w:pPr>
        <w:pStyle w:val="ListBullet"/>
        <w:keepNext/>
      </w:pPr>
      <w:r>
        <w:rPr>
          <w:rFonts w:eastAsia="Songti SC"/>
        </w:rPr>
        <w:t>人工编码员操作指南：完整填写与交表规则。</w:t>
      </w:r>
    </w:p>
    <w:p>
      <w:pPr>
        <w:pStyle w:val="ListBullet"/>
        <w:keepNext/>
      </w:pPr>
      <w:r>
        <w:rPr>
          <w:rFonts w:eastAsia="Songti SC"/>
        </w:rPr>
        <w:t>编码簿：具体标签定义与边界。</w:t>
      </w:r>
    </w:p>
    <w:p>
      <w:pPr>
        <w:pStyle w:val="ListBullet"/>
        <w:keepNext/>
      </w:pPr>
      <w:r>
        <w:rPr>
          <w:rFonts w:eastAsia="Songti SC"/>
        </w:rPr>
        <w:t>编码表：唯一最高标准，尤其是V0.4—V0.6、V5—V6及第5.4节。</w:t>
      </w:r>
    </w:p>
    <w:p>
      <w:pPr>
        <w:pStyle w:val="ListBullet"/>
        <w:keepNext/>
      </w:pPr>
      <w:r>
        <w:rPr>
          <w:rFonts w:eastAsia="Songti SC"/>
        </w:rPr>
        <w:t>三轨整合校准计划：总体校准安排；其中沿用旧身份任务包等表述与最高标准冲突时，以编码表为准。</w:t>
      </w:r>
    </w:p>
    <w:p>
      <w:r>
        <w:rPr>
          <w:rFonts w:eastAsia="Songti SC"/>
        </w:rPr>
        <w:t>本方案用普通语言解释既有规则，不新增或删除标签，也不替代编码簿。负责人发出任务前应确认本方案与实际工作表版本一致。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 w:line="288" w:lineRule="auto"/>
      <w:outlineLvl w:val="0"/>
    </w:pPr>
    <w:rPr>
      <w:rFonts w:cstheme="majorBidi" w:ascii="Arial" w:hAnsi="Arial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40" w:line="288" w:lineRule="auto"/>
      <w:outlineLvl w:val="1"/>
    </w:pPr>
    <w:rPr>
      <w:rFonts w:cstheme="majorBidi" w:ascii="Arial" w:hAnsi="Arial" w:eastAsia="Song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88" w:lineRule="auto"/>
      <w:contextualSpacing/>
    </w:pPr>
    <w:rPr>
      <w:rFonts w:cstheme="majorBidi" w:ascii="Arial" w:hAnsi="Arial" w:eastAsia="Song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8" w:lineRule="auto" w:after="120"/>
      <w:contextualSpacing/>
    </w:pPr>
    <w:rPr>
      <w:rFonts w:ascii="Arial" w:hAnsi="Arial" w:eastAsia="Songti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8" w:lineRule="auto" w:after="120"/>
      <w:contextualSpacing/>
    </w:pPr>
    <w:rPr>
      <w:rFonts w:ascii="Arial" w:hAnsi="Arial" w:eastAsia="Songti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文本与身份试编码上手方案</dc:title>
  <dc:subject>编码员操作说明与负责人分批安排</dc:subject>
  <dc:creator>旅游UGC研究项目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