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a"/>
      </w:pPr>
      <w:r>
        <w:rPr>
          <w:b w:val="0"/>
          <w:i w:val="0"/>
        </w:rPr>
        <w:t>KOL和KOC视角下旅游目的地形象的UGC内容特征与建构策略研究</w:t>
      </w:r>
    </w:p>
    <w:p>
      <w:pPr>
        <w:pStyle w:val="ac"/>
      </w:pPr>
      <w:r>
        <w:rPr>
          <w:b w:val="0"/>
          <w:i w:val="0"/>
        </w:rPr>
        <w:t>—— 基于社交平台UGC的理论导向结构化内容分析</w:t>
      </w:r>
    </w:p>
    <w:p>
      <w:pPr>
        <w:pStyle w:val="af5"/>
      </w:pPr>
      <w:r>
        <w:rPr>
          <w:b/>
          <w:i w:val="0"/>
        </w:rPr>
        <w:t>文档状态</w:t>
      </w:r>
      <w:r>
        <w:rPr>
          <w:b w:val="0"/>
          <w:i w:val="0"/>
        </w:rPr>
        <w:t>：</w:t>
      </w:r>
      <w:r>
        <w:rPr>
          <w:rFonts w:ascii="Menlo" w:hAnsi="Menlo" w:eastAsia="Menlo"/>
          <w:b w:val="0"/>
          <w:i w:val="0"/>
          <w:sz w:val="21"/>
        </w:rPr>
        <w:t>CURRENT_ALIGNED</w:t>
      </w:r>
    </w:p>
    <w:p>
      <w:pPr>
        <w:pStyle w:val="af5"/>
      </w:pPr>
      <w:r>
        <w:rPr>
          <w:b/>
          <w:i w:val="0"/>
        </w:rPr>
        <w:t>当前上位标准</w:t>
      </w:r>
      <w:r>
        <w:rPr>
          <w:b w:val="0"/>
          <w:i w:val="0"/>
        </w:rPr>
        <w:t>：</w:t>
      </w:r>
      <w:r>
        <w:rPr>
          <w:rFonts w:ascii="Menlo" w:hAnsi="Menlo" w:eastAsia="Menlo"/>
          <w:b w:val="0"/>
          <w:i w:val="0"/>
          <w:sz w:val="21"/>
        </w:rPr>
        <w:t>docs/data-dictionary/编码表.md</w:t>
      </w:r>
      <w:r>
        <w:rPr>
          <w:b w:val="0"/>
          <w:i w:val="0"/>
        </w:rPr>
        <w:t xml:space="preserve"> v3.11.0</w:t>
      </w:r>
    </w:p>
    <w:p>
      <w:pPr>
        <w:pStyle w:val="af5"/>
      </w:pPr>
      <w:r>
        <w:rPr>
          <w:b/>
          <w:i w:val="0"/>
        </w:rPr>
        <w:t>内部文档版本</w:t>
      </w:r>
      <w:r>
        <w:rPr>
          <w:b w:val="0"/>
          <w:i w:val="0"/>
        </w:rPr>
        <w:t>：</w:t>
      </w:r>
      <w:r>
        <w:rPr>
          <w:rFonts w:ascii="Menlo" w:hAnsi="Menlo" w:eastAsia="Menlo"/>
          <w:b w:val="0"/>
          <w:i w:val="0"/>
          <w:sz w:val="21"/>
        </w:rPr>
        <w:t>v3.11.0-alignment.1</w:t>
      </w:r>
    </w:p>
    <w:p>
      <w:pPr>
        <w:pStyle w:val="af5"/>
      </w:pPr>
      <w:r>
        <w:rPr>
          <w:b/>
          <w:i w:val="0"/>
        </w:rPr>
        <w:t>执行成熟度</w:t>
      </w:r>
      <w:r>
        <w:rPr>
          <w:b w:val="0"/>
          <w:i w:val="0"/>
        </w:rPr>
        <w:t>：</w:t>
      </w:r>
      <w:r>
        <w:rPr>
          <w:rFonts w:ascii="Menlo" w:hAnsi="Menlo" w:eastAsia="Menlo"/>
          <w:b w:val="0"/>
          <w:i w:val="0"/>
          <w:sz w:val="21"/>
        </w:rPr>
        <w:t>CALIBRATION_READY / NOT_FROZEN</w:t>
      </w:r>
      <w:r>
        <w:rPr>
          <w:b w:val="0"/>
          <w:i w:val="0"/>
        </w:rPr>
        <w:t>；文本轨可进入共同校准，但不代表独立盲试标、正式标注或模型分析已经完成</w:t>
      </w:r>
    </w:p>
    <w:p>
      <w:pPr>
        <w:pStyle w:val="af5"/>
      </w:pPr>
      <w:r>
        <w:rPr>
          <w:b/>
          <w:i w:val="0"/>
        </w:rPr>
        <w:t>方法定位更新</w:t>
      </w:r>
      <w:r>
        <w:rPr>
          <w:b w:val="0"/>
          <w:i w:val="0"/>
        </w:rPr>
        <w:t>：理论导向的结构化内容分析是唯一正式方法；正文已承接V3层级、V4三级人工结构与活动汇总边界、V5双向强度、独立V6、评价原子切分、V11及Excel内部模板2.5</w:t>
      </w:r>
    </w:p>
    <w:p>
      <w:pPr>
        <w:pStyle w:val="1"/>
      </w:pPr>
      <w:r>
        <w:rPr>
          <w:b w:val="0"/>
          <w:i w:val="0"/>
        </w:rPr>
        <w:t>第1章 引言</w:t>
      </w:r>
    </w:p>
    <w:p>
      <w:pPr>
        <w:pStyle w:val="21"/>
      </w:pPr>
      <w:r>
        <w:rPr>
          <w:b w:val="0"/>
          <w:i w:val="0"/>
        </w:rPr>
        <w:t>1.1 研究背景</w:t>
      </w:r>
    </w:p>
    <w:p>
      <w:pPr>
        <w:pStyle w:val="31"/>
      </w:pPr>
      <w:r>
        <w:rPr>
          <w:b w:val="0"/>
          <w:i w:val="0"/>
        </w:rPr>
        <w:t>1.1.1 社交媒体重塑旅游信息传播格局</w:t>
      </w:r>
    </w:p>
    <w:p>
      <w:pPr/>
      <w:r>
        <w:rPr>
          <w:b w:val="0"/>
          <w:i w:val="0"/>
        </w:rPr>
        <w:t>随着移动互联网和社交媒体的迅猛发展，旅游信息的生产与传播模式正经历深刻变革。根据中国互联网信息中心（CNNIC, 2024）数据，截至2023年12月，我国网民规模达10.92亿，其中短视频用户规模达10.53亿，用户使用率高达96.4%。2025年数据显示，TikTok全球月活用户约20亿，加上中国版抖音，字节跳动的短视频生态系统覆盖约27亿用户（Cachulo Pereira &amp; Bacalhau, 2026）。社交媒体已不仅是游客获取旅游信息的渠道，更成为目的地形象在线呈现与传播的核心场域。</w:t>
      </w:r>
    </w:p>
    <w:p>
      <w:pPr/>
      <w:r>
        <w:rPr>
          <w:b w:val="0"/>
          <w:i w:val="0"/>
        </w:rPr>
        <w:t>在此背景下，用户生成内容（User Generated Content, UGC）呈现爆发式增长，深刻影响着潜在游客的目的地选择和形象感知。UGC作为游客直接产出的内容，其即时性和直观性具有良好的研究价值。与传统的官方宣传材料不同，UGC反映了游客真实、即时的目的地体验，是研究目的地形象建构的重要数据来源（Marine-Roig, 2017; Zhang &amp; Liu, 2022）。</w:t>
      </w:r>
    </w:p>
    <w:p>
      <w:pPr>
        <w:pStyle w:val="31"/>
      </w:pPr>
      <w:r>
        <w:rPr>
          <w:b w:val="0"/>
          <w:i w:val="0"/>
        </w:rPr>
        <w:t>1.1.2 KOL/KOC在旅游目的地形象传播中的角色</w:t>
      </w:r>
    </w:p>
    <w:p>
      <w:pPr/>
      <w:r>
        <w:rPr>
          <w:b w:val="0"/>
          <w:i w:val="0"/>
        </w:rPr>
        <w:t>在社交媒体生态中，两类内容创作者在目的地形象传播中扮演着关键角色：关键意见领袖（Key Opinion Leader, KOL）和关键意见消费者（Key Opinion Consumer, KOC）。KOL是指在特定领域拥有专业知识、大量粉丝和显著影响力的内容创作者（Brown &amp; Hayes, 2008），而KOC则是指粉丝量级较小但更贴近普通消费者、更具真实性和可信度的"素人"博主（Chen et al., 2021）。</w:t>
      </w:r>
    </w:p>
    <w:p>
      <w:pPr/>
      <w:r>
        <w:rPr>
          <w:b w:val="0"/>
          <w:i w:val="0"/>
        </w:rPr>
        <w:t>Akram和Majeed（2026）的系统综述指出，KOL营销在旅游业中的核心机制包括来源可信度、情感连接、准社会互动和内容质量四个维度。Citra等人（2025）对印尼旅游网红的研究发现，网红在目的地推广中扮演"视觉叙事者""文化中介""信任代理人"和"社区建构者"四重角色。然而，这些研究主要关注KOL内容对受众的</w:t>
      </w:r>
      <w:r>
        <w:rPr>
          <w:b/>
          <w:i w:val="0"/>
        </w:rPr>
        <w:t>影响效果</w:t>
      </w:r>
      <w:r>
        <w:rPr>
          <w:b w:val="0"/>
          <w:i w:val="0"/>
        </w:rPr>
        <w:t>（接收端），而非KOL如何通过内容策略</w:t>
      </w:r>
      <w:r>
        <w:rPr>
          <w:b/>
          <w:i w:val="0"/>
        </w:rPr>
        <w:t>呈现</w:t>
      </w:r>
      <w:r>
        <w:rPr>
          <w:b w:val="0"/>
          <w:i w:val="0"/>
        </w:rPr>
        <w:t>目的地形象（生产端）。</w:t>
      </w:r>
    </w:p>
    <w:p>
      <w:pPr/>
      <w:r>
        <w:rPr>
          <w:b w:val="0"/>
          <w:i w:val="0"/>
        </w:rPr>
        <w:t>Cachulo Pereira和Bacalhau（2026）在其系统综述中明确指出了当前研究的三个盲区：（1）没有人将目的地形象作为结果变量进行研究；（2）没有人测量真实的旅游行为；（3）负面加工机制（如怀疑主义、认知过载）未被研究。本研究直接回应第一个盲区，从生产端视角探究KOL和KOC如何通过UGC内容呈现目的地形象。</w:t>
      </w:r>
    </w:p>
    <w:p>
      <w:pPr>
        <w:pStyle w:val="31"/>
      </w:pPr>
      <w:r>
        <w:rPr>
          <w:b w:val="0"/>
          <w:i w:val="0"/>
        </w:rPr>
        <w:t>1.1.3 青岛市旅游发展的现实需求</w:t>
      </w:r>
    </w:p>
    <w:p>
      <w:pPr/>
      <w:r>
        <w:rPr>
          <w:b w:val="0"/>
          <w:i w:val="0"/>
        </w:rPr>
        <w:t>青岛市作为山东半岛核心滨海旅游城市，拥有世界水准的自然与人文旅游资源。自然景观方面，崂山是中国海岸线第一高峰、国家5A级景区，山海相连的壮丽景色和悠久的道教文化积淀使其成为国内外游客的重要目的地；青岛海滨以红瓦绿树、碧海蓝天的城市风貌著称，栈桥、八大关、五四广场等标志性景点承载着城市的历史记忆与现代活力。文化资源方面，青岛啤酒及其百年工业遗产、八大关近代建筑群、德国总督楼旧址等构成了独特的近代建筑遗产体系。美食文化方面，海鲜、青岛啤酒和地方小吃形成了鲜明的城市饮食符号。丰富的旅游资源类型和活跃的社交媒体内容生产，为研究目的地形象的多维呈现提供了理想的案例地。</w:t>
      </w:r>
    </w:p>
    <w:p>
      <w:pPr>
        <w:pStyle w:val="21"/>
      </w:pPr>
      <w:r>
        <w:rPr>
          <w:b w:val="0"/>
          <w:i w:val="0"/>
        </w:rPr>
        <w:t>1.2 研究问题</w:t>
      </w:r>
    </w:p>
    <w:p>
      <w:pPr/>
      <w:r>
        <w:rPr>
          <w:b w:val="0"/>
          <w:i w:val="0"/>
        </w:rPr>
        <w:t>尽管学术界和业界都认识到KOL/KOC在旅游营销中的重要性，但现有研究仍存在以下不足：</w:t>
      </w:r>
    </w:p>
    <w:p>
      <w:pPr/>
      <w:r>
        <w:rPr>
          <w:b/>
          <w:i w:val="0"/>
        </w:rPr>
        <w:t>第一，研究视角偏向接收端。</w:t>
      </w:r>
      <w:r>
        <w:rPr>
          <w:b w:val="0"/>
          <w:i w:val="0"/>
        </w:rPr>
        <w:t xml:space="preserve"> 现有研究多从受众视角出发，采用问卷调查或实验法测量KOL内容对游客感知、态度和行为意向的影响（如Babu et al., 2025; Chu, 2018），较少从生产端视角分析KOL/KOC如何通过内容策略呈现目的地形象。正如Cachulo Pereira和Bacalhau（2026）所指出的，目的地形象作为结果变量在现有短视频影响研究中几乎未被涉及。</w:t>
      </w:r>
    </w:p>
    <w:p>
      <w:pPr/>
      <w:r>
        <w:rPr>
          <w:b/>
          <w:i w:val="0"/>
        </w:rPr>
        <w:t>第二，内容分析深度不足。</w:t>
      </w:r>
      <w:r>
        <w:rPr>
          <w:b w:val="0"/>
          <w:i w:val="0"/>
        </w:rPr>
        <w:t xml:space="preserve"> 已有研究虽涉及UGC内容分析，但多停留在人工编码或简单的词频统计层面（如Zhang &amp; Liu, 2022），缺乏对内容策略、资源调用和态度表达之间关联模式的系统分析。少数涉及内容分析的研究（如Citra et al., 2025）仅做了定性描述，未建立系统的编码框架。</w:t>
      </w:r>
    </w:p>
    <w:p>
      <w:pPr/>
      <w:r>
        <w:rPr>
          <w:b/>
          <w:i w:val="0"/>
        </w:rPr>
        <w:t>第三，文本主线与视觉证据之间缺少可验证的协同设计。</w:t>
      </w:r>
      <w:r>
        <w:rPr>
          <w:b w:val="0"/>
          <w:i w:val="0"/>
        </w:rPr>
        <w:t xml:space="preserve"> 旅游UGC常以图文或视频文案共同呈现目的地，但在两人团队的资源约束下，同时把文本与视觉设为同等规模的主任务会削弱人工信度证据。本研究因此先以文本回答核心研究问题，再把视觉作为辅助轨；视觉轨只有在研究人口、标签边界和人工质量门明确后才启动，不阻塞文本主研究。</w:t>
      </w:r>
    </w:p>
    <w:p>
      <w:pPr/>
      <w:r>
        <w:rPr>
          <w:b/>
          <w:i w:val="0"/>
        </w:rPr>
        <w:t>第四，KOL与KOC的呈现策略差异缺乏系统比较。</w:t>
      </w:r>
      <w:r>
        <w:rPr>
          <w:b w:val="0"/>
          <w:i w:val="0"/>
        </w:rPr>
        <w:t xml:space="preserve"> Xuan等人（2025）指出，兼具旅行者和网红双重身份的内容创作者在目的地形象呈现中面临身份认同张力。但现有研究较少系统区分不同创作者层级在内容策略、资源调用和态度表达上的差异化呈现策略。</w:t>
      </w:r>
    </w:p>
    <w:p>
      <w:pPr/>
      <w:r>
        <w:rPr>
          <w:b/>
          <w:i w:val="0"/>
        </w:rPr>
        <w:t>第五，缺少大规模数据的系统编码方法。</w:t>
      </w:r>
      <w:r>
        <w:rPr>
          <w:b w:val="0"/>
          <w:i w:val="0"/>
        </w:rPr>
        <w:t xml:space="preserve"> 传统内容分析依赖人工编码，面对万级数据量时面临标注成本和信度验证的双重挑战。随着深度学习技术的发展，主动学习（Active Learning）和数据增强（Data Augmentation）为大规模内容分析提供了新的方法论可能（Settles, 2012; Wei &amp; Zou, 2019），但在旅游研究中的应用仍极为有限。</w:t>
      </w:r>
    </w:p>
    <w:p>
      <w:pPr/>
      <w:r>
        <w:rPr>
          <w:b w:val="0"/>
          <w:i w:val="0"/>
        </w:rPr>
        <w:t>基于上述研究空白，本研究提出以下核心问题：</w:t>
      </w:r>
    </w:p>
    <w:p>
      <w:pPr>
        <w:pStyle w:val="af5"/>
      </w:pPr>
      <w:r>
        <w:rPr>
          <w:b/>
          <w:i w:val="0"/>
        </w:rPr>
        <w:t>RQ1：</w:t>
      </w:r>
      <w:r>
        <w:rPr>
          <w:b w:val="0"/>
          <w:i w:val="0"/>
        </w:rPr>
        <w:t xml:space="preserve"> KOL和KOC的成品UGC呈现了哪些可观察的内容策略与目的地资源类型？二者各自的分布轮廓如何？</w:t>
      </w:r>
    </w:p>
    <w:p>
      <w:pPr>
        <w:pStyle w:val="af5"/>
      </w:pPr>
      <w:r>
        <w:rPr>
          <w:b/>
          <w:i w:val="0"/>
        </w:rPr>
        <w:t>RQ2：</w:t>
      </w:r>
      <w:r>
        <w:rPr>
          <w:b w:val="0"/>
          <w:i w:val="0"/>
        </w:rPr>
        <w:t xml:space="preserve"> 不同创作者层级（KOL vs KOC）在资源调用轮廓、内容策略轮廓和互动信号轮廓上是否存在差异？</w:t>
      </w:r>
    </w:p>
    <w:p>
      <w:pPr>
        <w:pStyle w:val="af5"/>
      </w:pPr>
      <w:r>
        <w:rPr>
          <w:b/>
          <w:i w:val="0"/>
        </w:rPr>
        <w:t>RQ3（DEFERRED）：</w:t>
      </w:r>
      <w:r>
        <w:rPr>
          <w:b w:val="0"/>
          <w:i w:val="0"/>
        </w:rPr>
        <w:t xml:space="preserve"> 在视觉轨通过独立质量门后，文本与视觉如何协同呈现目的地形象？</w:t>
      </w:r>
    </w:p>
    <w:p>
      <w:pPr/>
      <w:r>
        <w:rPr>
          <w:b w:val="0"/>
          <w:i w:val="0"/>
        </w:rPr>
        <w:t>基于上述研究问题和文献综述，本研究提出以下假设：</w:t>
      </w:r>
    </w:p>
    <w:p>
      <w:pPr>
        <w:pStyle w:val="af5"/>
      </w:pPr>
      <w:r>
        <w:rPr>
          <w:b/>
          <w:i w:val="0"/>
        </w:rPr>
        <w:t>H1：</w:t>
      </w:r>
      <w:r>
        <w:rPr>
          <w:b w:val="0"/>
          <w:i w:val="0"/>
        </w:rPr>
        <w:t xml:space="preserve"> 不同创作者层级在资源调用轮廓（IMP）上存在显著差异。</w:t>
      </w:r>
    </w:p>
    <w:p>
      <w:pPr>
        <w:pStyle w:val="af5"/>
      </w:pPr>
      <w:r>
        <w:rPr>
          <w:b/>
          <w:i w:val="0"/>
        </w:rPr>
        <w:t>H2：</w:t>
      </w:r>
      <w:r>
        <w:rPr>
          <w:b w:val="0"/>
          <w:i w:val="0"/>
        </w:rPr>
        <w:t xml:space="preserve"> 不同创作者层级在内容策略轮廓上存在显著差异。</w:t>
      </w:r>
    </w:p>
    <w:p>
      <w:pPr>
        <w:pStyle w:val="af5"/>
      </w:pPr>
      <w:r>
        <w:rPr>
          <w:b/>
          <w:i w:val="0"/>
        </w:rPr>
        <w:t>H3（DEFERRED）：</w:t>
      </w:r>
      <w:r>
        <w:rPr>
          <w:b w:val="0"/>
          <w:i w:val="0"/>
        </w:rPr>
        <w:t xml:space="preserve"> 不同创作者层级在策略→资源关联矩阵（SRM）上存在结构性差异。</w:t>
      </w:r>
    </w:p>
    <w:p>
      <w:pPr>
        <w:pStyle w:val="af5"/>
      </w:pPr>
      <w:r>
        <w:rPr>
          <w:b/>
          <w:i w:val="0"/>
        </w:rPr>
        <w:t>H4（DEFERRED）：</w:t>
      </w:r>
      <w:r>
        <w:rPr>
          <w:b w:val="0"/>
          <w:i w:val="0"/>
        </w:rPr>
        <w:t xml:space="preserve"> 不同创作者层级在资源→语言功能共现矩阵（SAM）上存在结构性差异。</w:t>
      </w:r>
    </w:p>
    <w:p>
      <w:pPr>
        <w:pStyle w:val="af5"/>
      </w:pPr>
      <w:r>
        <w:rPr>
          <w:b/>
          <w:i w:val="0"/>
        </w:rPr>
        <w:t>H5：</w:t>
      </w:r>
      <w:r>
        <w:rPr>
          <w:b w:val="0"/>
          <w:i w:val="0"/>
        </w:rPr>
        <w:t xml:space="preserve"> 不同创作者层级在互动信号轮廓（ISP）上存在显著差异。</w:t>
      </w:r>
    </w:p>
    <w:p>
      <w:pPr>
        <w:pStyle w:val="af5"/>
      </w:pPr>
      <w:r>
        <w:rPr>
          <w:b/>
          <w:i w:val="0"/>
        </w:rPr>
        <w:t>H6（DEFERRED）：</w:t>
      </w:r>
      <w:r>
        <w:rPr>
          <w:b w:val="0"/>
          <w:i w:val="0"/>
        </w:rPr>
        <w:t xml:space="preserve"> 文字资源与视觉资源的匹配程度在不同层级间存在差异。</w:t>
      </w:r>
    </w:p>
    <w:p>
      <w:pPr>
        <w:pStyle w:val="af5"/>
      </w:pPr>
      <w:r>
        <w:rPr>
          <w:b/>
          <w:i w:val="0"/>
        </w:rPr>
        <w:t>H7（DEFERRED）：</w:t>
      </w:r>
      <w:r>
        <w:rPr>
          <w:b w:val="0"/>
          <w:i w:val="0"/>
        </w:rPr>
        <w:t xml:space="preserve"> 明确商业披露状态（V1）调节策略→资源关联关系。</w:t>
      </w:r>
    </w:p>
    <w:p>
      <w:pPr>
        <w:pStyle w:val="af5"/>
      </w:pPr>
      <w:r>
        <w:rPr>
          <w:b/>
          <w:i w:val="0"/>
        </w:rPr>
        <w:t>H8（DEFERRED）：</w:t>
      </w:r>
      <w:r>
        <w:rPr>
          <w:b w:val="0"/>
          <w:i w:val="0"/>
        </w:rPr>
        <w:t xml:space="preserve"> 平台类型调节创作者层级对资源调用策略的影响。</w:t>
      </w:r>
    </w:p>
    <w:p>
      <w:pPr/>
      <w:r>
        <w:rPr>
          <w:b w:val="0"/>
          <w:i w:val="0"/>
        </w:rPr>
        <w:t>当前主研究只检验H1、H2和H5。H3、H4、H6、H7和H8是候选假设，须在原子编码、模型验证及相应数据质量门通过后另行冻结，不能因列入草稿而视为已启动。</w:t>
      </w:r>
    </w:p>
    <w:p>
      <w:pPr>
        <w:pStyle w:val="21"/>
      </w:pPr>
      <w:r>
        <w:rPr>
          <w:b w:val="0"/>
          <w:i w:val="0"/>
        </w:rPr>
        <w:t>1.3 研究创新点</w:t>
      </w:r>
    </w:p>
    <w:p>
      <w:pPr/>
      <w:r>
        <w:rPr>
          <w:b w:val="0"/>
          <w:i w:val="0"/>
        </w:rPr>
        <w:t>本研究的主要创新点包括：</w:t>
      </w:r>
    </w:p>
    <w:p>
      <w:pPr/>
      <w:r>
        <w:rPr>
          <w:b/>
          <w:i w:val="0"/>
        </w:rPr>
        <w:t>（1）研究视角创新：从生产端切入目的地形象的内容分析。</w:t>
      </w:r>
      <w:r>
        <w:rPr>
          <w:b w:val="0"/>
          <w:i w:val="0"/>
        </w:rPr>
        <w:t xml:space="preserve"> 现有研究主要从接收端（受众感知/行为意向）分析KOL内容的影响效果，本研究首次从生产端（创作者的内容策略选择）切入，系统刻画KOL和KOC如何通过UGC内容策略呈现目的地形象。这一视角转换回应了Cachulo Pereira和Bacalhau（2026）指出的研究盲区——目的地形象作为结果变量在现有影响者营销研究中几乎未被涉及。</w:t>
      </w:r>
    </w:p>
    <w:p>
      <w:pPr/>
      <w:r>
        <w:rPr>
          <w:b/>
          <w:i w:val="0"/>
        </w:rPr>
        <w:t>（2）方法论创新：构建文本主线与视觉辅助的协同框架。</w:t>
      </w:r>
      <w:r>
        <w:rPr>
          <w:b w:val="0"/>
          <w:i w:val="0"/>
        </w:rPr>
        <w:t xml:space="preserve"> 文本轨（V3、V4、V5、V6）承担核心问题检验，视觉轨（V7、V8、V9、V10、V11）在独立质量门通过后作为辅助研究。V3采用5个父类与22个子项的层级多标签结构，V4的父类与亚类均由编码员判断，V5记录语言功能与情感，V6记录方向中立的目的地属性。所有字段均人工编码，父子逻辑仅作审计；评价对象或方向切换时强制切分。V11只记录可见对象状态，不判断整图好坏。</w:t>
      </w:r>
    </w:p>
    <w:p>
      <w:pPr/>
      <w:r>
        <w:rPr>
          <w:b/>
          <w:i w:val="0"/>
        </w:rPr>
        <w:t>（3）分析工具候选：SRM/SAM双层关联矩阵。</w:t>
      </w:r>
      <w:r>
        <w:rPr>
          <w:b w:val="0"/>
          <w:i w:val="0"/>
        </w:rPr>
        <w:t xml:space="preserve"> 编码表保留策略→资源关联矩阵（SRM）和资源→语言功能共现矩阵（SAM）作为</w:t>
      </w:r>
      <w:r>
        <w:rPr>
          <w:rFonts w:ascii="Menlo" w:hAnsi="Menlo" w:eastAsia="Menlo"/>
          <w:b w:val="0"/>
          <w:i w:val="0"/>
          <w:sz w:val="21"/>
        </w:rPr>
        <w:t>DEFERRED</w:t>
      </w:r>
      <w:r>
        <w:rPr>
          <w:b w:val="0"/>
          <w:i w:val="0"/>
        </w:rPr>
        <w:t>候选。它们只表示片段级条件共现，不表示创作者意图、因果传导或受众效果；是否进入正式分析，待原子标签与模型验证完成后决定。</w:t>
      </w:r>
    </w:p>
    <w:p>
      <w:pPr/>
      <w:r>
        <w:rPr>
          <w:b/>
          <w:i w:val="0"/>
        </w:rPr>
        <w:t>（4）编码方法创新：采用可验证的神经网络辅助编码。</w:t>
      </w:r>
      <w:r>
        <w:rPr>
          <w:b w:val="0"/>
          <w:i w:val="0"/>
        </w:rPr>
        <w:t xml:space="preserve"> 面对目标规模约10,000条帖文和100,000张配图的数据，本研究以双人独立编码并裁决的人工样本建立金标，再通过主动学习扩展训练集。标注节省幅度不预先承诺，而由学习曲线和消融实验估计；模型质量除逐标签Precision、Recall和F1外，还检验概率校准、创作者/平台子群表现以及关键帖子级指标的偏差。</w:t>
      </w:r>
    </w:p>
    <w:p>
      <w:pPr/>
      <w:r>
        <w:rPr>
          <w:b/>
          <w:i w:val="0"/>
        </w:rPr>
        <w:t>（5）比较研究创新：系统比较KOL与KOC的可观察内容表征差异。</w:t>
      </w:r>
      <w:r>
        <w:rPr>
          <w:b w:val="0"/>
          <w:i w:val="0"/>
        </w:rPr>
        <w:t xml:space="preserve"> 本研究按编码表的粉丝绝对阈值形成创作者层级，并比较资源调用、内容策略和互动信号轮廓。研究只描述成品UGC中可重复观察的模式，不据此断定创作者曾主动规划某种“策略”。</w:t>
      </w:r>
    </w:p>
    <w:p>
      <w:pPr>
        <w:pStyle w:val="1"/>
      </w:pPr>
      <w:r>
        <w:rPr>
          <w:b w:val="0"/>
          <w:i w:val="0"/>
        </w:rPr>
        <w:t>第2章 文献综述</w:t>
      </w:r>
    </w:p>
    <w:p>
      <w:pPr>
        <w:pStyle w:val="21"/>
      </w:pPr>
      <w:r>
        <w:rPr>
          <w:b w:val="0"/>
          <w:i w:val="0"/>
        </w:rPr>
        <w:t>2.1 目的地形象理论</w:t>
      </w:r>
    </w:p>
    <w:p>
      <w:pPr/>
      <w:r>
        <w:rPr>
          <w:b w:val="0"/>
          <w:i w:val="0"/>
        </w:rPr>
        <w:t>目的地形象（Destination Image）是旅游研究中最核心的概念之一。Crompton（1979）将其定义为"一个人对目的地持有的信念、想法和印象的总和"。Baloglu和McCleary（1999）提出目的地形象由认知形象（对目的地属性的信念）、情感形象（对目的地的情感评价）和意动形象（行为意向）三个维度构成。Gartner（1994）进一步指出目的地形象由三种信息Agent共同塑造：诱导形象（营销推广产生）、自主形象（媒体报道/口碑产生）和有机形象（个人经验产生）。在社交媒体时代，KOL/KOC的内容兼具"自主形象"和"诱导形象"的双重属性，使得其在形象形成过程中的角色更加复杂。</w:t>
      </w:r>
    </w:p>
    <w:p>
      <w:pPr/>
      <w:r>
        <w:rPr>
          <w:b w:val="0"/>
          <w:i w:val="0"/>
        </w:rPr>
        <w:t>潘莉等人（2026）在对旅游图片大数据研究的系统综述中梳理了两个重要理论视角：厄里（Urry）的</w:t>
      </w:r>
      <w:r>
        <w:rPr>
          <w:b/>
          <w:i w:val="0"/>
        </w:rPr>
        <w:t>凝视理论</w:t>
      </w:r>
      <w:r>
        <w:rPr>
          <w:b w:val="0"/>
          <w:i w:val="0"/>
        </w:rPr>
        <w:t>认为旅游的本质是"去看平时看不到的东西"，在社交媒体时代，游客自拍成为自我凝视的新形式，即时传播消除了凝视的时间差，目的地形象被不断"社会性重构"；</w:t>
      </w:r>
      <w:r>
        <w:rPr>
          <w:b/>
          <w:i w:val="0"/>
        </w:rPr>
        <w:t>表征圈理论</w:t>
      </w:r>
      <w:r>
        <w:rPr>
          <w:b w:val="0"/>
          <w:i w:val="0"/>
        </w:rPr>
        <w:t>描述了官方投射形象→游客感知→拍摄→分享的闭环，但郑羽蘅和赵磊（2023）发现社交媒体时代这一闭环已被打破——游客通过发布真实照片"挑战"了官方形象，成为目的地形象的积极共建者。</w:t>
      </w:r>
    </w:p>
    <w:p>
      <w:pPr>
        <w:pStyle w:val="21"/>
      </w:pPr>
      <w:r>
        <w:rPr>
          <w:b w:val="0"/>
          <w:i w:val="0"/>
        </w:rPr>
        <w:t>2.2 KOL影响机制的理论基础</w:t>
      </w:r>
    </w:p>
    <w:p>
      <w:pPr/>
      <w:r>
        <w:rPr>
          <w:b w:val="0"/>
          <w:i w:val="0"/>
        </w:rPr>
        <w:t>本研究整合四大理论视角来解释KOL对目的地形象的影响机制。</w:t>
      </w:r>
    </w:p>
    <w:p>
      <w:pPr/>
      <w:r>
        <w:rPr>
          <w:b/>
          <w:i w:val="0"/>
        </w:rPr>
        <w:t>意义迁移模型。</w:t>
      </w:r>
      <w:r>
        <w:rPr>
          <w:b w:val="0"/>
          <w:i w:val="0"/>
        </w:rPr>
        <w:t xml:space="preserve"> McCracken（1989）提出了名人代言的三阶段意义迁移模型：意义首先在文化世界中形成（名人通过特定领域建立文化形象），然后通过仪式化情境迁移到产品/目的地，最后消费者通过购买/使用将意义迁移到自身。在旅游语境中，KOL的帖子将KOL个人的文化意义（如"时尚""冒险""文艺"）迁移到目的地，游客通过"打卡"完成意义的最终转移。Knoll和Matthes（2017）对46项研究的元分析证实了意义迁移模型是解释名人代言效果的三大理论之一。</w:t>
      </w:r>
    </w:p>
    <w:p>
      <w:pPr/>
      <w:r>
        <w:rPr>
          <w:b/>
          <w:i w:val="0"/>
        </w:rPr>
        <w:t>准社会关系理论。</w:t>
      </w:r>
      <w:r>
        <w:rPr>
          <w:b w:val="0"/>
          <w:i w:val="0"/>
        </w:rPr>
        <w:t xml:space="preserve"> Horton和Wohl（1956）提出的准社会关系概念解释了受众与媒体人物之间的单向亲密关系——观众感觉自己与媒体人物有真实的个人关系。准社会关系是KOL影响力的关键中介机制：不是KOL直接说服消费者，而是通过建立准社会关系间接影响。</w:t>
      </w:r>
    </w:p>
    <w:p>
      <w:pPr/>
      <w:r>
        <w:rPr>
          <w:b/>
          <w:i w:val="0"/>
        </w:rPr>
        <w:t>来源可信度模型。</w:t>
      </w:r>
      <w:r>
        <w:rPr>
          <w:b w:val="0"/>
          <w:i w:val="0"/>
        </w:rPr>
        <w:t xml:space="preserve"> Ohanian（1990）开发了来源可信度量表，测量三个维度：专业性（传播者被认为能提供有效信息的程度）、可信赖性（被认为诚实可靠的程度）和吸引力（外在魅力）。在KOL语境下，这三个维度决定了意义迁移的效率。</w:t>
      </w:r>
    </w:p>
    <w:p>
      <w:pPr/>
      <w:r>
        <w:rPr>
          <w:b/>
          <w:i w:val="0"/>
        </w:rPr>
        <w:t>情绪感染机制。</w:t>
      </w:r>
      <w:r>
        <w:rPr>
          <w:b w:val="0"/>
          <w:i w:val="0"/>
        </w:rPr>
        <w:t xml:space="preserve"> 黄鸿业等人（2025）提出了旅游议题在网络社群中引发情绪感染的四阶段机制：情绪感知（身体与精神的"在场"）→情绪模仿（具身情绪表达与短视频中介效应）→情绪联想（集体记忆的唤醒）→情绪扩散（算法与信息中心节点催生圈层共振）。KOL在其中既是情绪的"启动器"，又是情绪的"放大器"。</w:t>
      </w:r>
    </w:p>
    <w:tbl>
      <w:tblPr>
        <w:tblStyle w:val="aff1"/>
        <w:tblW w:type="auto" w:w="0"/>
        <w:jc w:val="center"/>
        <w:tblLayout w:type="fixed"/>
        <w:tblLook w:firstColumn="1" w:firstRow="1" w:lastColumn="0" w:lastRow="0" w:noHBand="0" w:noVBand="1" w:val="04A0"/>
      </w:tblPr>
      <w:tblGrid>
        <w:gridCol w:w="2880"/>
        <w:gridCol w:w="2880"/>
        <w:gridCol w:w="2880"/>
      </w:tblGrid>
      <w:tr>
        <w:trPr>
          <w:tblHeader w:val="true"/>
          <w:cantSplit/>
        </w:trPr>
        <w:tc>
          <w:tcPr>
            <w:tcW w:type="dxa" w:w="1286"/>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理论视角</w:t>
            </w:r>
          </w:p>
        </w:tc>
        <w:tc>
          <w:tcPr>
            <w:tcW w:type="dxa" w:w="3860"/>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核心概念</w:t>
            </w:r>
          </w:p>
        </w:tc>
        <w:tc>
          <w:tcPr>
            <w:tcW w:type="dxa" w:w="3492"/>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解释的问题</w:t>
            </w:r>
          </w:p>
        </w:tc>
      </w:tr>
      <w:tr>
        <w:trPr>
          <w:cantSplit/>
        </w:trPr>
        <w:tc>
          <w:tcPr>
            <w:tcW w:type="dxa" w:w="1286"/>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意义迁移模型</w:t>
            </w:r>
          </w:p>
        </w:tc>
        <w:tc>
          <w:tcPr>
            <w:tcW w:type="dxa" w:w="3860"/>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KOL的文化意义→目的地意义→游客自我意义</w:t>
            </w:r>
          </w:p>
        </w:tc>
        <w:tc>
          <w:tcPr>
            <w:tcW w:type="dxa" w:w="3492"/>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KOL如何通过内容呈现目的地形象？</w:t>
            </w:r>
          </w:p>
        </w:tc>
      </w:tr>
      <w:tr>
        <w:trPr>
          <w:cantSplit/>
        </w:trPr>
        <w:tc>
          <w:tcPr>
            <w:tcW w:type="dxa" w:w="1286"/>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准社会关系理论</w:t>
            </w:r>
          </w:p>
        </w:tc>
        <w:tc>
          <w:tcPr>
            <w:tcW w:type="dxa" w:w="3860"/>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单向亲密关系、自我披露、互动性</w:t>
            </w:r>
          </w:p>
        </w:tc>
        <w:tc>
          <w:tcPr>
            <w:tcW w:type="dxa" w:w="3492"/>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为什么粉丝会接受KOL的意义迁移？</w:t>
            </w:r>
          </w:p>
        </w:tc>
      </w:tr>
      <w:tr>
        <w:trPr>
          <w:cantSplit/>
        </w:trPr>
        <w:tc>
          <w:tcPr>
            <w:tcW w:type="dxa" w:w="1286"/>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来源可信度模型</w:t>
            </w:r>
          </w:p>
        </w:tc>
        <w:tc>
          <w:tcPr>
            <w:tcW w:type="dxa" w:w="3860"/>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专业性×可信赖性×吸引力</w:t>
            </w:r>
          </w:p>
        </w:tc>
        <w:tc>
          <w:tcPr>
            <w:tcW w:type="dxa" w:w="3492"/>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什么条件下意义迁移更有效？</w:t>
            </w:r>
          </w:p>
        </w:tc>
      </w:tr>
      <w:tr>
        <w:trPr>
          <w:cantSplit/>
        </w:trPr>
        <w:tc>
          <w:tcPr>
            <w:tcW w:type="dxa" w:w="1286"/>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情绪感染机制</w:t>
            </w:r>
          </w:p>
        </w:tc>
        <w:tc>
          <w:tcPr>
            <w:tcW w:type="dxa" w:w="3860"/>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情绪感知→模仿→联想→扩散</w:t>
            </w:r>
          </w:p>
        </w:tc>
        <w:tc>
          <w:tcPr>
            <w:tcW w:type="dxa" w:w="3492"/>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KOL如何通过情绪传播影响目的地形象？</w:t>
            </w:r>
          </w:p>
        </w:tc>
      </w:tr>
    </w:tbl>
    <w:p/>
    <w:p>
      <w:pPr>
        <w:pStyle w:val="21"/>
      </w:pPr>
      <w:r>
        <w:rPr>
          <w:b w:val="0"/>
          <w:i w:val="0"/>
        </w:rPr>
        <w:t>2.3 研究空白与假设推导</w:t>
      </w:r>
    </w:p>
    <w:p>
      <w:pPr/>
      <w:r>
        <w:rPr>
          <w:b w:val="0"/>
          <w:i w:val="0"/>
        </w:rPr>
        <w:t>Akram和Majeed（2026）的系统综述指出当前KOL营销研究主要关注来源可信度、情感连接、准社会互动和内容质量四个维度，但多从接收端（受众感知/行为意向）分析KOL内容的影响效果。Xuan等人（2025）发现网红在目的地形象呈现中面临身份认同张力——作为旅行者追求"真实性"，作为网红追求"出片效果"。Citra等人（2025）进一步指出网红通过视觉叙事能力、真实性优先等机制影响目的地形象。然而，这些研究主要关注UGC对受众的影响，而非创作者如何通过UGC内容策略呈现目的地形象。</w:t>
      </w:r>
    </w:p>
    <w:p>
      <w:pPr/>
      <w:r>
        <w:rPr>
          <w:b w:val="0"/>
          <w:i w:val="0"/>
        </w:rPr>
        <w:t>综合以上文献，本研究识别出以下关键空白：（1）从生产端视角分析KOL/KOC目的地形象内容呈现模式的研究较少；（2）文本主线与视觉辅助证据之间缺少可检验的协同接口；（3）不同创作者层级的可观察内容表征差异缺乏系统比较。基于研究资源与证据成熟度，本研究当前检验H1、H2和H5，其余假设保留为</w:t>
      </w:r>
      <w:r>
        <w:rPr>
          <w:rFonts w:ascii="Menlo" w:hAnsi="Menlo" w:eastAsia="Menlo"/>
          <w:b w:val="0"/>
          <w:i w:val="0"/>
          <w:sz w:val="21"/>
        </w:rPr>
        <w:t>DEFERRED</w:t>
      </w:r>
      <w:r>
        <w:rPr>
          <w:b w:val="0"/>
          <w:i w:val="0"/>
        </w:rPr>
        <w:t>候选（见1.2节）。</w:t>
      </w:r>
    </w:p>
    <w:p>
      <w:pPr>
        <w:pStyle w:val="21"/>
      </w:pPr>
      <w:r>
        <w:rPr>
          <w:b w:val="0"/>
          <w:i w:val="0"/>
        </w:rPr>
        <w:t>2.4 研究方法文献</w:t>
      </w:r>
    </w:p>
    <w:p>
      <w:pPr/>
      <w:r>
        <w:rPr>
          <w:b w:val="0"/>
          <w:i w:val="0"/>
        </w:rPr>
        <w:t>本研究的方法论基础来自三个领域。</w:t>
      </w:r>
      <w:r>
        <w:rPr>
          <w:b/>
          <w:i w:val="0"/>
        </w:rPr>
        <w:t>量化取向的结构化内容分析</w:t>
      </w:r>
      <w:r>
        <w:rPr>
          <w:b w:val="0"/>
          <w:i w:val="0"/>
        </w:rPr>
        <w:t>方面，Krippendorff（2018）和Neuendorf（2017）说明了分析单位、编码、信度与效度的基本要求；在</w:t>
      </w:r>
      <w:r>
        <w:rPr>
          <w:b/>
          <w:i w:val="0"/>
        </w:rPr>
        <w:t>编码簿开发环节</w:t>
      </w:r>
      <w:r>
        <w:rPr>
          <w:b w:val="0"/>
          <w:i w:val="0"/>
        </w:rPr>
        <w:t>，Mayring（2000）以及Hsieh和Shannon（2005）支持以理论形成初始类目，并在校准阶段依据材料修订类别边界。</w:t>
      </w:r>
      <w:r>
        <w:rPr>
          <w:b/>
          <w:i w:val="0"/>
        </w:rPr>
        <w:t>深度学习应用</w:t>
      </w:r>
      <w:r>
        <w:rPr>
          <w:b w:val="0"/>
          <w:i w:val="0"/>
        </w:rPr>
        <w:t>方面，邓宁等人（2019）首次将CNN引入旅游图片分析，肖璐等人（2024）提出了基于BERT的方面情感三元组抽取方法，王楚涵和张朝枝（2026）验证了LLM辅助内容分析的可行性（与人类编码员Kappa达0.76-0.94）。</w:t>
      </w:r>
      <w:r>
        <w:rPr>
          <w:b/>
          <w:i w:val="0"/>
        </w:rPr>
        <w:t>主动学习与数据增强</w:t>
      </w:r>
      <w:r>
        <w:rPr>
          <w:b w:val="0"/>
          <w:i w:val="0"/>
        </w:rPr>
        <w:t>方面，Settles（2012）、Wei和Zou（2019）以及Shorten和Khoshgoftaar（2019）为大规模UGC内容分析提供了降低标注成本的技术路径。主题分析不属于本研究的正式方法。</w:t>
      </w:r>
    </w:p>
    <w:p>
      <w:pPr>
        <w:pStyle w:val="1"/>
      </w:pPr>
      <w:r>
        <w:rPr>
          <w:b w:val="0"/>
          <w:i w:val="0"/>
        </w:rPr>
        <w:t>第3章 研究方法</w:t>
      </w:r>
    </w:p>
    <w:p>
      <w:pPr>
        <w:pStyle w:val="21"/>
      </w:pPr>
      <w:r>
        <w:rPr>
          <w:b w:val="0"/>
          <w:i w:val="0"/>
        </w:rPr>
        <w:t>3.1 数据采集</w:t>
      </w:r>
    </w:p>
    <w:p>
      <w:pPr>
        <w:pStyle w:val="31"/>
      </w:pPr>
      <w:r>
        <w:rPr>
          <w:b w:val="0"/>
          <w:i w:val="0"/>
        </w:rPr>
        <w:t>3.1.1 采集范围</w:t>
      </w:r>
    </w:p>
    <w:p>
      <w:pPr/>
      <w:r>
        <w:rPr>
          <w:b w:val="0"/>
          <w:i w:val="0"/>
        </w:rPr>
        <w:t>编码表v3.11.0规定的设计范围为五个平台：</w:t>
      </w:r>
    </w:p>
    <w:tbl>
      <w:tblPr>
        <w:tblStyle w:val="aff1"/>
        <w:tblW w:type="auto" w:w="0"/>
        <w:jc w:val="center"/>
        <w:tblLayout w:type="fixed"/>
        <w:tblLook w:firstColumn="1" w:firstRow="1" w:lastColumn="0" w:lastRow="0" w:noHBand="0" w:noVBand="1" w:val="04A0"/>
      </w:tblPr>
      <w:tblGrid>
        <w:gridCol w:w="2880"/>
        <w:gridCol w:w="2880"/>
        <w:gridCol w:w="2880"/>
      </w:tblGrid>
      <w:tr>
        <w:trPr>
          <w:tblHeader w:val="true"/>
          <w:cantSplit/>
        </w:trPr>
        <w:tc>
          <w:tcPr>
            <w:tcW w:type="dxa" w:w="1440"/>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平台</w:t>
            </w:r>
          </w:p>
        </w:tc>
        <w:tc>
          <w:tcPr>
            <w:tcW w:type="dxa" w:w="2674"/>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内容特征</w:t>
            </w:r>
          </w:p>
        </w:tc>
        <w:tc>
          <w:tcPr>
            <w:tcW w:type="dxa" w:w="4525"/>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采集内容</w:t>
            </w:r>
          </w:p>
        </w:tc>
      </w:tr>
      <w:tr>
        <w:trPr>
          <w:cantSplit/>
        </w:trPr>
        <w:tc>
          <w:tcPr>
            <w:tcW w:type="dxa" w:w="1440"/>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小红书</w:t>
            </w:r>
          </w:p>
        </w:tc>
        <w:tc>
          <w:tcPr>
            <w:tcW w:type="dxa" w:w="267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图文为主，旅游攻略高度集中</w:t>
            </w:r>
          </w:p>
        </w:tc>
        <w:tc>
          <w:tcPr>
            <w:tcW w:type="dxa" w:w="4525"/>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帖文文本 + 配图</w:t>
            </w:r>
          </w:p>
        </w:tc>
      </w:tr>
      <w:tr>
        <w:trPr>
          <w:cantSplit/>
        </w:trPr>
        <w:tc>
          <w:tcPr>
            <w:tcW w:type="dxa" w:w="1440"/>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抖音</w:t>
            </w:r>
          </w:p>
        </w:tc>
        <w:tc>
          <w:tcPr>
            <w:tcW w:type="dxa" w:w="267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短视频为主，视觉冲击力强</w:t>
            </w:r>
          </w:p>
        </w:tc>
        <w:tc>
          <w:tcPr>
            <w:tcW w:type="dxa" w:w="4525"/>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视频文案；封面/抽帧是否纳入视觉人口仍属T0</w:t>
            </w:r>
          </w:p>
        </w:tc>
      </w:tr>
      <w:tr>
        <w:trPr>
          <w:cantSplit/>
        </w:trPr>
        <w:tc>
          <w:tcPr>
            <w:tcW w:type="dxa" w:w="1440"/>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B站</w:t>
            </w:r>
          </w:p>
        </w:tc>
        <w:tc>
          <w:tcPr>
            <w:tcW w:type="dxa" w:w="267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中长视频，深度内容</w:t>
            </w:r>
          </w:p>
        </w:tc>
        <w:tc>
          <w:tcPr>
            <w:tcW w:type="dxa" w:w="4525"/>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视频文案；封面/抽帧是否纳入视觉人口仍属T0</w:t>
            </w:r>
          </w:p>
        </w:tc>
      </w:tr>
      <w:tr>
        <w:trPr>
          <w:cantSplit/>
        </w:trPr>
        <w:tc>
          <w:tcPr>
            <w:tcW w:type="dxa" w:w="1440"/>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微博</w:t>
            </w:r>
          </w:p>
        </w:tc>
        <w:tc>
          <w:tcPr>
            <w:tcW w:type="dxa" w:w="267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短文本+图片，实时性强</w:t>
            </w:r>
          </w:p>
        </w:tc>
        <w:tc>
          <w:tcPr>
            <w:tcW w:type="dxa" w:w="4525"/>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帖文文本 + 配图</w:t>
            </w:r>
          </w:p>
        </w:tc>
      </w:tr>
      <w:tr>
        <w:trPr>
          <w:cantSplit/>
        </w:trPr>
        <w:tc>
          <w:tcPr>
            <w:tcW w:type="dxa" w:w="1440"/>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携程</w:t>
            </w:r>
          </w:p>
        </w:tc>
        <w:tc>
          <w:tcPr>
            <w:tcW w:type="dxa" w:w="267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旅游攻略+点评</w:t>
            </w:r>
          </w:p>
        </w:tc>
        <w:tc>
          <w:tcPr>
            <w:tcW w:type="dxa" w:w="4525"/>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攻略文本 + 配图</w:t>
            </w:r>
          </w:p>
        </w:tc>
      </w:tr>
    </w:tbl>
    <w:p/>
    <w:p>
      <w:pPr/>
      <w:r>
        <w:rPr>
          <w:b w:val="0"/>
          <w:i w:val="0"/>
        </w:rPr>
        <w:t>约10,000条帖文与100,000张配图是设计目标，不是已完成样本量。截至2026年7月15日，当前处理库实际包含1,513条符合条件且去重的帖子、1,168位作者和13,417张图片，实得平台为B站、微博、抖音、知乎和小红书，其中知乎不在当前编码表设计范围，携程尚未实得。正式抽样前必须根据冻结manifest核验并处理这一“设计范围—实得平台”差异；本文如实披露，不以文字对齐替代事实裁决。</w:t>
      </w:r>
    </w:p>
    <w:p>
      <w:pPr>
        <w:pStyle w:val="31"/>
      </w:pPr>
      <w:r>
        <w:rPr>
          <w:b w:val="0"/>
          <w:i w:val="0"/>
        </w:rPr>
        <w:t>3.1.2 创作者分层</w:t>
      </w:r>
    </w:p>
    <w:p>
      <w:pPr/>
      <w:r>
        <w:rPr>
          <w:b w:val="0"/>
          <w:i w:val="0"/>
        </w:rPr>
        <w:t>本研究根据粉丝量和影响力特征将创作者分为四个层级：</w:t>
      </w:r>
    </w:p>
    <w:tbl>
      <w:tblPr>
        <w:tblStyle w:val="aff1"/>
        <w:tblW w:type="auto" w:w="0"/>
        <w:jc w:val="center"/>
        <w:tblLayout w:type="fixed"/>
        <w:tblLook w:firstColumn="1" w:firstRow="1" w:lastColumn="0" w:lastRow="0" w:noHBand="0" w:noVBand="1" w:val="04A0"/>
      </w:tblPr>
      <w:tblGrid>
        <w:gridCol w:w="2160"/>
        <w:gridCol w:w="2160"/>
        <w:gridCol w:w="2160"/>
        <w:gridCol w:w="2160"/>
      </w:tblGrid>
      <w:tr>
        <w:trPr>
          <w:tblHeader w:val="true"/>
          <w:cantSplit/>
        </w:trPr>
        <w:tc>
          <w:tcPr>
            <w:tcW w:type="dxa" w:w="1634"/>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层级</w:t>
            </w:r>
          </w:p>
        </w:tc>
        <w:tc>
          <w:tcPr>
            <w:tcW w:type="dxa" w:w="1634"/>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代码</w:t>
            </w:r>
          </w:p>
        </w:tc>
        <w:tc>
          <w:tcPr>
            <w:tcW w:type="dxa" w:w="2335"/>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粉丝量</w:t>
            </w:r>
          </w:p>
        </w:tc>
        <w:tc>
          <w:tcPr>
            <w:tcW w:type="dxa" w:w="3035"/>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信任机制</w:t>
            </w:r>
          </w:p>
        </w:tc>
      </w:tr>
      <w:tr>
        <w:trPr>
          <w:cantSplit/>
        </w:trPr>
        <w:tc>
          <w:tcPr>
            <w:tcW w:type="dxa" w:w="163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头部KOL</w:t>
            </w:r>
          </w:p>
        </w:tc>
        <w:tc>
          <w:tcPr>
            <w:tcW w:type="dxa" w:w="163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H-KOL</w:t>
            </w:r>
          </w:p>
        </w:tc>
        <w:tc>
          <w:tcPr>
            <w:tcW w:type="dxa" w:w="2335"/>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 100万</w:t>
            </w:r>
          </w:p>
        </w:tc>
        <w:tc>
          <w:tcPr>
            <w:tcW w:type="dxa" w:w="3035"/>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向往影响：专业性 → 追随</w:t>
            </w:r>
          </w:p>
        </w:tc>
      </w:tr>
      <w:tr>
        <w:trPr>
          <w:cantSplit/>
        </w:trPr>
        <w:tc>
          <w:tcPr>
            <w:tcW w:type="dxa" w:w="163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腰部KOL</w:t>
            </w:r>
          </w:p>
        </w:tc>
        <w:tc>
          <w:tcPr>
            <w:tcW w:type="dxa" w:w="163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W-KOL</w:t>
            </w:r>
          </w:p>
        </w:tc>
        <w:tc>
          <w:tcPr>
            <w:tcW w:type="dxa" w:w="2335"/>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10万–不足100万</w:t>
            </w:r>
          </w:p>
        </w:tc>
        <w:tc>
          <w:tcPr>
            <w:tcW w:type="dxa" w:w="3035"/>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专业 + 认同混合</w:t>
            </w:r>
          </w:p>
        </w:tc>
      </w:tr>
      <w:tr>
        <w:trPr>
          <w:cantSplit/>
        </w:trPr>
        <w:tc>
          <w:tcPr>
            <w:tcW w:type="dxa" w:w="163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长尾KOL</w:t>
            </w:r>
          </w:p>
        </w:tc>
        <w:tc>
          <w:tcPr>
            <w:tcW w:type="dxa" w:w="163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T-KOL</w:t>
            </w:r>
          </w:p>
        </w:tc>
        <w:tc>
          <w:tcPr>
            <w:tcW w:type="dxa" w:w="2335"/>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1万–不足10万</w:t>
            </w:r>
          </w:p>
        </w:tc>
        <w:tc>
          <w:tcPr>
            <w:tcW w:type="dxa" w:w="3035"/>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准社会关系 → 信任</w:t>
            </w:r>
          </w:p>
        </w:tc>
      </w:tr>
      <w:tr>
        <w:trPr>
          <w:cantSplit/>
        </w:trPr>
        <w:tc>
          <w:tcPr>
            <w:tcW w:type="dxa" w:w="163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关键意见消费者</w:t>
            </w:r>
          </w:p>
        </w:tc>
        <w:tc>
          <w:tcPr>
            <w:tcW w:type="dxa" w:w="163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KOC</w:t>
            </w:r>
          </w:p>
        </w:tc>
        <w:tc>
          <w:tcPr>
            <w:tcW w:type="dxa" w:w="2335"/>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&lt; 1万</w:t>
            </w:r>
          </w:p>
        </w:tc>
        <w:tc>
          <w:tcPr>
            <w:tcW w:type="dxa" w:w="3035"/>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同伴认同：相似性 → 信任</w:t>
            </w:r>
          </w:p>
        </w:tc>
      </w:tr>
    </w:tbl>
    <w:p/>
    <w:p>
      <w:pPr>
        <w:pStyle w:val="af5"/>
      </w:pPr>
      <w:r>
        <w:rPr>
          <w:b/>
          <w:i w:val="0"/>
        </w:rPr>
        <w:t>理论依据</w:t>
      </w:r>
      <w:r>
        <w:rPr>
          <w:b w:val="0"/>
          <w:i w:val="0"/>
        </w:rPr>
        <w:t>：Akram &amp; Majeed (2026) 系统综述指出 KOL 与 KOC 的影响机制存在质性差异——KOL 通过</w:t>
      </w:r>
      <w:r>
        <w:rPr>
          <w:b/>
          <w:i w:val="0"/>
        </w:rPr>
        <w:t>专业性</w:t>
      </w:r>
      <w:r>
        <w:rPr>
          <w:b w:val="0"/>
          <w:i w:val="0"/>
        </w:rPr>
        <w:t>和</w:t>
      </w:r>
      <w:r>
        <w:rPr>
          <w:b/>
          <w:i w:val="0"/>
        </w:rPr>
        <w:t>向往感</w:t>
      </w:r>
      <w:r>
        <w:rPr>
          <w:b w:val="0"/>
          <w:i w:val="0"/>
        </w:rPr>
        <w:t>驱动，KOC 通过</w:t>
      </w:r>
      <w:r>
        <w:rPr>
          <w:b/>
          <w:i w:val="0"/>
        </w:rPr>
        <w:t>感知相似性</w:t>
      </w:r>
      <w:r>
        <w:rPr>
          <w:b w:val="0"/>
          <w:i w:val="0"/>
        </w:rPr>
        <w:t>和</w:t>
      </w:r>
      <w:r>
        <w:rPr>
          <w:b/>
          <w:i w:val="0"/>
        </w:rPr>
        <w:t>真实性</w:t>
      </w:r>
      <w:r>
        <w:rPr>
          <w:b w:val="0"/>
          <w:i w:val="0"/>
        </w:rPr>
        <w:t>驱动。</w:t>
      </w:r>
    </w:p>
    <w:p>
      <w:pPr>
        <w:pStyle w:val="af5"/>
      </w:pPr>
      <w:r>
        <w:rPr>
          <w:b/>
          <w:i w:val="0"/>
        </w:rPr>
        <w:t>跨平台注意</w:t>
      </w:r>
      <w:r>
        <w:rPr>
          <w:b w:val="0"/>
          <w:i w:val="0"/>
        </w:rPr>
        <w:t>：主分析按编码表v3.11.0的绝对粉丝阈值分层，并以KOL（H-KOL+W-KOL+T-KOL）与KOC二分作为主要比较。该操作化目前仍受创作者角色双轴提案的构念审查约束；若V0角色试点正式获准，须再同步修订本段。平台内粉丝量分位数只用于敏感性分析；认证、互动率和活跃度只能描述，不得加权改写主层级。</w:t>
      </w:r>
    </w:p>
    <w:p>
      <w:pPr>
        <w:pStyle w:val="21"/>
      </w:pPr>
      <w:r>
        <w:rPr>
          <w:b w:val="0"/>
          <w:i w:val="0"/>
        </w:rPr>
        <w:t>3.2 编码框架：编码表v3.11.0的文本主线与视觉辅助体系</w:t>
      </w:r>
    </w:p>
    <w:p>
      <w:pPr/>
      <w:r>
        <w:rPr>
          <w:b w:val="0"/>
          <w:i w:val="0"/>
        </w:rPr>
        <w:t>本研究以文本轨为主、视觉轨为辅助。文本轨人工判断单位为程序预先固定的评价原子片段；视觉轨单位为单张图片。基本切分遵循标点、列表和连接词规则，评价对象或情感方向切换时强制切分，使V5情感与V6属性在同一</w:t>
      </w:r>
      <w:r>
        <w:rPr>
          <w:rFonts w:ascii="Menlo" w:hAnsi="Menlo" w:eastAsia="Menlo"/>
          <w:b w:val="0"/>
          <w:i w:val="0"/>
          <w:sz w:val="21"/>
        </w:rPr>
        <w:t>seg_id</w:t>
      </w:r>
      <w:r>
        <w:rPr>
          <w:b w:val="0"/>
          <w:i w:val="0"/>
        </w:rPr>
        <w:t>内正确配对。编码员不得自行改变边界。视觉人口、V7/V8边界和V11专门规则通过独立质量门前，视觉轨不进入正式统计或训练。</w:t>
      </w:r>
    </w:p>
    <w:p>
      <w:pPr>
        <w:pStyle w:val="31"/>
      </w:pPr>
      <w:r>
        <w:rPr>
          <w:b w:val="0"/>
          <w:i w:val="0"/>
        </w:rPr>
        <w:t>3.2.1 总体架构</w:t>
      </w:r>
    </w:p>
    <w:p>
      <w:pPr>
        <w:pStyle w:val="CodeBlock"/>
        <w:keepLines/>
        <w:shd w:fill="F2F2F2"/>
      </w:pPr>
      <w:r>
        <w:rPr>
          <w:rFonts w:ascii="Menlo" w:hAnsi="Menlo" w:eastAsia="Menlo"/>
          <w:sz w:val="17"/>
        </w:rPr>
        <w:t>帖子级元数据层（创作者画像 V0 · 明确商业披露 V1 · 平台/媒体类型 V2）</w:t>
        <w:br/>
      </w:r>
      <w:r>
        <w:rPr>
          <w:rFonts w:ascii="Menlo" w:hAnsi="Menlo" w:eastAsia="Menlo"/>
          <w:sz w:val="17"/>
        </w:rPr>
        <w:t xml:space="preserve">         │</w:t>
        <w:br/>
      </w:r>
      <w:r>
        <w:rPr>
          <w:rFonts w:ascii="Menlo" w:hAnsi="Menlo" w:eastAsia="Menlo"/>
          <w:sz w:val="17"/>
        </w:rPr>
        <w:t xml:space="preserve">    ┌────┴────┐</w:t>
        <w:br/>
      </w:r>
      <w:r>
        <w:rPr>
          <w:rFonts w:ascii="Menlo" w:hAnsi="Menlo" w:eastAsia="Menlo"/>
          <w:sz w:val="17"/>
        </w:rPr>
        <w:t xml:space="preserve">    ▼         ▼</w:t>
        <w:br/>
      </w:r>
      <w:r>
        <w:rPr>
          <w:rFonts w:ascii="Menlo" w:hAnsi="Menlo" w:eastAsia="Menlo"/>
          <w:sz w:val="17"/>
        </w:rPr>
        <w:t xml:space="preserve"> 文本主轨      视觉辅助轨</w:t>
        <w:br/>
      </w:r>
      <w:r>
        <w:rPr>
          <w:rFonts w:ascii="Menlo" w:hAnsi="Menlo" w:eastAsia="Menlo"/>
          <w:sz w:val="17"/>
        </w:rPr>
        <w:t>（固定片段）   （单张配图；DEFERRED）</w:t>
        <w:br/>
      </w:r>
      <w:r>
        <w:rPr>
          <w:rFonts w:ascii="Menlo" w:hAnsi="Menlo" w:eastAsia="Menlo"/>
          <w:sz w:val="17"/>
        </w:rPr>
        <w:br/>
      </w:r>
      <w:r>
        <w:rPr>
          <w:rFonts w:ascii="Menlo" w:hAnsi="Menlo" w:eastAsia="Menlo"/>
          <w:sz w:val="17"/>
        </w:rPr>
        <w:t>V3 内容策略      V7 视觉主体</w:t>
        <w:br/>
      </w:r>
      <w:r>
        <w:rPr>
          <w:rFonts w:ascii="Menlo" w:hAnsi="Menlo" w:eastAsia="Menlo"/>
          <w:sz w:val="17"/>
        </w:rPr>
        <w:t>V4 目的地资源    V8 视觉呈现方式</w:t>
        <w:br/>
      </w:r>
      <w:r>
        <w:rPr>
          <w:rFonts w:ascii="Menlo" w:hAnsi="Menlo" w:eastAsia="Menlo"/>
          <w:sz w:val="17"/>
        </w:rPr>
        <w:t>V5 语言功能与情感 V9 人物呈现</w:t>
        <w:br/>
      </w:r>
      <w:r>
        <w:rPr>
          <w:rFonts w:ascii="Menlo" w:hAnsi="Menlo" w:eastAsia="Menlo"/>
          <w:sz w:val="17"/>
        </w:rPr>
        <w:t>V6 目的地属性    V10 消费符号</w:t>
        <w:br/>
      </w:r>
      <w:r>
        <w:rPr>
          <w:rFonts w:ascii="Menlo" w:hAnsi="Menlo" w:eastAsia="Menlo"/>
          <w:sz w:val="17"/>
        </w:rPr>
        <w:t xml:space="preserve">                  V11 可见对象状态</w:t>
        <w:br/>
      </w:r>
      <w:r>
        <w:rPr>
          <w:rFonts w:ascii="Menlo" w:hAnsi="Menlo" w:eastAsia="Menlo"/>
          <w:sz w:val="17"/>
        </w:rPr>
        <w:t xml:space="preserve">         │</w:t>
        <w:br/>
      </w:r>
      <w:r>
        <w:rPr>
          <w:rFonts w:ascii="Menlo" w:hAnsi="Menlo" w:eastAsia="Menlo"/>
          <w:sz w:val="17"/>
        </w:rPr>
        <w:t xml:space="preserve">         ▼</w:t>
        <w:br/>
      </w:r>
      <w:r>
        <w:rPr>
          <w:rFonts w:ascii="Menlo" w:hAnsi="Menlo" w:eastAsia="Menlo"/>
          <w:sz w:val="17"/>
        </w:rPr>
        <w:t xml:space="preserve">   候选聚合层（DEFERRED）</w:t>
        <w:br/>
      </w:r>
      <w:r>
        <w:rPr>
          <w:rFonts w:ascii="Menlo" w:hAnsi="Menlo" w:eastAsia="Menlo"/>
          <w:sz w:val="17"/>
        </w:rPr>
        <w:t xml:space="preserve">   SRM / SAM / AAM / COD / 图文交叉指标</w:t>
      </w:r>
    </w:p>
    <w:p>
      <w:pPr>
        <w:pStyle w:val="af5"/>
      </w:pPr>
      <w:r>
        <w:rPr>
          <w:b/>
          <w:i w:val="0"/>
        </w:rPr>
        <w:t>注</w:t>
      </w:r>
      <w:r>
        <w:rPr>
          <w:b w:val="0"/>
          <w:i w:val="0"/>
        </w:rPr>
        <w:t>：文本轨单位为固定评价原子片段，视觉轨单位为单张图片。人工界面将父类、子类、排除项、适用性和量表字段全部单独呈现并紧邻各自置信度列；帖子轨与图像轨中编码表已定义的上级分类字段也在对应展开子类组之前单列呈现。父子与跨字段逻辑只作审计，不自动生成或覆盖人工值。</w:t>
      </w:r>
    </w:p>
    <w:p>
      <w:pPr>
        <w:pStyle w:val="31"/>
      </w:pPr>
      <w:r>
        <w:rPr>
          <w:b w:val="0"/>
          <w:i w:val="0"/>
        </w:rPr>
        <w:t>3.2.2 文本轨编码维度</w:t>
      </w:r>
    </w:p>
    <w:p>
      <w:pPr/>
      <w:r>
        <w:rPr>
          <w:b/>
          <w:i w:val="0"/>
        </w:rPr>
        <w:t>V3 内容策略（片段级，5个父类 + 22个子项）</w:t>
      </w:r>
    </w:p>
    <w:p>
      <w:pPr/>
      <w:r>
        <w:rPr>
          <w:b w:val="0"/>
          <w:i w:val="0"/>
        </w:rPr>
        <w:t>该维度回答“创作者以哪些方式呈现目的地内容，以及这些策略如何实现”。5个父类、22个子项和排除项全部由编码员逐字段判断；前四个父类及具名子项可共现。</w:t>
      </w:r>
    </w:p>
    <w:tbl>
      <w:tblPr>
        <w:tblStyle w:val="aff1"/>
        <w:tblW w:type="auto" w:w="0"/>
        <w:jc w:val="center"/>
        <w:tblLayout w:type="fixed"/>
        <w:tblLook w:firstColumn="1" w:firstRow="1" w:lastColumn="0" w:lastRow="0" w:noHBand="0" w:noVBand="1" w:val="04A0"/>
      </w:tblPr>
      <w:tblGrid>
        <w:gridCol w:w="1728"/>
        <w:gridCol w:w="1728"/>
        <w:gridCol w:w="1728"/>
        <w:gridCol w:w="1728"/>
        <w:gridCol w:w="1728"/>
      </w:tblGrid>
      <w:tr>
        <w:trPr>
          <w:tblHeader w:val="true"/>
          <w:cantSplit/>
        </w:trPr>
        <w:tc>
          <w:tcPr>
            <w:tcW w:type="dxa" w:w="604"/>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代码</w:t>
            </w:r>
          </w:p>
        </w:tc>
        <w:tc>
          <w:tcPr>
            <w:tcW w:type="dxa" w:w="604"/>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标签</w:t>
            </w:r>
          </w:p>
        </w:tc>
        <w:tc>
          <w:tcPr>
            <w:tcW w:type="dxa" w:w="2160"/>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操作定义</w:t>
            </w:r>
          </w:p>
        </w:tc>
        <w:tc>
          <w:tcPr>
            <w:tcW w:type="dxa" w:w="3628"/>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记录方式</w:t>
            </w:r>
          </w:p>
        </w:tc>
        <w:tc>
          <w:tcPr>
            <w:tcW w:type="dxa" w:w="1641"/>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示例</w:t>
            </w:r>
          </w:p>
        </w:tc>
      </w:tr>
      <w:tr>
        <w:trPr>
          <w:cantSplit/>
        </w:trPr>
        <w:tc>
          <w:tcPr>
            <w:tcW w:type="dxa" w:w="60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CS-INF</w:t>
            </w:r>
          </w:p>
        </w:tc>
        <w:tc>
          <w:tcPr>
            <w:tcW w:type="dxa" w:w="60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信息提供型</w:t>
            </w:r>
          </w:p>
        </w:tc>
        <w:tc>
          <w:tcPr>
            <w:tcW w:type="dxa" w:w="2160"/>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提供面向旅行决策的事实、参数、路线、步骤或选择依据</w:t>
            </w:r>
          </w:p>
        </w:tc>
        <w:tc>
          <w:tcPr>
            <w:tcW w:type="dxa" w:w="3628"/>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 xml:space="preserve">人工父类 + </w:t>
            </w:r>
            <w:r>
              <w:rPr>
                <w:rFonts w:ascii="Arial Unicode MS" w:hAnsi="Arial Unicode MS" w:eastAsia="Arial Unicode MS"/>
                <w:b w:val="0"/>
                <w:i w:val="0"/>
                <w:sz w:val="17"/>
              </w:rPr>
              <w:t>itn/par/pro/oth</w:t>
            </w:r>
            <w:r>
              <w:rPr>
                <w:rFonts w:ascii="Arial Unicode MS" w:hAnsi="Arial Unicode MS" w:eastAsia="Arial Unicode MS"/>
                <w:b w:val="0"/>
                <w:i w:val="0"/>
                <w:sz w:val="17"/>
              </w:rPr>
              <w:t>四子项</w:t>
            </w:r>
          </w:p>
        </w:tc>
        <w:tc>
          <w:tcPr>
            <w:tcW w:type="dxa" w:w="1641"/>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“住宿选青岛站附近，人均200以内”</w:t>
            </w:r>
          </w:p>
        </w:tc>
      </w:tr>
      <w:tr>
        <w:trPr>
          <w:cantSplit/>
        </w:trPr>
        <w:tc>
          <w:tcPr>
            <w:tcW w:type="dxa" w:w="60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CS-EDU</w:t>
            </w:r>
          </w:p>
        </w:tc>
        <w:tc>
          <w:tcPr>
            <w:tcW w:type="dxa" w:w="60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知识阐释型</w:t>
            </w:r>
          </w:p>
        </w:tc>
        <w:tc>
          <w:tcPr>
            <w:tcW w:type="dxa" w:w="2160"/>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介绍或解释文化、历史、地理、非遗、自然或社会知识</w:t>
            </w:r>
          </w:p>
        </w:tc>
        <w:tc>
          <w:tcPr>
            <w:tcW w:type="dxa" w:w="3628"/>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 xml:space="preserve">人工父类 + </w:t>
            </w:r>
            <w:r>
              <w:rPr>
                <w:rFonts w:ascii="Arial Unicode MS" w:hAnsi="Arial Unicode MS" w:eastAsia="Arial Unicode MS"/>
                <w:b w:val="0"/>
                <w:i w:val="0"/>
                <w:sz w:val="17"/>
              </w:rPr>
              <w:t>bkg/cau/mea/oth</w:t>
            </w:r>
            <w:r>
              <w:rPr>
                <w:rFonts w:ascii="Arial Unicode MS" w:hAnsi="Arial Unicode MS" w:eastAsia="Arial Unicode MS"/>
                <w:b w:val="0"/>
                <w:i w:val="0"/>
                <w:sz w:val="17"/>
              </w:rPr>
              <w:t>四子项</w:t>
            </w:r>
          </w:p>
        </w:tc>
        <w:tc>
          <w:tcPr>
            <w:tcW w:type="dxa" w:w="1641"/>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“栈桥始建于1892年”</w:t>
            </w:r>
          </w:p>
        </w:tc>
      </w:tr>
      <w:tr>
        <w:trPr>
          <w:cantSplit/>
        </w:trPr>
        <w:tc>
          <w:tcPr>
            <w:tcW w:type="dxa" w:w="60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CS-EMO</w:t>
            </w:r>
          </w:p>
        </w:tc>
        <w:tc>
          <w:tcPr>
            <w:tcW w:type="dxa" w:w="60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情感渲染型</w:t>
            </w:r>
          </w:p>
        </w:tc>
        <w:tc>
          <w:tcPr>
            <w:tcW w:type="dxa" w:w="2160"/>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通过感官、氛围或主体感受营造情绪效果</w:t>
            </w:r>
          </w:p>
        </w:tc>
        <w:tc>
          <w:tcPr>
            <w:tcW w:type="dxa" w:w="3628"/>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 xml:space="preserve">人工父类 + </w:t>
            </w:r>
            <w:r>
              <w:rPr>
                <w:rFonts w:ascii="Arial Unicode MS" w:hAnsi="Arial Unicode MS" w:eastAsia="Arial Unicode MS"/>
                <w:b w:val="0"/>
                <w:i w:val="0"/>
                <w:sz w:val="17"/>
              </w:rPr>
              <w:t>sen/atm/aff/oth</w:t>
            </w:r>
            <w:r>
              <w:rPr>
                <w:rFonts w:ascii="Arial Unicode MS" w:hAnsi="Arial Unicode MS" w:eastAsia="Arial Unicode MS"/>
                <w:b w:val="0"/>
                <w:i w:val="0"/>
                <w:sz w:val="17"/>
              </w:rPr>
              <w:t>四子项</w:t>
            </w:r>
          </w:p>
        </w:tc>
        <w:tc>
          <w:tcPr>
            <w:tcW w:type="dxa" w:w="1641"/>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“落日把海面染成金色”</w:t>
            </w:r>
          </w:p>
        </w:tc>
      </w:tr>
      <w:tr>
        <w:trPr>
          <w:cantSplit/>
        </w:trPr>
        <w:tc>
          <w:tcPr>
            <w:tcW w:type="dxa" w:w="60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CS-INT</w:t>
            </w:r>
          </w:p>
        </w:tc>
        <w:tc>
          <w:tcPr>
            <w:tcW w:type="dxa" w:w="60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互动激发型</w:t>
            </w:r>
          </w:p>
        </w:tc>
        <w:tc>
          <w:tcPr>
            <w:tcW w:type="dxa" w:w="2160"/>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以提问、互动行动号召或社群参与推动回应</w:t>
            </w:r>
          </w:p>
        </w:tc>
        <w:tc>
          <w:tcPr>
            <w:tcW w:type="dxa" w:w="3628"/>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 xml:space="preserve">人工父类 + </w:t>
            </w:r>
            <w:r>
              <w:rPr>
                <w:rFonts w:ascii="Arial Unicode MS" w:hAnsi="Arial Unicode MS" w:eastAsia="Arial Unicode MS"/>
                <w:b w:val="0"/>
                <w:i w:val="0"/>
                <w:sz w:val="17"/>
              </w:rPr>
              <w:t>is_que/is_dir/is_soc/is_oth/is_non</w:t>
            </w:r>
          </w:p>
        </w:tc>
        <w:tc>
          <w:tcPr>
            <w:tcW w:type="dxa" w:w="1641"/>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“你们觉得哪里最值得去？评论区告诉我”</w:t>
            </w:r>
          </w:p>
        </w:tc>
      </w:tr>
      <w:tr>
        <w:trPr>
          <w:cantSplit/>
        </w:trPr>
        <w:tc>
          <w:tcPr>
            <w:tcW w:type="dxa" w:w="60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CS-OTH</w:t>
            </w:r>
          </w:p>
        </w:tc>
        <w:tc>
          <w:tcPr>
            <w:tcW w:type="dxa" w:w="60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其他/未命中</w:t>
            </w:r>
          </w:p>
        </w:tc>
        <w:tc>
          <w:tcPr>
            <w:tcW w:type="dxa" w:w="2160"/>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未命中前四类的寒暄、结构、元话语、纯符号或残余表达</w:t>
            </w:r>
          </w:p>
        </w:tc>
        <w:tc>
          <w:tcPr>
            <w:tcW w:type="dxa" w:w="3628"/>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 xml:space="preserve">人工父类 + </w:t>
            </w:r>
            <w:r>
              <w:rPr>
                <w:rFonts w:ascii="Arial Unicode MS" w:hAnsi="Arial Unicode MS" w:eastAsia="Arial Unicode MS"/>
                <w:b w:val="0"/>
                <w:i w:val="0"/>
                <w:sz w:val="17"/>
              </w:rPr>
              <w:t>gre/str/met/sym/res</w:t>
            </w:r>
            <w:r>
              <w:rPr>
                <w:rFonts w:ascii="Arial Unicode MS" w:hAnsi="Arial Unicode MS" w:eastAsia="Arial Unicode MS"/>
                <w:b w:val="0"/>
                <w:i w:val="0"/>
                <w:sz w:val="17"/>
              </w:rPr>
              <w:t>五子项</w:t>
            </w:r>
          </w:p>
        </w:tc>
        <w:tc>
          <w:tcPr>
            <w:tcW w:type="dxa" w:w="1641"/>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“话不多说，下一部分说交通”</w:t>
            </w:r>
          </w:p>
        </w:tc>
      </w:tr>
    </w:tbl>
    <w:p/>
    <w:p>
      <w:pPr/>
      <w:r>
        <w:rPr>
          <w:b w:val="0"/>
          <w:i w:val="0"/>
        </w:rPr>
        <w:t>父类与子类关系、</w:t>
      </w:r>
      <w:r>
        <w:rPr>
          <w:rFonts w:ascii="Menlo" w:hAnsi="Menlo" w:eastAsia="Menlo"/>
          <w:b w:val="0"/>
          <w:i w:val="0"/>
          <w:sz w:val="21"/>
        </w:rPr>
        <w:t>is_non</w:t>
      </w:r>
      <w:r>
        <w:rPr>
          <w:b w:val="0"/>
          <w:i w:val="0"/>
        </w:rPr>
        <w:t>与正向互动子项的排除关系、</w:t>
      </w:r>
      <w:r>
        <w:rPr>
          <w:rFonts w:ascii="Menlo" w:hAnsi="Menlo" w:eastAsia="Menlo"/>
          <w:b w:val="0"/>
          <w:i w:val="0"/>
          <w:sz w:val="21"/>
        </w:rPr>
        <w:t>cs_oth</w:t>
      </w:r>
      <w:r>
        <w:rPr>
          <w:b w:val="0"/>
          <w:i w:val="0"/>
        </w:rPr>
        <w:t>的残余关系仅供复核。旧编号V5已并入</w:t>
      </w:r>
      <w:r>
        <w:rPr>
          <w:rFonts w:ascii="Menlo" w:hAnsi="Menlo" w:eastAsia="Menlo"/>
          <w:b w:val="0"/>
          <w:i w:val="0"/>
          <w:sz w:val="21"/>
        </w:rPr>
        <w:t>CS-INT</w:t>
      </w:r>
      <w:r>
        <w:rPr>
          <w:b w:val="0"/>
          <w:i w:val="0"/>
        </w:rPr>
        <w:t>子项层；普通旅行建议归</w:t>
      </w:r>
      <w:r>
        <w:rPr>
          <w:rFonts w:ascii="Menlo" w:hAnsi="Menlo" w:eastAsia="Menlo"/>
          <w:b w:val="0"/>
          <w:i w:val="0"/>
          <w:sz w:val="21"/>
        </w:rPr>
        <w:t>AT-SUG</w:t>
      </w:r>
      <w:r>
        <w:rPr>
          <w:b w:val="0"/>
          <w:i w:val="0"/>
        </w:rPr>
        <w:t>，只有要求评论、点赞、收藏、转发、关注或参与的号召才进入</w:t>
      </w:r>
      <w:r>
        <w:rPr>
          <w:rFonts w:ascii="Menlo" w:hAnsi="Menlo" w:eastAsia="Menlo"/>
          <w:b w:val="0"/>
          <w:i w:val="0"/>
          <w:sz w:val="21"/>
        </w:rPr>
        <w:t>is_dir</w:t>
      </w:r>
      <w:r>
        <w:rPr>
          <w:b w:val="0"/>
          <w:i w:val="0"/>
        </w:rPr>
        <w:t>。CS-COM不再作为片段标签，明确商业披露由V1记录。</w:t>
      </w:r>
    </w:p>
    <w:p>
      <w:pPr/>
      <w:r>
        <w:rPr>
          <w:b/>
          <w:i w:val="0"/>
        </w:rPr>
        <w:t>V4 目的地资源（片段级，三级编码，可多选，每维度0/1）</w:t>
      </w:r>
    </w:p>
    <w:p>
      <w:pPr/>
      <w:r>
        <w:rPr>
          <w:b w:val="0"/>
          <w:i w:val="0"/>
        </w:rPr>
        <w:t>该维度回答的问题是："创作者在句子中调用了目的地的哪类资源？"</w:t>
      </w:r>
    </w:p>
    <w:p>
      <w:pPr>
        <w:pStyle w:val="af5"/>
      </w:pPr>
      <w:r>
        <w:rPr>
          <w:b/>
          <w:i w:val="0"/>
        </w:rPr>
        <w:t>设计依据</w:t>
      </w:r>
      <w:r>
        <w:rPr>
          <w:b w:val="0"/>
          <w:i w:val="0"/>
        </w:rPr>
        <w:t>：v3.1按《旅游资源分类、调查与评价》（GB/T 18972-2017）重构旧编号V2（现V4），v3.10进一步把宽泛“旅游活动”拆为休闲游憩与节事文体事件。编码员同时判断Layer 1两个基本大类、Layer 2十个资源亚类和Layer 3四个事件子类；层级关系只用于冲突复核，不自动补写。</w:t>
      </w:r>
    </w:p>
    <w:p>
      <w:pPr/>
      <w:r>
        <w:rPr>
          <w:b/>
          <w:i w:val="0"/>
        </w:rPr>
        <w:t>Layer 1：基本大类（编码员人工标注）</w:t>
      </w:r>
    </w:p>
    <w:tbl>
      <w:tblPr>
        <w:tblStyle w:val="aff1"/>
        <w:tblW w:type="auto" w:w="0"/>
        <w:jc w:val="center"/>
        <w:tblLayout w:type="fixed"/>
        <w:tblLook w:firstColumn="1" w:firstRow="1" w:lastColumn="0" w:lastRow="0" w:noHBand="0" w:noVBand="1" w:val="04A0"/>
      </w:tblPr>
      <w:tblGrid>
        <w:gridCol w:w="2880"/>
        <w:gridCol w:w="2880"/>
        <w:gridCol w:w="2880"/>
      </w:tblGrid>
      <w:tr>
        <w:trPr>
          <w:tblHeader w:val="true"/>
          <w:cantSplit/>
        </w:trPr>
        <w:tc>
          <w:tcPr>
            <w:tcW w:type="dxa" w:w="1890"/>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代码</w:t>
            </w:r>
          </w:p>
        </w:tc>
        <w:tc>
          <w:tcPr>
            <w:tcW w:type="dxa" w:w="1890"/>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大类</w:t>
            </w:r>
          </w:p>
        </w:tc>
        <w:tc>
          <w:tcPr>
            <w:tcW w:type="dxa" w:w="4860"/>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复核关系</w:t>
            </w:r>
          </w:p>
        </w:tc>
      </w:tr>
      <w:tr>
        <w:trPr>
          <w:cantSplit/>
        </w:trPr>
        <w:tc>
          <w:tcPr>
            <w:tcW w:type="dxa" w:w="1890"/>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RS-N</w:t>
            </w:r>
          </w:p>
        </w:tc>
        <w:tc>
          <w:tcPr>
            <w:tcW w:type="dxa" w:w="1890"/>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自然旅游资源</w:t>
            </w:r>
          </w:p>
        </w:tc>
        <w:tc>
          <w:tcPr>
            <w:tcW w:type="dxa" w:w="4860"/>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与四个自然资源亚类的OR关系仅供复核</w:t>
            </w:r>
          </w:p>
        </w:tc>
      </w:tr>
      <w:tr>
        <w:trPr>
          <w:cantSplit/>
        </w:trPr>
        <w:tc>
          <w:tcPr>
            <w:tcW w:type="dxa" w:w="1890"/>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RS-R</w:t>
            </w:r>
          </w:p>
        </w:tc>
        <w:tc>
          <w:tcPr>
            <w:tcW w:type="dxa" w:w="1890"/>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人文旅游资源</w:t>
            </w:r>
          </w:p>
        </w:tc>
        <w:tc>
          <w:tcPr>
            <w:tcW w:type="dxa" w:w="4860"/>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与六个人文资源亚类的OR关系仅供复核</w:t>
            </w:r>
          </w:p>
        </w:tc>
      </w:tr>
    </w:tbl>
    <w:p/>
    <w:p>
      <w:pPr/>
      <w:r>
        <w:rPr>
          <w:b/>
          <w:i w:val="0"/>
        </w:rPr>
        <w:t>Layer 2：资源亚类（编码员标注）</w:t>
      </w:r>
    </w:p>
    <w:p>
      <w:pPr/>
      <w:r>
        <w:rPr>
          <w:b w:val="0"/>
          <w:i/>
        </w:rPr>
        <w:t>RS-N 自然旅游资源（4个亚类）</w:t>
      </w:r>
    </w:p>
    <w:tbl>
      <w:tblPr>
        <w:tblStyle w:val="aff1"/>
        <w:tblW w:type="auto" w:w="0"/>
        <w:jc w:val="center"/>
        <w:tblLayout w:type="fixed"/>
        <w:tblLook w:firstColumn="1" w:firstRow="1" w:lastColumn="0" w:lastRow="0" w:noHBand="0" w:noVBand="1" w:val="04A0"/>
      </w:tblPr>
      <w:tblGrid>
        <w:gridCol w:w="2160"/>
        <w:gridCol w:w="2160"/>
        <w:gridCol w:w="2160"/>
        <w:gridCol w:w="2160"/>
      </w:tblGrid>
      <w:tr>
        <w:trPr>
          <w:tblHeader w:val="true"/>
          <w:cantSplit/>
        </w:trPr>
        <w:tc>
          <w:tcPr>
            <w:tcW w:type="dxa" w:w="1152"/>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代码</w:t>
            </w:r>
          </w:p>
        </w:tc>
        <w:tc>
          <w:tcPr>
            <w:tcW w:type="dxa" w:w="1007"/>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亚类</w:t>
            </w:r>
          </w:p>
        </w:tc>
        <w:tc>
          <w:tcPr>
            <w:tcW w:type="dxa" w:w="3168"/>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定义</w:t>
            </w:r>
          </w:p>
        </w:tc>
        <w:tc>
          <w:tcPr>
            <w:tcW w:type="dxa" w:w="3311"/>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语义锚点</w:t>
            </w:r>
          </w:p>
        </w:tc>
      </w:tr>
      <w:tr>
        <w:trPr>
          <w:cantSplit/>
        </w:trPr>
        <w:tc>
          <w:tcPr>
            <w:tcW w:type="dxa" w:w="1152"/>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RS-N-GEO</w:t>
            </w:r>
          </w:p>
        </w:tc>
        <w:tc>
          <w:tcPr>
            <w:tcW w:type="dxa" w:w="1007"/>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地文景观</w:t>
            </w:r>
          </w:p>
        </w:tc>
        <w:tc>
          <w:tcPr>
            <w:tcW w:type="dxa" w:w="3168"/>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山岳、岩石、地貌、洞穴、沙滩等地质地貌景观</w:t>
            </w:r>
          </w:p>
        </w:tc>
        <w:tc>
          <w:tcPr>
            <w:tcW w:type="dxa" w:w="3311"/>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崂山、信号山、浮山、沙滩、礁石</w:t>
            </w:r>
          </w:p>
        </w:tc>
      </w:tr>
      <w:tr>
        <w:trPr>
          <w:cantSplit/>
        </w:trPr>
        <w:tc>
          <w:tcPr>
            <w:tcW w:type="dxa" w:w="1152"/>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RS-N-WAT</w:t>
            </w:r>
          </w:p>
        </w:tc>
        <w:tc>
          <w:tcPr>
            <w:tcW w:type="dxa" w:w="1007"/>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水域风光</w:t>
            </w:r>
          </w:p>
        </w:tc>
        <w:tc>
          <w:tcPr>
            <w:tcW w:type="dxa" w:w="3168"/>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海洋、河流、湖泊、瀑布、泉水等水域景观</w:t>
            </w:r>
          </w:p>
        </w:tc>
        <w:tc>
          <w:tcPr>
            <w:tcW w:type="dxa" w:w="3311"/>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大海、海滨、胶州湾、汇泉湾</w:t>
            </w:r>
          </w:p>
        </w:tc>
      </w:tr>
      <w:tr>
        <w:trPr>
          <w:cantSplit/>
        </w:trPr>
        <w:tc>
          <w:tcPr>
            <w:tcW w:type="dxa" w:w="1152"/>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RS-N-BIO</w:t>
            </w:r>
          </w:p>
        </w:tc>
        <w:tc>
          <w:tcPr>
            <w:tcW w:type="dxa" w:w="1007"/>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生物景观</w:t>
            </w:r>
          </w:p>
        </w:tc>
        <w:tc>
          <w:tcPr>
            <w:tcW w:type="dxa" w:w="3168"/>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动物、植物、森林、花海等生物资源</w:t>
            </w:r>
          </w:p>
        </w:tc>
        <w:tc>
          <w:tcPr>
            <w:tcW w:type="dxa" w:w="3311"/>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海鸥、荷花、古树、花海</w:t>
            </w:r>
          </w:p>
        </w:tc>
      </w:tr>
      <w:tr>
        <w:trPr>
          <w:cantSplit/>
        </w:trPr>
        <w:tc>
          <w:tcPr>
            <w:tcW w:type="dxa" w:w="1152"/>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RS-N-CLI</w:t>
            </w:r>
          </w:p>
        </w:tc>
        <w:tc>
          <w:tcPr>
            <w:tcW w:type="dxa" w:w="1007"/>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天象气候</w:t>
            </w:r>
          </w:p>
        </w:tc>
        <w:tc>
          <w:tcPr>
            <w:tcW w:type="dxa" w:w="3168"/>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日出、日落、星空、云海、雪景等天象与气候景观</w:t>
            </w:r>
          </w:p>
        </w:tc>
        <w:tc>
          <w:tcPr>
            <w:tcW w:type="dxa" w:w="3311"/>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崂山日出、石老人日出、海滨日落、海上日出、星空</w:t>
            </w:r>
          </w:p>
        </w:tc>
      </w:tr>
    </w:tbl>
    <w:p/>
    <w:p>
      <w:pPr/>
      <w:r>
        <w:rPr>
          <w:b w:val="0"/>
          <w:i/>
        </w:rPr>
        <w:t>RS-R 人文旅游资源（6个亚类）</w:t>
      </w:r>
    </w:p>
    <w:tbl>
      <w:tblPr>
        <w:tblStyle w:val="aff1"/>
        <w:tblW w:type="auto" w:w="0"/>
        <w:jc w:val="center"/>
        <w:tblLayout w:type="fixed"/>
        <w:tblLook w:firstColumn="1" w:firstRow="1" w:lastColumn="0" w:lastRow="0" w:noHBand="0" w:noVBand="1" w:val="04A0"/>
      </w:tblPr>
      <w:tblGrid>
        <w:gridCol w:w="2160"/>
        <w:gridCol w:w="2160"/>
        <w:gridCol w:w="2160"/>
        <w:gridCol w:w="2160"/>
      </w:tblGrid>
      <w:tr>
        <w:trPr>
          <w:tblHeader w:val="true"/>
          <w:cantSplit/>
        </w:trPr>
        <w:tc>
          <w:tcPr>
            <w:tcW w:type="dxa" w:w="921"/>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代码</w:t>
            </w:r>
          </w:p>
        </w:tc>
        <w:tc>
          <w:tcPr>
            <w:tcW w:type="dxa" w:w="806"/>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亚类</w:t>
            </w:r>
          </w:p>
        </w:tc>
        <w:tc>
          <w:tcPr>
            <w:tcW w:type="dxa" w:w="4492"/>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定义</w:t>
            </w:r>
          </w:p>
        </w:tc>
        <w:tc>
          <w:tcPr>
            <w:tcW w:type="dxa" w:w="2419"/>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语义锚点</w:t>
            </w:r>
          </w:p>
        </w:tc>
      </w:tr>
      <w:tr>
        <w:trPr>
          <w:cantSplit/>
        </w:trPr>
        <w:tc>
          <w:tcPr>
            <w:tcW w:type="dxa" w:w="921"/>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RS-R-HIS</w:t>
            </w:r>
          </w:p>
        </w:tc>
        <w:tc>
          <w:tcPr>
            <w:tcW w:type="dxa" w:w="806"/>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遗址遗迹</w:t>
            </w:r>
          </w:p>
        </w:tc>
        <w:tc>
          <w:tcPr>
            <w:tcW w:type="dxa" w:w="4492"/>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以历史价值或遗产身份被提及的遗址、古建筑、文物和历史街区</w:t>
            </w:r>
          </w:p>
        </w:tc>
        <w:tc>
          <w:tcPr>
            <w:tcW w:type="dxa" w:w="241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栈桥、八大关、天主教堂、德国总督府旧址</w:t>
            </w:r>
          </w:p>
        </w:tc>
      </w:tr>
      <w:tr>
        <w:trPr>
          <w:cantSplit/>
        </w:trPr>
        <w:tc>
          <w:tcPr>
            <w:tcW w:type="dxa" w:w="921"/>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RS-R-ARC</w:t>
            </w:r>
          </w:p>
        </w:tc>
        <w:tc>
          <w:tcPr>
            <w:tcW w:type="dxa" w:w="806"/>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建筑设施</w:t>
            </w:r>
          </w:p>
        </w:tc>
        <w:tc>
          <w:tcPr>
            <w:tcW w:type="dxa" w:w="4492"/>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以当代使用功能被提及的建筑、景区设施、住宿、交通和公共服务设施</w:t>
            </w:r>
          </w:p>
        </w:tc>
        <w:tc>
          <w:tcPr>
            <w:tcW w:type="dxa" w:w="241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酒店、民宿、高铁、缆车、停车场</w:t>
            </w:r>
          </w:p>
        </w:tc>
      </w:tr>
      <w:tr>
        <w:trPr>
          <w:cantSplit/>
        </w:trPr>
        <w:tc>
          <w:tcPr>
            <w:tcW w:type="dxa" w:w="921"/>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RS-R-GAS</w:t>
            </w:r>
          </w:p>
        </w:tc>
        <w:tc>
          <w:tcPr>
            <w:tcW w:type="dxa" w:w="806"/>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饮食文化</w:t>
            </w:r>
          </w:p>
        </w:tc>
        <w:tc>
          <w:tcPr>
            <w:tcW w:type="dxa" w:w="4492"/>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地方美食、特色饮品、餐饮体验、夜市小吃等</w:t>
            </w:r>
          </w:p>
        </w:tc>
        <w:tc>
          <w:tcPr>
            <w:tcW w:type="dxa" w:w="241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海鲜、青岛啤酒、鲅鱼水饺、烧烤、野馄饨</w:t>
            </w:r>
          </w:p>
        </w:tc>
      </w:tr>
      <w:tr>
        <w:trPr>
          <w:cantSplit/>
        </w:trPr>
        <w:tc>
          <w:tcPr>
            <w:tcW w:type="dxa" w:w="921"/>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RS-R-FOL</w:t>
            </w:r>
          </w:p>
        </w:tc>
        <w:tc>
          <w:tcPr>
            <w:tcW w:type="dxa" w:w="806"/>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民俗风情</w:t>
            </w:r>
          </w:p>
        </w:tc>
        <w:tc>
          <w:tcPr>
            <w:tcW w:type="dxa" w:w="4492"/>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非遗技艺、民俗传统、地方礼俗、宗教文化和方言；事件本身不自动触发</w:t>
            </w:r>
          </w:p>
        </w:tc>
        <w:tc>
          <w:tcPr>
            <w:tcW w:type="dxa" w:w="241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非遗、道教（崂山）、海洋民俗、地方仪式</w:t>
            </w:r>
          </w:p>
        </w:tc>
      </w:tr>
      <w:tr>
        <w:trPr>
          <w:cantSplit/>
        </w:trPr>
        <w:tc>
          <w:tcPr>
            <w:tcW w:type="dxa" w:w="921"/>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RS-R-REC</w:t>
            </w:r>
          </w:p>
        </w:tc>
        <w:tc>
          <w:tcPr>
            <w:tcW w:type="dxa" w:w="806"/>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休闲游憩活动</w:t>
            </w:r>
          </w:p>
        </w:tc>
        <w:tc>
          <w:tcPr>
            <w:tcW w:type="dxa" w:w="4492"/>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不依赖特定场次、赛期、节期或届次即可反复获得的游览、休闲、运动、观光或互动体验</w:t>
            </w:r>
          </w:p>
        </w:tc>
        <w:tc>
          <w:tcPr>
            <w:tcW w:type="dxa" w:w="241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赶海、骑行、露营、潜水、游船观光、喂海鸥</w:t>
            </w:r>
          </w:p>
        </w:tc>
      </w:tr>
      <w:tr>
        <w:trPr>
          <w:cantSplit/>
        </w:trPr>
        <w:tc>
          <w:tcPr>
            <w:tcW w:type="dxa" w:w="921"/>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RS-R-EVT</w:t>
            </w:r>
          </w:p>
        </w:tc>
        <w:tc>
          <w:tcPr>
            <w:tcW w:type="dxa" w:w="806"/>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节事与文体事件</w:t>
            </w:r>
          </w:p>
        </w:tc>
        <w:tc>
          <w:tcPr>
            <w:tcW w:type="dxa" w:w="4492"/>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依赖特定场次、赛期、节期、展期或届次而发生的时限性事件</w:t>
            </w:r>
          </w:p>
        </w:tc>
        <w:tc>
          <w:tcPr>
            <w:tcW w:type="dxa" w:w="241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马拉松、足球赛、演唱会、音乐节、青岛啤酒节</w:t>
            </w:r>
          </w:p>
        </w:tc>
      </w:tr>
    </w:tbl>
    <w:p/>
    <w:p>
      <w:pPr/>
      <w:r>
        <w:rPr>
          <w:b w:val="0"/>
          <w:i/>
        </w:rPr>
        <w:t>Layer 3 节事与文体事件子类</w:t>
      </w:r>
    </w:p>
    <w:tbl>
      <w:tblPr>
        <w:tblStyle w:val="aff1"/>
        <w:tblW w:type="auto" w:w="0"/>
        <w:jc w:val="center"/>
        <w:tblLayout w:type="fixed"/>
        <w:tblLook w:firstColumn="1" w:firstRow="1" w:lastColumn="0" w:lastRow="0" w:noHBand="0" w:noVBand="1" w:val="04A0"/>
      </w:tblPr>
      <w:tblGrid>
        <w:gridCol w:w="2160"/>
        <w:gridCol w:w="2160"/>
        <w:gridCol w:w="2160"/>
        <w:gridCol w:w="2160"/>
      </w:tblGrid>
      <w:tr>
        <w:trPr>
          <w:tblHeader w:val="true"/>
          <w:cantSplit/>
        </w:trPr>
        <w:tc>
          <w:tcPr>
            <w:tcW w:type="dxa" w:w="1209"/>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代码</w:t>
            </w:r>
          </w:p>
        </w:tc>
        <w:tc>
          <w:tcPr>
            <w:tcW w:type="dxa" w:w="1555"/>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子类</w:t>
            </w:r>
          </w:p>
        </w:tc>
        <w:tc>
          <w:tcPr>
            <w:tcW w:type="dxa" w:w="3628"/>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操作定义</w:t>
            </w:r>
          </w:p>
        </w:tc>
        <w:tc>
          <w:tcPr>
            <w:tcW w:type="dxa" w:w="2246"/>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示例</w:t>
            </w:r>
          </w:p>
        </w:tc>
      </w:tr>
      <w:tr>
        <w:trPr>
          <w:cantSplit/>
        </w:trPr>
        <w:tc>
          <w:tcPr>
            <w:tcW w:type="dxa" w:w="120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EVT-SPT</w:t>
            </w:r>
          </w:p>
        </w:tc>
        <w:tc>
          <w:tcPr>
            <w:tcW w:type="dxa" w:w="1555"/>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体育赛事</w:t>
            </w:r>
          </w:p>
        </w:tc>
        <w:tc>
          <w:tcPr>
            <w:tcW w:type="dxa" w:w="3628"/>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具有竞赛、赛会或职业/大众体育赛事属性</w:t>
            </w:r>
          </w:p>
        </w:tc>
        <w:tc>
          <w:tcPr>
            <w:tcW w:type="dxa" w:w="2246"/>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马拉松、足球赛、帆船赛</w:t>
            </w:r>
          </w:p>
        </w:tc>
      </w:tr>
      <w:tr>
        <w:trPr>
          <w:cantSplit/>
        </w:trPr>
        <w:tc>
          <w:tcPr>
            <w:tcW w:type="dxa" w:w="120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EVT-PER</w:t>
            </w:r>
          </w:p>
        </w:tc>
        <w:tc>
          <w:tcPr>
            <w:tcW w:type="dxa" w:w="1555"/>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演艺活动</w:t>
            </w:r>
          </w:p>
        </w:tc>
        <w:tc>
          <w:tcPr>
            <w:tcW w:type="dxa" w:w="3628"/>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以音乐、戏剧、舞蹈、曲艺或现场表演为核心</w:t>
            </w:r>
          </w:p>
        </w:tc>
        <w:tc>
          <w:tcPr>
            <w:tcW w:type="dxa" w:w="2246"/>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演唱会、音乐演出、舞台剧</w:t>
            </w:r>
          </w:p>
        </w:tc>
      </w:tr>
      <w:tr>
        <w:trPr>
          <w:cantSplit/>
        </w:trPr>
        <w:tc>
          <w:tcPr>
            <w:tcW w:type="dxa" w:w="120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EVT-FES</w:t>
            </w:r>
          </w:p>
        </w:tc>
        <w:tc>
          <w:tcPr>
            <w:tcW w:type="dxa" w:w="1555"/>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节庆会展</w:t>
            </w:r>
          </w:p>
        </w:tc>
        <w:tc>
          <w:tcPr>
            <w:tcW w:type="dxa" w:w="3628"/>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以节庆、庆典、主题节、展览或会议会展为核心</w:t>
            </w:r>
          </w:p>
        </w:tc>
        <w:tc>
          <w:tcPr>
            <w:tcW w:type="dxa" w:w="2246"/>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啤酒节、灯会、博览会</w:t>
            </w:r>
          </w:p>
        </w:tc>
      </w:tr>
      <w:tr>
        <w:trPr>
          <w:cantSplit/>
        </w:trPr>
        <w:tc>
          <w:tcPr>
            <w:tcW w:type="dxa" w:w="120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EVT-OTH</w:t>
            </w:r>
          </w:p>
        </w:tc>
        <w:tc>
          <w:tcPr>
            <w:tcW w:type="dxa" w:w="1555"/>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其他节事与文体事件</w:t>
            </w:r>
          </w:p>
        </w:tc>
        <w:tc>
          <w:tcPr>
            <w:tcW w:type="dxa" w:w="3628"/>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已满足事件父类但不属于三个具名子类</w:t>
            </w:r>
          </w:p>
        </w:tc>
        <w:tc>
          <w:tcPr>
            <w:tcW w:type="dxa" w:w="2246"/>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颁奖活动、其他主题公共活动</w:t>
            </w:r>
          </w:p>
        </w:tc>
      </w:tr>
    </w:tbl>
    <w:p/>
    <w:p>
      <w:pPr/>
      <w:r>
        <w:rPr>
          <w:b/>
          <w:i w:val="0"/>
        </w:rPr>
        <w:t>编码规则</w:t>
      </w:r>
      <w:r>
        <w:rPr>
          <w:b w:val="0"/>
          <w:i w:val="0"/>
        </w:rPr>
        <w:t>：</w:t>
      </w:r>
    </w:p>
    <w:p>
      <w:pPr>
        <w:spacing w:after="80"/>
        <w:ind w:left="403" w:hanging="403"/>
      </w:pPr>
      <w:r>
        <w:rPr>
          <w:b w:val="0"/>
          <w:i w:val="0"/>
        </w:rPr>
        <w:t>1. 编码员标注Layer 1两个父类、Layer 2十个亚类、Layer 3四个事件子类及其证据位置</w:t>
      </w:r>
    </w:p>
    <w:p>
      <w:pPr>
        <w:spacing w:after="80"/>
        <w:ind w:left="403" w:hanging="403"/>
      </w:pPr>
      <w:r>
        <w:rPr>
          <w:b w:val="0"/>
          <w:i w:val="0"/>
        </w:rPr>
        <w:t>2. 每维度 0/1，可同时激活多个亚类</w:t>
      </w:r>
    </w:p>
    <w:p>
      <w:pPr>
        <w:spacing w:after="80"/>
        <w:ind w:left="403" w:hanging="403"/>
      </w:pPr>
      <w:r>
        <w:rPr>
          <w:b w:val="0"/>
          <w:i w:val="0"/>
        </w:rPr>
        <w:t>3. 片段直接提及或描述相应旅游资源时标记该亚类；多个资源亚类可以共现</w:t>
      </w:r>
    </w:p>
    <w:p>
      <w:pPr>
        <w:spacing w:after="80"/>
        <w:ind w:left="403" w:hanging="403"/>
      </w:pPr>
      <w:r>
        <w:rPr>
          <w:b w:val="0"/>
          <w:i w:val="0"/>
        </w:rPr>
        <w:t xml:space="preserve">4. </w:t>
      </w:r>
      <w:r>
        <w:rPr>
          <w:rFonts w:ascii="Menlo" w:hAnsi="Menlo" w:eastAsia="Menlo"/>
          <w:b w:val="0"/>
          <w:i w:val="0"/>
          <w:sz w:val="21"/>
        </w:rPr>
        <w:t>REC</w:t>
      </w:r>
      <w:r>
        <w:rPr>
          <w:b w:val="0"/>
          <w:i w:val="0"/>
        </w:rPr>
        <w:t>与</w:t>
      </w:r>
      <w:r>
        <w:rPr>
          <w:rFonts w:ascii="Menlo" w:hAnsi="Menlo" w:eastAsia="Menlo"/>
          <w:b w:val="0"/>
          <w:i w:val="0"/>
          <w:sz w:val="21"/>
        </w:rPr>
        <w:t>EVT</w:t>
      </w:r>
      <w:r>
        <w:rPr>
          <w:b w:val="0"/>
          <w:i w:val="0"/>
        </w:rPr>
        <w:t>按是否依赖特定时限事件区分，不按收费或组织主体区分；游船观光属于</w:t>
      </w:r>
      <w:r>
        <w:rPr>
          <w:rFonts w:ascii="Menlo" w:hAnsi="Menlo" w:eastAsia="Menlo"/>
          <w:b w:val="0"/>
          <w:i w:val="0"/>
          <w:sz w:val="21"/>
        </w:rPr>
        <w:t>REC</w:t>
      </w:r>
      <w:r>
        <w:rPr>
          <w:b w:val="0"/>
          <w:i w:val="0"/>
        </w:rPr>
        <w:t>，帆船赛属于</w:t>
      </w:r>
      <w:r>
        <w:rPr>
          <w:rFonts w:ascii="Menlo" w:hAnsi="Menlo" w:eastAsia="Menlo"/>
          <w:b w:val="0"/>
          <w:i w:val="0"/>
          <w:sz w:val="21"/>
        </w:rPr>
        <w:t>EVT + EVT-SPT</w:t>
      </w:r>
    </w:p>
    <w:p>
      <w:pPr>
        <w:spacing w:after="80"/>
        <w:ind w:left="403" w:hanging="403"/>
      </w:pPr>
      <w:r>
        <w:rPr>
          <w:b w:val="0"/>
          <w:i w:val="0"/>
        </w:rPr>
        <w:t>5. 音乐节可同时标</w:t>
      </w:r>
      <w:r>
        <w:rPr>
          <w:rFonts w:ascii="Menlo" w:hAnsi="Menlo" w:eastAsia="Menlo"/>
          <w:b w:val="0"/>
          <w:i w:val="0"/>
          <w:sz w:val="21"/>
        </w:rPr>
        <w:t>EVT-FES + EVT-PER</w:t>
      </w:r>
      <w:r>
        <w:rPr>
          <w:b w:val="0"/>
          <w:i w:val="0"/>
        </w:rPr>
        <w:t>；啤酒节仅在直接描述啤酒或饮食体验时并标</w:t>
      </w:r>
      <w:r>
        <w:rPr>
          <w:rFonts w:ascii="Menlo" w:hAnsi="Menlo" w:eastAsia="Menlo"/>
          <w:b w:val="0"/>
          <w:i w:val="0"/>
          <w:sz w:val="21"/>
        </w:rPr>
        <w:t>RS-R-GAS</w:t>
      </w:r>
      <w:r>
        <w:rPr>
          <w:b w:val="0"/>
          <w:i w:val="0"/>
        </w:rPr>
        <w:t>，仅在直接调用民俗传统时并标</w:t>
      </w:r>
      <w:r>
        <w:rPr>
          <w:rFonts w:ascii="Menlo" w:hAnsi="Menlo" w:eastAsia="Menlo"/>
          <w:b w:val="0"/>
          <w:i w:val="0"/>
          <w:sz w:val="21"/>
        </w:rPr>
        <w:t>RS-R-FOL</w:t>
      </w:r>
    </w:p>
    <w:p>
      <w:pPr>
        <w:spacing w:after="80"/>
        <w:ind w:left="403" w:hanging="403"/>
      </w:pPr>
      <w:r>
        <w:rPr>
          <w:b w:val="0"/>
          <w:i w:val="0"/>
        </w:rPr>
        <w:t>6. 若片段不涉及任何具体目的地资源（如纯寒暄、纯过渡句），十个Layer 2亚类及四个事件子类全部标记为0</w:t>
      </w:r>
    </w:p>
    <w:p>
      <w:pPr/>
      <w:r>
        <w:rPr>
          <w:rFonts w:ascii="Menlo" w:hAnsi="Menlo" w:eastAsia="Menlo"/>
          <w:b w:val="0"/>
          <w:i w:val="0"/>
          <w:sz w:val="21"/>
        </w:rPr>
        <w:t>RS-R-HIS</w:t>
      </w:r>
      <w:r>
        <w:rPr>
          <w:b w:val="0"/>
          <w:i w:val="0"/>
        </w:rPr>
        <w:t>与</w:t>
      </w:r>
      <w:r>
        <w:rPr>
          <w:rFonts w:ascii="Menlo" w:hAnsi="Menlo" w:eastAsia="Menlo"/>
          <w:b w:val="0"/>
          <w:i w:val="0"/>
          <w:sz w:val="21"/>
        </w:rPr>
        <w:t>RS-R-ARC</w:t>
      </w:r>
      <w:r>
        <w:rPr>
          <w:b w:val="0"/>
          <w:i w:val="0"/>
        </w:rPr>
        <w:t>按片段调用的对象属性区分：强调年代、遗产或历史意义时标HIS；强调住宿、交通、服务或当代使用功能时标ARC；同一对象若同时调用两类属性，可同时为1。</w:t>
      </w:r>
    </w:p>
    <w:p>
      <w:pPr/>
      <w:r>
        <w:rPr>
          <w:rFonts w:ascii="Menlo" w:hAnsi="Menlo" w:eastAsia="Menlo"/>
          <w:b w:val="0"/>
          <w:i w:val="0"/>
          <w:sz w:val="21"/>
        </w:rPr>
        <w:t>RS-R-ACT/rs_r_act = rs_r_rec OR rs_r_evt</w:t>
      </w:r>
      <w:r>
        <w:rPr>
          <w:b w:val="0"/>
          <w:i w:val="0"/>
        </w:rPr>
        <w:t>仅在分析阶段汇总，不进入人工金标、置信度、证据跨度或模型输出。v3.9.0及以前的人工</w:t>
      </w:r>
      <w:r>
        <w:rPr>
          <w:rFonts w:ascii="Menlo" w:hAnsi="Menlo" w:eastAsia="Menlo"/>
          <w:b w:val="0"/>
          <w:i w:val="0"/>
          <w:sz w:val="21"/>
        </w:rPr>
        <w:t>rs_r_act</w:t>
      </w:r>
      <w:r>
        <w:rPr>
          <w:b w:val="0"/>
          <w:i w:val="0"/>
        </w:rPr>
        <w:t>不能反推新版标签，受影响记录必须重编码。</w:t>
      </w:r>
    </w:p>
    <w:p>
      <w:pPr>
        <w:pStyle w:val="af5"/>
      </w:pPr>
      <w:r>
        <w:rPr>
          <w:b/>
          <w:i w:val="0"/>
        </w:rPr>
        <w:t>删除RS-ATM（氛围资源）的理由</w:t>
      </w:r>
      <w:r>
        <w:rPr>
          <w:b w:val="0"/>
          <w:i w:val="0"/>
        </w:rPr>
        <w:t>：氛围（“治愈”“烟火气”“浪漫”）不是一种旅游资源，而是创作者的呈现方式；感官与氛围渲染由V3的</w:t>
      </w:r>
      <w:r>
        <w:rPr>
          <w:rFonts w:ascii="Menlo" w:hAnsi="Menlo" w:eastAsia="Menlo"/>
          <w:b w:val="0"/>
          <w:i w:val="0"/>
          <w:sz w:val="21"/>
        </w:rPr>
        <w:t>CS-EMO</w:t>
      </w:r>
      <w:r>
        <w:rPr>
          <w:b w:val="0"/>
          <w:i w:val="0"/>
        </w:rPr>
        <w:t>记录，明确价值判断由V5的</w:t>
      </w:r>
      <w:r>
        <w:rPr>
          <w:rFonts w:ascii="Menlo" w:hAnsi="Menlo" w:eastAsia="Menlo"/>
          <w:b w:val="0"/>
          <w:i w:val="0"/>
          <w:sz w:val="21"/>
        </w:rPr>
        <w:t>AT-EVL</w:t>
      </w:r>
      <w:r>
        <w:rPr>
          <w:b w:val="0"/>
          <w:i w:val="0"/>
        </w:rPr>
        <w:t>记录。V4据此只测量被调用的资源类型。</w:t>
      </w:r>
    </w:p>
    <w:p>
      <w:pPr/>
      <w:r>
        <w:rPr>
          <w:b/>
          <w:i w:val="0"/>
        </w:rPr>
        <w:t>V5 语言功能、情感方向与双向强度（片段级，可共现）</w:t>
      </w:r>
    </w:p>
    <w:p>
      <w:pPr/>
      <w:r>
        <w:rPr>
          <w:b w:val="0"/>
          <w:i w:val="0"/>
        </w:rPr>
        <w:t>V5回答“片段是否承担信息、评价或建议功能，以及评价或建议表达什么情感方向和强度”。三种实质功能可以共现；</w:t>
      </w:r>
      <w:r>
        <w:rPr>
          <w:rFonts w:ascii="Menlo" w:hAnsi="Menlo" w:eastAsia="Menlo"/>
          <w:b w:val="0"/>
          <w:i w:val="0"/>
          <w:sz w:val="21"/>
        </w:rPr>
        <w:t>AT-NON</w:t>
      </w:r>
      <w:r>
        <w:rPr>
          <w:b w:val="0"/>
          <w:i w:val="0"/>
        </w:rPr>
        <w:t>也由编码员人工判断，逻辑关系只作复核。</w:t>
      </w:r>
    </w:p>
    <w:tbl>
      <w:tblPr>
        <w:tblStyle w:val="aff1"/>
        <w:tblW w:type="auto" w:w="0"/>
        <w:jc w:val="center"/>
        <w:tblLayout w:type="fixed"/>
        <w:tblLook w:firstColumn="1" w:firstRow="1" w:lastColumn="0" w:lastRow="0" w:noHBand="0" w:noVBand="1" w:val="04A0"/>
      </w:tblPr>
      <w:tblGrid>
        <w:gridCol w:w="2160"/>
        <w:gridCol w:w="2160"/>
        <w:gridCol w:w="2160"/>
        <w:gridCol w:w="2160"/>
      </w:tblGrid>
      <w:tr>
        <w:trPr>
          <w:tblHeader w:val="true"/>
          <w:cantSplit/>
        </w:trPr>
        <w:tc>
          <w:tcPr>
            <w:tcW w:type="dxa" w:w="1163"/>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代码</w:t>
            </w:r>
          </w:p>
        </w:tc>
        <w:tc>
          <w:tcPr>
            <w:tcW w:type="dxa" w:w="1163"/>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类型</w:t>
            </w:r>
          </w:p>
        </w:tc>
        <w:tc>
          <w:tcPr>
            <w:tcW w:type="dxa" w:w="4984"/>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操作定义</w:t>
            </w:r>
          </w:p>
        </w:tc>
        <w:tc>
          <w:tcPr>
            <w:tcW w:type="dxa" w:w="1329"/>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记录方式</w:t>
            </w:r>
          </w:p>
        </w:tc>
      </w:tr>
      <w:tr>
        <w:trPr>
          <w:cantSplit/>
        </w:trPr>
        <w:tc>
          <w:tcPr>
            <w:tcW w:type="dxa" w:w="1163"/>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AT-INF</w:t>
            </w:r>
          </w:p>
        </w:tc>
        <w:tc>
          <w:tcPr>
            <w:tcW w:type="dxa" w:w="1163"/>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信息性陈述</w:t>
            </w:r>
          </w:p>
        </w:tc>
        <w:tc>
          <w:tcPr>
            <w:tcW w:type="dxa" w:w="498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包含至少一个可核验的时间、地点、属性、数据或知识命题</w:t>
            </w:r>
          </w:p>
        </w:tc>
        <w:tc>
          <w:tcPr>
            <w:tcW w:type="dxa" w:w="132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编码员0/1判断</w:t>
            </w:r>
          </w:p>
        </w:tc>
      </w:tr>
      <w:tr>
        <w:trPr>
          <w:cantSplit/>
        </w:trPr>
        <w:tc>
          <w:tcPr>
            <w:tcW w:type="dxa" w:w="1163"/>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AT-EVL</w:t>
            </w:r>
          </w:p>
        </w:tc>
        <w:tc>
          <w:tcPr>
            <w:tcW w:type="dxa" w:w="1163"/>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评价性表达</w:t>
            </w:r>
          </w:p>
        </w:tc>
        <w:tc>
          <w:tcPr>
            <w:tcW w:type="dxa" w:w="498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对目的地、设施或体验作出明确价值判断</w:t>
            </w:r>
          </w:p>
        </w:tc>
        <w:tc>
          <w:tcPr>
            <w:tcW w:type="dxa" w:w="132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编码员0/1判断</w:t>
            </w:r>
          </w:p>
        </w:tc>
      </w:tr>
      <w:tr>
        <w:trPr>
          <w:cantSplit/>
        </w:trPr>
        <w:tc>
          <w:tcPr>
            <w:tcW w:type="dxa" w:w="1163"/>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AT-SUG</w:t>
            </w:r>
          </w:p>
        </w:tc>
        <w:tc>
          <w:tcPr>
            <w:tcW w:type="dxa" w:w="1163"/>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建议/推荐</w:t>
            </w:r>
          </w:p>
        </w:tc>
        <w:tc>
          <w:tcPr>
            <w:tcW w:type="dxa" w:w="498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向受众提出行动建议、推荐或回避</w:t>
            </w:r>
          </w:p>
        </w:tc>
        <w:tc>
          <w:tcPr>
            <w:tcW w:type="dxa" w:w="132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编码员0/1判断</w:t>
            </w:r>
          </w:p>
        </w:tc>
      </w:tr>
      <w:tr>
        <w:trPr>
          <w:cantSplit/>
        </w:trPr>
        <w:tc>
          <w:tcPr>
            <w:tcW w:type="dxa" w:w="1163"/>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AT-NON</w:t>
            </w:r>
          </w:p>
        </w:tc>
        <w:tc>
          <w:tcPr>
            <w:tcW w:type="dxa" w:w="1163"/>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其他/未命中</w:t>
            </w:r>
          </w:p>
        </w:tc>
        <w:tc>
          <w:tcPr>
            <w:tcW w:type="dxa" w:w="498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未命中上述三种功能；可能仍含V3-CS-INT子项记录的互动</w:t>
            </w:r>
          </w:p>
        </w:tc>
        <w:tc>
          <w:tcPr>
            <w:tcW w:type="dxa" w:w="132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编码员0/1判断</w:t>
            </w:r>
          </w:p>
        </w:tc>
      </w:tr>
    </w:tbl>
    <w:p/>
    <w:p>
      <w:pPr/>
      <w:r>
        <w:rPr>
          <w:b w:val="0"/>
          <w:i w:val="0"/>
        </w:rPr>
        <w:t>“门票80元，很值得去”同时为</w:t>
      </w:r>
      <w:r>
        <w:rPr>
          <w:rFonts w:ascii="Menlo" w:hAnsi="Menlo" w:eastAsia="Menlo"/>
          <w:b w:val="0"/>
          <w:i w:val="0"/>
          <w:sz w:val="21"/>
        </w:rPr>
        <w:t>AT-INF=1</w:t>
      </w:r>
      <w:r>
        <w:rPr>
          <w:b w:val="0"/>
          <w:i w:val="0"/>
        </w:rPr>
        <w:t>和</w:t>
      </w:r>
      <w:r>
        <w:rPr>
          <w:rFonts w:ascii="Menlo" w:hAnsi="Menlo" w:eastAsia="Menlo"/>
          <w:b w:val="0"/>
          <w:i w:val="0"/>
          <w:sz w:val="21"/>
        </w:rPr>
        <w:t>AT-EVL=1</w:t>
      </w:r>
      <w:r>
        <w:rPr>
          <w:b w:val="0"/>
          <w:i w:val="0"/>
        </w:rPr>
        <w:t>；“人很多，建议早上去”同时为</w:t>
      </w:r>
      <w:r>
        <w:rPr>
          <w:rFonts w:ascii="Menlo" w:hAnsi="Menlo" w:eastAsia="Menlo"/>
          <w:b w:val="0"/>
          <w:i w:val="0"/>
          <w:sz w:val="21"/>
        </w:rPr>
        <w:t>AT-INF=1</w:t>
      </w:r>
      <w:r>
        <w:rPr>
          <w:b w:val="0"/>
          <w:i w:val="0"/>
        </w:rPr>
        <w:t>和</w:t>
      </w:r>
      <w:r>
        <w:rPr>
          <w:rFonts w:ascii="Menlo" w:hAnsi="Menlo" w:eastAsia="Menlo"/>
          <w:b w:val="0"/>
          <w:i w:val="0"/>
          <w:sz w:val="21"/>
        </w:rPr>
        <w:t>AT-SUG=1</w:t>
      </w:r>
      <w:r>
        <w:rPr>
          <w:b w:val="0"/>
          <w:i w:val="0"/>
        </w:rPr>
        <w:t>。因此本研究不使用</w:t>
      </w:r>
      <w:r>
        <w:rPr>
          <w:rFonts w:ascii="Menlo" w:hAnsi="Menlo" w:eastAsia="Menlo"/>
          <w:b w:val="0"/>
          <w:i w:val="0"/>
          <w:sz w:val="21"/>
        </w:rPr>
        <w:t>AT-SUG &gt; AT-EVL &gt; AT-INF</w:t>
      </w:r>
      <w:r>
        <w:rPr>
          <w:b w:val="0"/>
          <w:i w:val="0"/>
        </w:rPr>
        <w:t>优先级。编码表保留六类AT-EVL情感质量亚类：ADM（赞赏/惊叹）、SAT（满意/舒适）、EXC（兴奋/激动）、DIS（失望/不满）、FRU（沮丧/愤怒）和NOS（怀旧/感慨）。其单选或多选责任及多评价共现规则仍属T0，冻结前不得导出正式任务。</w:t>
      </w:r>
    </w:p>
    <w:p>
      <w:pPr/>
      <w:r>
        <w:rPr>
          <w:b w:val="0"/>
          <w:i w:val="0"/>
        </w:rPr>
        <w:t>片段含</w:t>
      </w:r>
      <w:r>
        <w:rPr>
          <w:rFonts w:ascii="Menlo" w:hAnsi="Menlo" w:eastAsia="Menlo"/>
          <w:b w:val="0"/>
          <w:i w:val="0"/>
          <w:sz w:val="21"/>
        </w:rPr>
        <w:t>AT-EVL</w:t>
      </w:r>
      <w:r>
        <w:rPr>
          <w:b w:val="0"/>
          <w:i w:val="0"/>
        </w:rPr>
        <w:t>或</w:t>
      </w:r>
      <w:r>
        <w:rPr>
          <w:rFonts w:ascii="Menlo" w:hAnsi="Menlo" w:eastAsia="Menlo"/>
          <w:b w:val="0"/>
          <w:i w:val="0"/>
          <w:sz w:val="21"/>
        </w:rPr>
        <w:t>AT-SUG</w:t>
      </w:r>
      <w:r>
        <w:rPr>
          <w:b w:val="0"/>
          <w:i w:val="0"/>
        </w:rPr>
        <w:t>时，编码员先判断</w:t>
      </w:r>
      <w:r>
        <w:rPr>
          <w:rFonts w:ascii="Menlo" w:hAnsi="Menlo" w:eastAsia="Menlo"/>
          <w:b w:val="0"/>
          <w:i w:val="0"/>
          <w:sz w:val="21"/>
        </w:rPr>
        <w:t>sentiment_judgeable</w:t>
      </w:r>
      <w:r>
        <w:rPr>
          <w:b w:val="0"/>
          <w:i w:val="0"/>
        </w:rPr>
        <w:t>。可判定时在POS、NEG、MIX、NEU中选择方向，并分别填写</w:t>
      </w:r>
      <w:r>
        <w:rPr>
          <w:rFonts w:ascii="Menlo" w:hAnsi="Menlo" w:eastAsia="Menlo"/>
          <w:b w:val="0"/>
          <w:i w:val="0"/>
          <w:sz w:val="21"/>
        </w:rPr>
        <w:t>sentiment_pos_val</w:t>
      </w:r>
      <w:r>
        <w:rPr>
          <w:b w:val="0"/>
          <w:i w:val="0"/>
        </w:rPr>
        <w:t>与</w:t>
      </w:r>
      <w:r>
        <w:rPr>
          <w:rFonts w:ascii="Menlo" w:hAnsi="Menlo" w:eastAsia="Menlo"/>
          <w:b w:val="0"/>
          <w:i w:val="0"/>
          <w:sz w:val="21"/>
        </w:rPr>
        <w:t>sentiment_neg_val</w:t>
      </w:r>
      <w:r>
        <w:rPr>
          <w:b w:val="0"/>
          <w:i w:val="0"/>
        </w:rPr>
        <w:t>两个0/1/2人工强度；不可判定或不适用时相关字段记</w:t>
      </w:r>
      <w:r>
        <w:rPr>
          <w:rFonts w:ascii="Menlo" w:hAnsi="Menlo" w:eastAsia="Menlo"/>
          <w:b w:val="0"/>
          <w:i w:val="0"/>
          <w:sz w:val="21"/>
        </w:rPr>
        <w:t>NA</w:t>
      </w:r>
      <w:r>
        <w:rPr>
          <w:b w:val="0"/>
          <w:i w:val="0"/>
        </w:rPr>
        <w:t>。任何净方向只能在分析阶段计算，不能覆盖双向人工值。</w:t>
      </w:r>
    </w:p>
    <w:p>
      <w:pPr/>
      <w:r>
        <w:rPr>
          <w:b/>
          <w:i w:val="0"/>
        </w:rPr>
        <w:t>V6 目的地属性指向（片段级，18个字段）</w:t>
      </w:r>
    </w:p>
    <w:p>
      <w:pPr/>
      <w:r>
        <w:rPr>
          <w:b w:val="0"/>
          <w:i w:val="0"/>
        </w:rPr>
        <w:t>V6从旧编号V3-L3独立出来，只记录评价或建议指向的方向中立属性，不携带正负方向。</w:t>
      </w:r>
      <w:r>
        <w:rPr>
          <w:rFonts w:ascii="Menlo" w:hAnsi="Menlo" w:eastAsia="Menlo"/>
          <w:b w:val="0"/>
          <w:i w:val="0"/>
          <w:sz w:val="21"/>
        </w:rPr>
        <w:t>asp_applicable</w:t>
      </w:r>
      <w:r>
        <w:rPr>
          <w:b w:val="0"/>
          <w:i w:val="0"/>
        </w:rPr>
        <w:t>、4个父类、12个子类和</w:t>
      </w:r>
      <w:r>
        <w:rPr>
          <w:rFonts w:ascii="Menlo" w:hAnsi="Menlo" w:eastAsia="Menlo"/>
          <w:b w:val="0"/>
          <w:i w:val="0"/>
          <w:sz w:val="21"/>
        </w:rPr>
        <w:t>asp_oth</w:t>
      </w:r>
      <w:r>
        <w:rPr>
          <w:b w:val="0"/>
          <w:i w:val="0"/>
        </w:rPr>
        <w:t>全部由编码员判断；不适用时其余字段记</w:t>
      </w:r>
      <w:r>
        <w:rPr>
          <w:rFonts w:ascii="Menlo" w:hAnsi="Menlo" w:eastAsia="Menlo"/>
          <w:b w:val="0"/>
          <w:i w:val="0"/>
          <w:sz w:val="21"/>
        </w:rPr>
        <w:t>NA</w:t>
      </w:r>
      <w:r>
        <w:rPr>
          <w:b w:val="0"/>
          <w:i w:val="0"/>
        </w:rPr>
        <w:t>。</w:t>
      </w:r>
    </w:p>
    <w:tbl>
      <w:tblPr>
        <w:tblStyle w:val="aff1"/>
        <w:tblW w:type="auto" w:w="0"/>
        <w:jc w:val="center"/>
        <w:tblLayout w:type="fixed"/>
        <w:tblLook w:firstColumn="1" w:firstRow="1" w:lastColumn="0" w:lastRow="0" w:noHBand="0" w:noVBand="1" w:val="04A0"/>
      </w:tblPr>
      <w:tblGrid>
        <w:gridCol w:w="4320"/>
        <w:gridCol w:w="4320"/>
      </w:tblGrid>
      <w:tr>
        <w:trPr>
          <w:tblHeader w:val="true"/>
          <w:cantSplit/>
        </w:trPr>
        <w:tc>
          <w:tcPr>
            <w:tcW w:type="dxa" w:w="2383"/>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父类</w:t>
            </w:r>
          </w:p>
        </w:tc>
        <w:tc>
          <w:tcPr>
            <w:tcW w:type="dxa" w:w="6256"/>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子类</w:t>
            </w:r>
          </w:p>
        </w:tc>
      </w:tr>
      <w:tr>
        <w:trPr>
          <w:cantSplit/>
        </w:trPr>
        <w:tc>
          <w:tcPr>
            <w:tcW w:type="dxa" w:w="2383"/>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ASP-EXP 吸引力与体验</w:t>
            </w:r>
          </w:p>
        </w:tc>
        <w:tc>
          <w:tcPr>
            <w:tcW w:type="dxa" w:w="6256"/>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asp_res</w:t>
            </w:r>
            <w:r>
              <w:rPr>
                <w:rFonts w:ascii="Arial Unicode MS" w:hAnsi="Arial Unicode MS" w:eastAsia="Arial Unicode MS"/>
                <w:b w:val="0"/>
                <w:i w:val="0"/>
                <w:sz w:val="17"/>
              </w:rPr>
              <w:t>资源/吸引物品质；</w:t>
            </w:r>
            <w:r>
              <w:rPr>
                <w:rFonts w:ascii="Arial Unicode MS" w:hAnsi="Arial Unicode MS" w:eastAsia="Arial Unicode MS"/>
                <w:b w:val="0"/>
                <w:i w:val="0"/>
                <w:sz w:val="17"/>
              </w:rPr>
              <w:t>asp_act</w:t>
            </w:r>
            <w:r>
              <w:rPr>
                <w:rFonts w:ascii="Arial Unicode MS" w:hAnsi="Arial Unicode MS" w:eastAsia="Arial Unicode MS"/>
                <w:b w:val="0"/>
                <w:i w:val="0"/>
                <w:sz w:val="17"/>
              </w:rPr>
              <w:t>活动与游览体验；</w:t>
            </w:r>
            <w:r>
              <w:rPr>
                <w:rFonts w:ascii="Arial Unicode MS" w:hAnsi="Arial Unicode MS" w:eastAsia="Arial Unicode MS"/>
                <w:b w:val="0"/>
                <w:i w:val="0"/>
                <w:sz w:val="17"/>
              </w:rPr>
              <w:t>asp_atm</w:t>
            </w:r>
            <w:r>
              <w:rPr>
                <w:rFonts w:ascii="Arial Unicode MS" w:hAnsi="Arial Unicode MS" w:eastAsia="Arial Unicode MS"/>
                <w:b w:val="0"/>
                <w:i w:val="0"/>
                <w:sz w:val="17"/>
              </w:rPr>
              <w:t>地方氛围与社会环境</w:t>
            </w:r>
          </w:p>
        </w:tc>
      </w:tr>
      <w:tr>
        <w:trPr>
          <w:cantSplit/>
        </w:trPr>
        <w:tc>
          <w:tcPr>
            <w:tcW w:type="dxa" w:w="2383"/>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ASP-SUP 消费、服务与设施</w:t>
            </w:r>
          </w:p>
        </w:tc>
        <w:tc>
          <w:tcPr>
            <w:tcW w:type="dxa" w:w="6256"/>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asp_pri</w:t>
            </w:r>
            <w:r>
              <w:rPr>
                <w:rFonts w:ascii="Arial Unicode MS" w:hAnsi="Arial Unicode MS" w:eastAsia="Arial Unicode MS"/>
                <w:b w:val="0"/>
                <w:i w:val="0"/>
                <w:sz w:val="17"/>
              </w:rPr>
              <w:t>价格与性价比；</w:t>
            </w:r>
            <w:r>
              <w:rPr>
                <w:rFonts w:ascii="Arial Unicode MS" w:hAnsi="Arial Unicode MS" w:eastAsia="Arial Unicode MS"/>
                <w:b w:val="0"/>
                <w:i w:val="0"/>
                <w:sz w:val="17"/>
              </w:rPr>
              <w:t>asp_ser</w:t>
            </w:r>
            <w:r>
              <w:rPr>
                <w:rFonts w:ascii="Arial Unicode MS" w:hAnsi="Arial Unicode MS" w:eastAsia="Arial Unicode MS"/>
                <w:b w:val="0"/>
                <w:i w:val="0"/>
                <w:sz w:val="17"/>
              </w:rPr>
              <w:t>服务态度与专业性；</w:t>
            </w:r>
            <w:r>
              <w:rPr>
                <w:rFonts w:ascii="Arial Unicode MS" w:hAnsi="Arial Unicode MS" w:eastAsia="Arial Unicode MS"/>
                <w:b w:val="0"/>
                <w:i w:val="0"/>
                <w:sz w:val="17"/>
              </w:rPr>
              <w:t>asp_fac</w:t>
            </w:r>
            <w:r>
              <w:rPr>
                <w:rFonts w:ascii="Arial Unicode MS" w:hAnsi="Arial Unicode MS" w:eastAsia="Arial Unicode MS"/>
                <w:b w:val="0"/>
                <w:i w:val="0"/>
                <w:sz w:val="17"/>
              </w:rPr>
              <w:t>设施完备与使用体验</w:t>
            </w:r>
          </w:p>
        </w:tc>
      </w:tr>
      <w:tr>
        <w:trPr>
          <w:cantSplit/>
        </w:trPr>
        <w:tc>
          <w:tcPr>
            <w:tcW w:type="dxa" w:w="2383"/>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ASP-OPS 运营与可达</w:t>
            </w:r>
          </w:p>
        </w:tc>
        <w:tc>
          <w:tcPr>
            <w:tcW w:type="dxa" w:w="6256"/>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asp_cro</w:t>
            </w:r>
            <w:r>
              <w:rPr>
                <w:rFonts w:ascii="Arial Unicode MS" w:hAnsi="Arial Unicode MS" w:eastAsia="Arial Unicode MS"/>
                <w:b w:val="0"/>
                <w:i w:val="0"/>
                <w:sz w:val="17"/>
              </w:rPr>
              <w:t>客流、排队与拥挤；</w:t>
            </w:r>
            <w:r>
              <w:rPr>
                <w:rFonts w:ascii="Arial Unicode MS" w:hAnsi="Arial Unicode MS" w:eastAsia="Arial Unicode MS"/>
                <w:b w:val="0"/>
                <w:i w:val="0"/>
                <w:sz w:val="17"/>
              </w:rPr>
              <w:t>asp_mgt</w:t>
            </w:r>
            <w:r>
              <w:rPr>
                <w:rFonts w:ascii="Arial Unicode MS" w:hAnsi="Arial Unicode MS" w:eastAsia="Arial Unicode MS"/>
                <w:b w:val="0"/>
                <w:i w:val="0"/>
                <w:sz w:val="17"/>
              </w:rPr>
              <w:t>秩序与运营管理；</w:t>
            </w:r>
            <w:r>
              <w:rPr>
                <w:rFonts w:ascii="Arial Unicode MS" w:hAnsi="Arial Unicode MS" w:eastAsia="Arial Unicode MS"/>
                <w:b w:val="0"/>
                <w:i w:val="0"/>
                <w:sz w:val="17"/>
              </w:rPr>
              <w:t>asp_acc</w:t>
            </w:r>
            <w:r>
              <w:rPr>
                <w:rFonts w:ascii="Arial Unicode MS" w:hAnsi="Arial Unicode MS" w:eastAsia="Arial Unicode MS"/>
                <w:b w:val="0"/>
                <w:i w:val="0"/>
                <w:sz w:val="17"/>
              </w:rPr>
              <w:t>交通与可达性</w:t>
            </w:r>
          </w:p>
        </w:tc>
      </w:tr>
      <w:tr>
        <w:trPr>
          <w:cantSplit/>
        </w:trPr>
        <w:tc>
          <w:tcPr>
            <w:tcW w:type="dxa" w:w="2383"/>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ASP-WEL 卫生、安全与保障</w:t>
            </w:r>
          </w:p>
        </w:tc>
        <w:tc>
          <w:tcPr>
            <w:tcW w:type="dxa" w:w="6256"/>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asp_hyg</w:t>
            </w:r>
            <w:r>
              <w:rPr>
                <w:rFonts w:ascii="Arial Unicode MS" w:hAnsi="Arial Unicode MS" w:eastAsia="Arial Unicode MS"/>
                <w:b w:val="0"/>
                <w:i w:val="0"/>
                <w:sz w:val="17"/>
              </w:rPr>
              <w:t>环境与食品卫生；</w:t>
            </w:r>
            <w:r>
              <w:rPr>
                <w:rFonts w:ascii="Arial Unicode MS" w:hAnsi="Arial Unicode MS" w:eastAsia="Arial Unicode MS"/>
                <w:b w:val="0"/>
                <w:i w:val="0"/>
                <w:sz w:val="17"/>
              </w:rPr>
              <w:t>asp_saf</w:t>
            </w:r>
            <w:r>
              <w:rPr>
                <w:rFonts w:ascii="Arial Unicode MS" w:hAnsi="Arial Unicode MS" w:eastAsia="Arial Unicode MS"/>
                <w:b w:val="0"/>
                <w:i w:val="0"/>
                <w:sz w:val="17"/>
              </w:rPr>
              <w:t>人身、财产与活动风险；</w:t>
            </w:r>
            <w:r>
              <w:rPr>
                <w:rFonts w:ascii="Arial Unicode MS" w:hAnsi="Arial Unicode MS" w:eastAsia="Arial Unicode MS"/>
                <w:b w:val="0"/>
                <w:i w:val="0"/>
                <w:sz w:val="17"/>
              </w:rPr>
              <w:t>asp_sec</w:t>
            </w:r>
            <w:r>
              <w:rPr>
                <w:rFonts w:ascii="Arial Unicode MS" w:hAnsi="Arial Unicode MS" w:eastAsia="Arial Unicode MS"/>
                <w:b w:val="0"/>
                <w:i w:val="0"/>
                <w:sz w:val="17"/>
              </w:rPr>
              <w:t>治安、警示与应急保障</w:t>
            </w:r>
          </w:p>
        </w:tc>
      </w:tr>
    </w:tbl>
    <w:p/>
    <w:p>
      <w:pPr/>
      <w:r>
        <w:rPr>
          <w:b w:val="0"/>
          <w:i w:val="0"/>
        </w:rPr>
        <w:t>评价对象或情感方向切换时必须切分，只有同一属性内部仍不可合理拆分的正负并存才保留MIX。V4回答调用了什么资源，V6回答评价或建议指向什么属性，二者不可互相替代。</w:t>
      </w:r>
    </w:p>
    <w:p>
      <w:pPr>
        <w:pStyle w:val="31"/>
      </w:pPr>
      <w:r>
        <w:rPr>
          <w:b w:val="0"/>
          <w:i w:val="0"/>
        </w:rPr>
        <w:t>3.2.3 视觉轨编码维度</w:t>
      </w:r>
    </w:p>
    <w:p>
      <w:pPr/>
      <w:r>
        <w:rPr>
          <w:b w:val="0"/>
          <w:i w:val="0"/>
        </w:rPr>
        <w:t>视觉轨对帖子的每一张配图独立编码。编码原则：（1）每张图片独立编码，不因上下文图片而改变判断；（2）当画面包含多个元素时，选择视觉上最突出、面积占比最大的元素；（3）若画面存在明显的分区（如拼图），以面积最大的分区为准；（4）仅当品牌/标识在画面中清晰可辨时才编码消费符号，模糊的背景招牌不计入。</w:t>
      </w:r>
    </w:p>
    <w:p>
      <w:pPr>
        <w:pStyle w:val="af5"/>
      </w:pPr>
      <w:r>
        <w:rPr>
          <w:b/>
          <w:i w:val="0"/>
        </w:rPr>
        <w:t>设计依据</w:t>
      </w:r>
      <w:r>
        <w:rPr>
          <w:b w:val="0"/>
          <w:i w:val="0"/>
        </w:rPr>
        <w:t>：视觉轨的编码维度设计综合参考了以下文献：郑羽蘅和赵磊（2023）在千岛湖生态旅游地研究中建立的12项图片内容分析类目（人物、自然景观、人造景观、动物、食物、休闲活动、户外活动等），为V7视觉主体和V9人物呈现提供了分类基础；潘莉等人（2026）对旅游图片大数据研究的系统综述揭示了色彩特征与游客情感感知的关系，为视觉轨的整体设计提供了方法论参考；邓宁等人（2019）利用CNN对北京旅游图片的认知形象和情感形象分析，为视觉轨提供了方法论先例。</w:t>
      </w:r>
    </w:p>
    <w:p>
      <w:pPr/>
      <w:r>
        <w:rPr>
          <w:b/>
          <w:i w:val="0"/>
        </w:rPr>
        <w:t>V7 视觉主体（图片级，5类，单标签）</w:t>
      </w:r>
    </w:p>
    <w:tbl>
      <w:tblPr>
        <w:tblStyle w:val="aff1"/>
        <w:tblW w:type="auto" w:w="0"/>
        <w:jc w:val="center"/>
        <w:tblLayout w:type="fixed"/>
        <w:tblLook w:firstColumn="1" w:firstRow="1" w:lastColumn="0" w:lastRow="0" w:noHBand="0" w:noVBand="1" w:val="04A0"/>
      </w:tblPr>
      <w:tblGrid>
        <w:gridCol w:w="2160"/>
        <w:gridCol w:w="2160"/>
        <w:gridCol w:w="2160"/>
        <w:gridCol w:w="2160"/>
      </w:tblGrid>
      <w:tr>
        <w:trPr>
          <w:tblHeader w:val="true"/>
          <w:cantSplit/>
        </w:trPr>
        <w:tc>
          <w:tcPr>
            <w:tcW w:type="dxa" w:w="975"/>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代码</w:t>
            </w:r>
          </w:p>
        </w:tc>
        <w:tc>
          <w:tcPr>
            <w:tcW w:type="dxa" w:w="975"/>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标签</w:t>
            </w:r>
          </w:p>
        </w:tc>
        <w:tc>
          <w:tcPr>
            <w:tcW w:type="dxa" w:w="3205"/>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操作定义</w:t>
            </w:r>
          </w:p>
        </w:tc>
        <w:tc>
          <w:tcPr>
            <w:tcW w:type="dxa" w:w="3483"/>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编码说明</w:t>
            </w:r>
          </w:p>
        </w:tc>
      </w:tr>
      <w:tr>
        <w:trPr>
          <w:cantSplit/>
        </w:trPr>
        <w:tc>
          <w:tcPr>
            <w:tcW w:type="dxa" w:w="975"/>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VS-NAT</w:t>
            </w:r>
          </w:p>
        </w:tc>
        <w:tc>
          <w:tcPr>
            <w:tcW w:type="dxa" w:w="975"/>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自然景观</w:t>
            </w:r>
          </w:p>
        </w:tc>
        <w:tc>
          <w:tcPr>
            <w:tcW w:type="dxa" w:w="3205"/>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山水、海、天空、植物、动物等自然元素为画面主体</w:t>
            </w:r>
          </w:p>
        </w:tc>
        <w:tc>
          <w:tcPr>
            <w:tcW w:type="dxa" w:w="3483"/>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若建筑仅占一角而大海占据主体→VS-NAT</w:t>
            </w:r>
          </w:p>
        </w:tc>
      </w:tr>
      <w:tr>
        <w:trPr>
          <w:cantSplit/>
        </w:trPr>
        <w:tc>
          <w:tcPr>
            <w:tcW w:type="dxa" w:w="975"/>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VS-ARC</w:t>
            </w:r>
          </w:p>
        </w:tc>
        <w:tc>
          <w:tcPr>
            <w:tcW w:type="dxa" w:w="975"/>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建筑遗产</w:t>
            </w:r>
          </w:p>
        </w:tc>
        <w:tc>
          <w:tcPr>
            <w:tcW w:type="dxa" w:w="3205"/>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建筑、古迹、街区、城市天际线为画面主体</w:t>
            </w:r>
          </w:p>
        </w:tc>
        <w:tc>
          <w:tcPr>
            <w:tcW w:type="dxa" w:w="3483"/>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包括现代建筑和历史建筑</w:t>
            </w:r>
          </w:p>
        </w:tc>
      </w:tr>
      <w:tr>
        <w:trPr>
          <w:cantSplit/>
        </w:trPr>
        <w:tc>
          <w:tcPr>
            <w:tcW w:type="dxa" w:w="975"/>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VS-PEO</w:t>
            </w:r>
          </w:p>
        </w:tc>
        <w:tc>
          <w:tcPr>
            <w:tcW w:type="dxa" w:w="975"/>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人物活动</w:t>
            </w:r>
          </w:p>
        </w:tc>
        <w:tc>
          <w:tcPr>
            <w:tcW w:type="dxa" w:w="3205"/>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人物（自拍/他人/群体）为画面主体</w:t>
            </w:r>
          </w:p>
        </w:tc>
        <w:tc>
          <w:tcPr>
            <w:tcW w:type="dxa" w:w="3483"/>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仅按视觉突出度与主体面积原则判断，不另设百分比阈值</w:t>
            </w:r>
          </w:p>
        </w:tc>
      </w:tr>
      <w:tr>
        <w:trPr>
          <w:cantSplit/>
        </w:trPr>
        <w:tc>
          <w:tcPr>
            <w:tcW w:type="dxa" w:w="975"/>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VS-FOD</w:t>
            </w:r>
          </w:p>
        </w:tc>
        <w:tc>
          <w:tcPr>
            <w:tcW w:type="dxa" w:w="975"/>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美食物产</w:t>
            </w:r>
          </w:p>
        </w:tc>
        <w:tc>
          <w:tcPr>
            <w:tcW w:type="dxa" w:w="3205"/>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食物、饮品、特产为画面主体</w:t>
            </w:r>
          </w:p>
        </w:tc>
        <w:tc>
          <w:tcPr>
            <w:tcW w:type="dxa" w:w="3483"/>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包括餐桌场景和食物特写</w:t>
            </w:r>
          </w:p>
        </w:tc>
      </w:tr>
      <w:tr>
        <w:trPr>
          <w:cantSplit/>
        </w:trPr>
        <w:tc>
          <w:tcPr>
            <w:tcW w:type="dxa" w:w="975"/>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VS-FAC</w:t>
            </w:r>
          </w:p>
        </w:tc>
        <w:tc>
          <w:tcPr>
            <w:tcW w:type="dxa" w:w="975"/>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服务设施</w:t>
            </w:r>
          </w:p>
        </w:tc>
        <w:tc>
          <w:tcPr>
            <w:tcW w:type="dxa" w:w="3205"/>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酒店、交通工具、景区设施为画面主体</w:t>
            </w:r>
          </w:p>
        </w:tc>
        <w:tc>
          <w:tcPr>
            <w:tcW w:type="dxa" w:w="3483"/>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包括指示牌、售票处等</w:t>
            </w:r>
          </w:p>
        </w:tc>
      </w:tr>
    </w:tbl>
    <w:p/>
    <w:p>
      <w:pPr/>
      <w:r>
        <w:rPr>
          <w:b/>
          <w:i w:val="0"/>
        </w:rPr>
        <w:t>V8 视觉呈现方式（图片级，三个独立单选子字段）</w:t>
      </w:r>
    </w:p>
    <w:p>
      <w:pPr/>
      <w:r>
        <w:rPr>
          <w:b w:val="0"/>
          <w:i w:val="0"/>
        </w:rPr>
        <w:t>旧编号V12把场景性质、景别和拍摄视角混合为一个互斥变量，无法处理“标志性景点的航拍全景”。本版拆为：场景语境</w:t>
      </w:r>
      <w:r>
        <w:rPr>
          <w:rFonts w:ascii="Menlo" w:hAnsi="Menlo" w:eastAsia="Menlo"/>
          <w:b w:val="0"/>
          <w:i w:val="0"/>
          <w:sz w:val="21"/>
        </w:rPr>
        <w:t>scene_context</w:t>
      </w:r>
      <w:r>
        <w:rPr>
          <w:b w:val="0"/>
          <w:i w:val="0"/>
        </w:rPr>
        <w:t>（SC-ICO标志性场景/SC-STR日常场景/SC-OTH其他或不适用）、景别</w:t>
      </w:r>
      <w:r>
        <w:rPr>
          <w:rFonts w:ascii="Menlo" w:hAnsi="Menlo" w:eastAsia="Menlo"/>
          <w:b w:val="0"/>
          <w:i w:val="0"/>
          <w:sz w:val="21"/>
        </w:rPr>
        <w:t>shot_scale</w:t>
      </w:r>
      <w:r>
        <w:rPr>
          <w:b w:val="0"/>
          <w:i w:val="0"/>
        </w:rPr>
        <w:t>（SS-CLO特写/SS-MID中景/SS-PAN全景）和视角</w:t>
      </w:r>
      <w:r>
        <w:rPr>
          <w:rFonts w:ascii="Menlo" w:hAnsi="Menlo" w:eastAsia="Menlo"/>
          <w:b w:val="0"/>
          <w:i w:val="0"/>
          <w:sz w:val="21"/>
        </w:rPr>
        <w:t>viewpoint</w:t>
      </w:r>
      <w:r>
        <w:rPr>
          <w:b w:val="0"/>
          <w:i w:val="0"/>
        </w:rPr>
        <w:t>（VP-GRD平视或常规视角/VP-HIG高位俯视/VP-AER航拍）。三个子字段彼此独立，各自内部互斥。</w:t>
      </w:r>
    </w:p>
    <w:p>
      <w:pPr>
        <w:pStyle w:val="af5"/>
      </w:pPr>
      <w:r>
        <w:rPr>
          <w:b/>
          <w:i w:val="0"/>
        </w:rPr>
        <w:t>注</w:t>
      </w:r>
      <w:r>
        <w:rPr>
          <w:b w:val="0"/>
          <w:i w:val="0"/>
        </w:rPr>
        <w:t>：旧编号V13视觉氛围已删除。视觉轨现保留V7（视觉主体）、V8（视觉呈现方式）、V9（人物呈现）、V10（消费符号）和V11（可见对象状态）五个维度。</w:t>
      </w:r>
    </w:p>
    <w:p>
      <w:pPr/>
      <w:r>
        <w:rPr>
          <w:b/>
          <w:i w:val="0"/>
        </w:rPr>
        <w:t>V9 人物呈现（图片级，人数 + 互动）</w:t>
      </w:r>
    </w:p>
    <w:p>
      <w:pPr/>
      <w:r>
        <w:rPr>
          <w:b w:val="0"/>
          <w:i w:val="0"/>
        </w:rPr>
        <w:t>人数</w:t>
      </w:r>
      <w:r>
        <w:rPr>
          <w:rFonts w:ascii="Menlo" w:hAnsi="Menlo" w:eastAsia="Menlo"/>
          <w:b w:val="0"/>
          <w:i w:val="0"/>
          <w:sz w:val="21"/>
        </w:rPr>
        <w:t>people_count</w:t>
      </w:r>
      <w:r>
        <w:rPr>
          <w:b w:val="0"/>
          <w:i w:val="0"/>
        </w:rPr>
        <w:t>为互斥单选：PC-NON（无人）、PC-SIN（1人）、PC-GRP（2人及以上）；人景互动</w:t>
      </w:r>
      <w:r>
        <w:rPr>
          <w:rFonts w:ascii="Menlo" w:hAnsi="Menlo" w:eastAsia="Menlo"/>
          <w:b w:val="0"/>
          <w:i w:val="0"/>
          <w:sz w:val="21"/>
        </w:rPr>
        <w:t>human_scene_interaction</w:t>
      </w:r>
      <w:r>
        <w:rPr>
          <w:b w:val="0"/>
          <w:i w:val="0"/>
        </w:rPr>
        <w:t>为独立0/1字段，无人时通常为0，但仍由编码员填写。原HP-INT不再作为人数类别；已删除的</w:t>
      </w:r>
      <w:r>
        <w:rPr>
          <w:rFonts w:ascii="Menlo" w:hAnsi="Menlo" w:eastAsia="Menlo"/>
          <w:b w:val="0"/>
          <w:i w:val="0"/>
          <w:sz w:val="21"/>
        </w:rPr>
        <w:t>creator_appears</w:t>
      </w:r>
      <w:r>
        <w:rPr>
          <w:b w:val="0"/>
          <w:i w:val="0"/>
        </w:rPr>
        <w:t>不恢复。</w:t>
      </w:r>
    </w:p>
    <w:p>
      <w:pPr/>
      <w:r>
        <w:rPr>
          <w:b/>
          <w:i w:val="0"/>
        </w:rPr>
        <w:t>V10 消费符号（图片级，4个0/1字段）</w:t>
      </w:r>
    </w:p>
    <w:tbl>
      <w:tblPr>
        <w:tblStyle w:val="aff1"/>
        <w:tblW w:type="auto" w:w="0"/>
        <w:jc w:val="center"/>
        <w:tblLayout w:type="fixed"/>
        <w:tblLook w:firstColumn="1" w:firstRow="1" w:lastColumn="0" w:lastRow="0" w:noHBand="0" w:noVBand="1" w:val="04A0"/>
      </w:tblPr>
      <w:tblGrid>
        <w:gridCol w:w="2880"/>
        <w:gridCol w:w="2880"/>
        <w:gridCol w:w="2880"/>
      </w:tblGrid>
      <w:tr>
        <w:trPr>
          <w:tblHeader w:val="true"/>
          <w:cantSplit/>
        </w:trPr>
        <w:tc>
          <w:tcPr>
            <w:tcW w:type="dxa" w:w="1778"/>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代码</w:t>
            </w:r>
          </w:p>
        </w:tc>
        <w:tc>
          <w:tcPr>
            <w:tcW w:type="dxa" w:w="1778"/>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符号类型</w:t>
            </w:r>
          </w:p>
        </w:tc>
        <w:tc>
          <w:tcPr>
            <w:tcW w:type="dxa" w:w="5082"/>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判定规则</w:t>
            </w:r>
          </w:p>
        </w:tc>
      </w:tr>
      <w:tr>
        <w:trPr>
          <w:cantSplit/>
        </w:trPr>
        <w:tc>
          <w:tcPr>
            <w:tcW w:type="dxa" w:w="1778"/>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CS-BRA</w:t>
            </w:r>
          </w:p>
        </w:tc>
        <w:tc>
          <w:tcPr>
            <w:tcW w:type="dxa" w:w="1778"/>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品牌标识存在</w:t>
            </w:r>
          </w:p>
        </w:tc>
        <w:tc>
          <w:tcPr>
            <w:tcW w:type="dxa" w:w="5082"/>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画面中是否出现可识别的品牌logo/名称</w:t>
            </w:r>
          </w:p>
        </w:tc>
      </w:tr>
      <w:tr>
        <w:trPr>
          <w:cantSplit/>
        </w:trPr>
        <w:tc>
          <w:tcPr>
            <w:tcW w:type="dxa" w:w="1778"/>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CS-ACC</w:t>
            </w:r>
          </w:p>
        </w:tc>
        <w:tc>
          <w:tcPr>
            <w:tcW w:type="dxa" w:w="1778"/>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住宿品牌</w:t>
            </w:r>
          </w:p>
        </w:tc>
        <w:tc>
          <w:tcPr>
            <w:tcW w:type="dxa" w:w="5082"/>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酒店/民宿品牌是否可见</w:t>
            </w:r>
          </w:p>
        </w:tc>
      </w:tr>
      <w:tr>
        <w:trPr>
          <w:cantSplit/>
        </w:trPr>
        <w:tc>
          <w:tcPr>
            <w:tcW w:type="dxa" w:w="1778"/>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CS-RES</w:t>
            </w:r>
          </w:p>
        </w:tc>
        <w:tc>
          <w:tcPr>
            <w:tcW w:type="dxa" w:w="1778"/>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餐饮品牌</w:t>
            </w:r>
          </w:p>
        </w:tc>
        <w:tc>
          <w:tcPr>
            <w:tcW w:type="dxa" w:w="5082"/>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餐厅/食品品牌是否可见</w:t>
            </w:r>
          </w:p>
        </w:tc>
      </w:tr>
      <w:tr>
        <w:trPr>
          <w:cantSplit/>
        </w:trPr>
        <w:tc>
          <w:tcPr>
            <w:tcW w:type="dxa" w:w="1778"/>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CS-TRA</w:t>
            </w:r>
          </w:p>
        </w:tc>
        <w:tc>
          <w:tcPr>
            <w:tcW w:type="dxa" w:w="1778"/>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交通品牌</w:t>
            </w:r>
          </w:p>
        </w:tc>
        <w:tc>
          <w:tcPr>
            <w:tcW w:type="dxa" w:w="5082"/>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航空/高铁/租车品牌是否可见</w:t>
            </w:r>
          </w:p>
        </w:tc>
      </w:tr>
    </w:tbl>
    <w:p/>
    <w:p>
      <w:pPr/>
      <w:r>
        <w:rPr>
          <w:b w:val="0"/>
          <w:i w:val="0"/>
        </w:rPr>
        <w:t>仅当品牌或标识在画面中清晰可辨时才编码。四个字段全部由编码员人工判断，可共现；总项与子类关系只作复核。</w:t>
      </w:r>
    </w:p>
    <w:p>
      <w:pPr/>
      <w:r>
        <w:rPr>
          <w:b/>
          <w:i w:val="0"/>
        </w:rPr>
        <w:t>V11 可见对象状态（图片级，10个条件原子字段）</w:t>
      </w:r>
    </w:p>
    <w:p>
      <w:pPr/>
      <w:r>
        <w:rPr>
          <w:b w:val="0"/>
          <w:i w:val="0"/>
        </w:rPr>
        <w:t>V11分别记录设施维护、卫生整洁、现场秩序和环境维护的正向/负向可见状态，以及可见危险源和防护措施。没有相关对象或可见范围不足时记</w:t>
      </w:r>
      <w:r>
        <w:rPr>
          <w:rFonts w:ascii="Menlo" w:hAnsi="Menlo" w:eastAsia="Menlo"/>
          <w:b w:val="0"/>
          <w:i w:val="0"/>
          <w:sz w:val="21"/>
        </w:rPr>
        <w:t>NA</w:t>
      </w:r>
      <w:r>
        <w:rPr>
          <w:b w:val="0"/>
          <w:i w:val="0"/>
        </w:rPr>
        <w:t>；状态轴适用但某标签不成立时记</w:t>
      </w:r>
      <w:r>
        <w:rPr>
          <w:rFonts w:ascii="Menlo" w:hAnsi="Menlo" w:eastAsia="Menlo"/>
          <w:b w:val="0"/>
          <w:i w:val="0"/>
          <w:sz w:val="21"/>
        </w:rPr>
        <w:t>0</w:t>
      </w:r>
      <w:r>
        <w:rPr>
          <w:b w:val="0"/>
          <w:i w:val="0"/>
        </w:rPr>
        <w:t>；同轴正负可以同时为1。V11不判断整图好坏，不从滤镜、构图、价格、品牌或配文推断状态，也不计算单一视觉正负分数。其正式统计和模型训练在视觉人口、专门规则与独立信度冻结前均为</w:t>
      </w:r>
      <w:r>
        <w:rPr>
          <w:rFonts w:ascii="Menlo" w:hAnsi="Menlo" w:eastAsia="Menlo"/>
          <w:b w:val="0"/>
          <w:i w:val="0"/>
          <w:sz w:val="21"/>
        </w:rPr>
        <w:t>DEFERRED</w:t>
      </w:r>
      <w:r>
        <w:rPr>
          <w:b w:val="0"/>
          <w:i w:val="0"/>
        </w:rPr>
        <w:t>。</w:t>
      </w:r>
    </w:p>
    <w:p>
      <w:pPr>
        <w:pStyle w:val="31"/>
      </w:pPr>
      <w:r>
        <w:rPr>
          <w:b w:val="0"/>
          <w:i w:val="0"/>
        </w:rPr>
        <w:t>3.2.4 候选帖子级聚合指标（DEFERRED）</w:t>
      </w:r>
    </w:p>
    <w:p>
      <w:pPr/>
      <w:r>
        <w:rPr>
          <w:b w:val="0"/>
          <w:i w:val="0"/>
        </w:rPr>
        <w:t>以下公式只记录后续候选设计，不属于当前编码冻结条件，也不代表将进入最终论文分析。只有原子标签的人工信度、模型效度和聚合定义均通过独立审查后，才可在编码表中解除</w:t>
      </w:r>
      <w:r>
        <w:rPr>
          <w:rFonts w:ascii="Menlo" w:hAnsi="Menlo" w:eastAsia="Menlo"/>
          <w:b w:val="0"/>
          <w:i w:val="0"/>
          <w:sz w:val="21"/>
        </w:rPr>
        <w:t>DEFERRED</w:t>
      </w:r>
      <w:r>
        <w:rPr>
          <w:b w:val="0"/>
          <w:i w:val="0"/>
        </w:rPr>
        <w:t>状态。</w:t>
      </w:r>
    </w:p>
    <w:p>
      <w:pPr/>
      <w:r>
        <w:rPr>
          <w:b/>
          <w:i w:val="0"/>
        </w:rPr>
        <w:t>文本轨聚合指标</w:t>
      </w:r>
    </w:p>
    <w:tbl>
      <w:tblPr>
        <w:tblStyle w:val="aff1"/>
        <w:tblW w:type="auto" w:w="0"/>
        <w:jc w:val="center"/>
        <w:tblLayout w:type="fixed"/>
        <w:tblLook w:firstColumn="1" w:firstRow="1" w:lastColumn="0" w:lastRow="0" w:noHBand="0" w:noVBand="1" w:val="04A0"/>
      </w:tblPr>
      <w:tblGrid>
        <w:gridCol w:w="2880"/>
        <w:gridCol w:w="2880"/>
        <w:gridCol w:w="2880"/>
      </w:tblGrid>
      <w:tr>
        <w:trPr>
          <w:tblHeader w:val="true"/>
          <w:cantSplit/>
        </w:trPr>
        <w:tc>
          <w:tcPr>
            <w:tcW w:type="dxa" w:w="1321"/>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指标</w:t>
            </w:r>
          </w:p>
        </w:tc>
        <w:tc>
          <w:tcPr>
            <w:tcW w:type="dxa" w:w="4269"/>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公式</w:t>
            </w:r>
          </w:p>
        </w:tc>
        <w:tc>
          <w:tcPr>
            <w:tcW w:type="dxa" w:w="3049"/>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含义</w:t>
            </w:r>
          </w:p>
        </w:tc>
      </w:tr>
      <w:tr>
        <w:trPr>
          <w:cantSplit/>
        </w:trPr>
        <w:tc>
          <w:tcPr>
            <w:tcW w:type="dxa" w:w="1321"/>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segment_count</w:t>
            </w:r>
          </w:p>
        </w:tc>
        <w:tc>
          <w:tcPr>
            <w:tcW w:type="dxa" w:w="426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COUNT(seg_id)</w:t>
            </w:r>
          </w:p>
        </w:tc>
        <w:tc>
          <w:tcPr>
            <w:tcW w:type="dxa" w:w="304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有效文本片段总数</w:t>
            </w:r>
          </w:p>
        </w:tc>
      </w:tr>
      <w:tr>
        <w:trPr>
          <w:cantSplit/>
        </w:trPr>
        <w:tc>
          <w:tcPr>
            <w:tcW w:type="dxa" w:w="1321"/>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rsd_n</w:t>
            </w:r>
          </w:p>
        </w:tc>
        <w:tc>
          <w:tcPr>
            <w:tcW w:type="dxa" w:w="426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SUM(rs_n) / segment_count</w:t>
            </w:r>
          </w:p>
        </w:tc>
        <w:tc>
          <w:tcPr>
            <w:tcW w:type="dxa" w:w="304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自然旅游资源提及密度</w:t>
            </w:r>
          </w:p>
        </w:tc>
      </w:tr>
      <w:tr>
        <w:trPr>
          <w:cantSplit/>
        </w:trPr>
        <w:tc>
          <w:tcPr>
            <w:tcW w:type="dxa" w:w="1321"/>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rsd_r</w:t>
            </w:r>
          </w:p>
        </w:tc>
        <w:tc>
          <w:tcPr>
            <w:tcW w:type="dxa" w:w="426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SUM(rs_r) / segment_count</w:t>
            </w:r>
          </w:p>
        </w:tc>
        <w:tc>
          <w:tcPr>
            <w:tcW w:type="dxa" w:w="304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人文旅游资源提及密度</w:t>
            </w:r>
          </w:p>
        </w:tc>
      </w:tr>
      <w:tr>
        <w:trPr>
          <w:cantSplit/>
        </w:trPr>
        <w:tc>
          <w:tcPr>
            <w:tcW w:type="dxa" w:w="1321"/>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ICB</w:t>
            </w:r>
          </w:p>
        </w:tc>
        <w:tc>
          <w:tcPr>
            <w:tcW w:type="dxa" w:w="426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Σ(10个Layer 2资源亚类各自出现过?1:0)</w:t>
            </w:r>
          </w:p>
        </w:tc>
        <w:tc>
          <w:tcPr>
            <w:tcW w:type="dxa" w:w="304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资源调用广度（0-10）；事件子类不重复计入</w:t>
            </w:r>
          </w:p>
        </w:tc>
      </w:tr>
      <w:tr>
        <w:trPr>
          <w:cantSplit/>
        </w:trPr>
        <w:tc>
          <w:tcPr>
            <w:tcW w:type="dxa" w:w="1321"/>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IMP</w:t>
            </w:r>
          </w:p>
        </w:tc>
        <w:tc>
          <w:tcPr>
            <w:tcW w:type="dxa" w:w="426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[rsd_n_geo, rsd_n_wat, rsd_n_bio, rsd_n_cli, rsd_r_his, rsd_r_arc, rsd_r_gas, rsd_r_fol, rsd_r_rec, rsd_r_evt]</w:t>
            </w:r>
          </w:p>
        </w:tc>
        <w:tc>
          <w:tcPr>
            <w:tcW w:type="dxa" w:w="304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资源调用轮廓（十维向量）</w:t>
            </w:r>
          </w:p>
        </w:tc>
      </w:tr>
      <w:tr>
        <w:trPr>
          <w:cantSplit/>
        </w:trPr>
        <w:tc>
          <w:tcPr>
            <w:tcW w:type="dxa" w:w="1321"/>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ETP</w:t>
            </w:r>
          </w:p>
        </w:tc>
        <w:tc>
          <w:tcPr>
            <w:tcW w:type="dxa" w:w="426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[evtd_spt, evtd_per, evtd_fes, evtd_oth]</w:t>
            </w:r>
          </w:p>
        </w:tc>
        <w:tc>
          <w:tcPr>
            <w:tcW w:type="dxa" w:w="304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节事与文体事件内部类型轮廓</w:t>
            </w:r>
          </w:p>
        </w:tc>
      </w:tr>
      <w:tr>
        <w:trPr>
          <w:cantSplit/>
        </w:trPr>
        <w:tc>
          <w:tcPr>
            <w:tcW w:type="dxa" w:w="1321"/>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CSP-L1</w:t>
            </w:r>
          </w:p>
        </w:tc>
        <w:tc>
          <w:tcPr>
            <w:tcW w:type="dxa" w:w="426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[csd_inf, csd_edu, csd_emo, csd_int, csd_oth]</w:t>
            </w:r>
          </w:p>
        </w:tc>
        <w:tc>
          <w:tcPr>
            <w:tcW w:type="dxa" w:w="304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内容策略父类出现率（五维可共现，和不必为1）</w:t>
            </w:r>
          </w:p>
        </w:tc>
      </w:tr>
      <w:tr>
        <w:trPr>
          <w:cantSplit/>
        </w:trPr>
        <w:tc>
          <w:tcPr>
            <w:tcW w:type="dxa" w:w="1321"/>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CSP-L2</w:t>
            </w:r>
          </w:p>
        </w:tc>
        <w:tc>
          <w:tcPr>
            <w:tcW w:type="dxa" w:w="426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V3的22个子项各自出现率</w:t>
            </w:r>
          </w:p>
        </w:tc>
        <w:tc>
          <w:tcPr>
            <w:tcW w:type="dxa" w:w="304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内容策略实现方式轮廓</w:t>
            </w:r>
          </w:p>
        </w:tc>
      </w:tr>
      <w:tr>
        <w:trPr>
          <w:cantSplit/>
        </w:trPr>
        <w:tc>
          <w:tcPr>
            <w:tcW w:type="dxa" w:w="1321"/>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ATP</w:t>
            </w:r>
          </w:p>
        </w:tc>
        <w:tc>
          <w:tcPr>
            <w:tcW w:type="dxa" w:w="426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[atd_inf, atd_evl, atd_sug]</w:t>
            </w:r>
          </w:p>
        </w:tc>
        <w:tc>
          <w:tcPr>
            <w:tcW w:type="dxa" w:w="304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语言功能出现率（三维可共现，和不必为1）</w:t>
            </w:r>
          </w:p>
        </w:tc>
      </w:tr>
      <w:tr>
        <w:trPr>
          <w:cantSplit/>
        </w:trPr>
        <w:tc>
          <w:tcPr>
            <w:tcW w:type="dxa" w:w="1321"/>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ATD</w:t>
            </w:r>
          </w:p>
        </w:tc>
        <w:tc>
          <w:tcPr>
            <w:tcW w:type="dxa" w:w="426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[atd_pos, atd_neg, atd_mix]</w:t>
            </w:r>
          </w:p>
        </w:tc>
        <w:tc>
          <w:tcPr>
            <w:tcW w:type="dxa" w:w="304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情感方向轮廓（仅AT-EVL+AT-SUG）</w:t>
            </w:r>
          </w:p>
        </w:tc>
      </w:tr>
      <w:tr>
        <w:trPr>
          <w:cantSplit/>
        </w:trPr>
        <w:tc>
          <w:tcPr>
            <w:tcW w:type="dxa" w:w="1321"/>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AIP-L1/L2</w:t>
            </w:r>
          </w:p>
        </w:tc>
        <w:tc>
          <w:tcPr>
            <w:tcW w:type="dxa" w:w="426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V6的4个父类与12个子类各自出现率</w:t>
            </w:r>
          </w:p>
        </w:tc>
        <w:tc>
          <w:tcPr>
            <w:tcW w:type="dxa" w:w="304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仅以</w:t>
            </w:r>
            <w:r>
              <w:rPr>
                <w:rFonts w:ascii="Arial Unicode MS" w:hAnsi="Arial Unicode MS" w:eastAsia="Arial Unicode MS"/>
                <w:b w:val="0"/>
                <w:i w:val="0"/>
                <w:sz w:val="17"/>
              </w:rPr>
              <w:t>asp_applicable=1</w:t>
            </w:r>
            <w:r>
              <w:rPr>
                <w:rFonts w:ascii="Arial Unicode MS" w:hAnsi="Arial Unicode MS" w:eastAsia="Arial Unicode MS"/>
                <w:b w:val="0"/>
                <w:i w:val="0"/>
                <w:sz w:val="17"/>
              </w:rPr>
              <w:t>的评价原子片段为分母</w:t>
            </w:r>
          </w:p>
        </w:tc>
      </w:tr>
      <w:tr>
        <w:trPr>
          <w:cantSplit/>
        </w:trPr>
        <w:tc>
          <w:tcPr>
            <w:tcW w:type="dxa" w:w="1321"/>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ISP</w:t>
            </w:r>
          </w:p>
        </w:tc>
        <w:tc>
          <w:tcPr>
            <w:tcW w:type="dxa" w:w="426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[isd_que, isd_dir, isd_soc, isd_oth]</w:t>
            </w:r>
          </w:p>
        </w:tc>
        <w:tc>
          <w:tcPr>
            <w:tcW w:type="dxa" w:w="304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V3-CS-INT互动实现方式轮廓</w:t>
            </w:r>
          </w:p>
        </w:tc>
      </w:tr>
      <w:tr>
        <w:trPr>
          <w:cantSplit/>
        </w:trPr>
        <w:tc>
          <w:tcPr>
            <w:tcW w:type="dxa" w:w="1321"/>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CED</w:t>
            </w:r>
          </w:p>
        </w:tc>
        <w:tc>
          <w:tcPr>
            <w:tcW w:type="dxa" w:w="426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Σ[rs_depth × (sentiment_pos_val − sentiment_neg_val)] / segment_count</w:t>
            </w:r>
          </w:p>
        </w:tc>
        <w:tc>
          <w:tcPr>
            <w:tcW w:type="dxa" w:w="304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资源加权净情感方向</w:t>
            </w:r>
          </w:p>
        </w:tc>
      </w:tr>
      <w:tr>
        <w:trPr>
          <w:cantSplit/>
        </w:trPr>
        <w:tc>
          <w:tcPr>
            <w:tcW w:type="dxa" w:w="1321"/>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CEI_pos</w:t>
            </w:r>
          </w:p>
        </w:tc>
        <w:tc>
          <w:tcPr>
            <w:tcW w:type="dxa" w:w="426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Σ(rs_depth × sentiment_pos_val) / segment_count</w:t>
            </w:r>
          </w:p>
        </w:tc>
        <w:tc>
          <w:tcPr>
            <w:tcW w:type="dxa" w:w="304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正向资源加权分量</w:t>
            </w:r>
          </w:p>
        </w:tc>
      </w:tr>
      <w:tr>
        <w:trPr>
          <w:cantSplit/>
        </w:trPr>
        <w:tc>
          <w:tcPr>
            <w:tcW w:type="dxa" w:w="1321"/>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CEI_neg</w:t>
            </w:r>
          </w:p>
        </w:tc>
        <w:tc>
          <w:tcPr>
            <w:tcW w:type="dxa" w:w="426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Σ(rs_depth × sentiment_neg_val) / segment_count</w:t>
            </w:r>
          </w:p>
        </w:tc>
        <w:tc>
          <w:tcPr>
            <w:tcW w:type="dxa" w:w="304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负向资源加权分量</w:t>
            </w:r>
          </w:p>
        </w:tc>
      </w:tr>
      <w:tr>
        <w:trPr>
          <w:cantSplit/>
        </w:trPr>
        <w:tc>
          <w:tcPr>
            <w:tcW w:type="dxa" w:w="1321"/>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CER</w:t>
            </w:r>
          </w:p>
        </w:tc>
        <w:tc>
          <w:tcPr>
            <w:tcW w:type="dxa" w:w="426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CEI_pos / (CEI_pos + CEI_neg)</w:t>
            </w:r>
          </w:p>
        </w:tc>
        <w:tc>
          <w:tcPr>
            <w:tcW w:type="dxa" w:w="3049"/>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有方向表达中的正向占比</w:t>
            </w:r>
          </w:p>
        </w:tc>
      </w:tr>
    </w:tbl>
    <w:p/>
    <w:p>
      <w:pPr/>
      <w:r>
        <w:rPr>
          <w:b w:val="0"/>
          <w:i w:val="0"/>
        </w:rPr>
        <w:t>其中 rs_depth = rs_n_geo + rs_n_wat + rs_n_bio + rs_n_cli + rs_r_his + rs_r_arc + rs_r_gas + rs_r_fol + rs_r_rec + rs_r_evt（每片段取值0-10）。Layer 3事件子类和分析汇总</w:t>
      </w:r>
      <w:r>
        <w:rPr>
          <w:rFonts w:ascii="Menlo" w:hAnsi="Menlo" w:eastAsia="Menlo"/>
          <w:b w:val="0"/>
          <w:i w:val="0"/>
          <w:sz w:val="21"/>
        </w:rPr>
        <w:t>rs_r_act</w:t>
      </w:r>
      <w:r>
        <w:rPr>
          <w:b w:val="0"/>
          <w:i w:val="0"/>
        </w:rPr>
        <w:t>不重复计入。</w:t>
      </w:r>
      <w:r>
        <w:rPr>
          <w:rFonts w:ascii="Menlo" w:hAnsi="Menlo" w:eastAsia="Menlo"/>
          <w:b w:val="0"/>
          <w:i w:val="0"/>
          <w:sz w:val="21"/>
        </w:rPr>
        <w:t>rs_n</w:t>
      </w:r>
      <w:r>
        <w:rPr>
          <w:b w:val="0"/>
          <w:i w:val="0"/>
        </w:rPr>
        <w:t>、</w:t>
      </w:r>
      <w:r>
        <w:rPr>
          <w:rFonts w:ascii="Menlo" w:hAnsi="Menlo" w:eastAsia="Menlo"/>
          <w:b w:val="0"/>
          <w:i w:val="0"/>
          <w:sz w:val="21"/>
        </w:rPr>
        <w:t>rs_r</w:t>
      </w:r>
      <w:r>
        <w:rPr>
          <w:b w:val="0"/>
          <w:i w:val="0"/>
        </w:rPr>
        <w:t>、十个Layer 2资源亚类及四个事件子类均由编码员逐字段人工判断；父子关系只用于冲突审计，不覆盖人工值。当CEI_pos + CEI_neg = 0时，CER记为缺失值（NA），避免把“没有方向表达”误写成正负均衡。</w:t>
      </w:r>
    </w:p>
    <w:p>
      <w:pPr/>
      <w:r>
        <w:rPr>
          <w:b/>
          <w:i w:val="0"/>
        </w:rPr>
        <w:t>视觉轨聚合指标</w:t>
      </w:r>
    </w:p>
    <w:tbl>
      <w:tblPr>
        <w:tblStyle w:val="aff1"/>
        <w:tblW w:type="auto" w:w="0"/>
        <w:jc w:val="center"/>
        <w:tblLayout w:type="fixed"/>
        <w:tblLook w:firstColumn="1" w:firstRow="1" w:lastColumn="0" w:lastRow="0" w:noHBand="0" w:noVBand="1" w:val="04A0"/>
      </w:tblPr>
      <w:tblGrid>
        <w:gridCol w:w="2880"/>
        <w:gridCol w:w="2880"/>
        <w:gridCol w:w="2880"/>
      </w:tblGrid>
      <w:tr>
        <w:trPr>
          <w:tblHeader w:val="true"/>
          <w:cantSplit/>
        </w:trPr>
        <w:tc>
          <w:tcPr>
            <w:tcW w:type="dxa" w:w="2614"/>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指标</w:t>
            </w:r>
          </w:p>
        </w:tc>
        <w:tc>
          <w:tcPr>
            <w:tcW w:type="dxa" w:w="4774"/>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公式</w:t>
            </w:r>
          </w:p>
        </w:tc>
        <w:tc>
          <w:tcPr>
            <w:tcW w:type="dxa" w:w="1250"/>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含义</w:t>
            </w:r>
          </w:p>
        </w:tc>
      </w:tr>
      <w:tr>
        <w:trPr>
          <w:cantSplit/>
        </w:trPr>
        <w:tc>
          <w:tcPr>
            <w:tcW w:type="dxa" w:w="261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image_count</w:t>
            </w:r>
          </w:p>
        </w:tc>
        <w:tc>
          <w:tcPr>
            <w:tcW w:type="dxa" w:w="477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COUNT(img_id)</w:t>
            </w:r>
          </w:p>
        </w:tc>
        <w:tc>
          <w:tcPr>
            <w:tcW w:type="dxa" w:w="1250"/>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配图数量</w:t>
            </w:r>
          </w:p>
        </w:tc>
      </w:tr>
      <w:tr>
        <w:trPr>
          <w:cantSplit/>
        </w:trPr>
        <w:tc>
          <w:tcPr>
            <w:tcW w:type="dxa" w:w="261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VIC</w:t>
            </w:r>
          </w:p>
        </w:tc>
        <w:tc>
          <w:tcPr>
            <w:tcW w:type="dxa" w:w="477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Σ(VS-Y出现过?1:0)</w:t>
            </w:r>
          </w:p>
        </w:tc>
        <w:tc>
          <w:tcPr>
            <w:tcW w:type="dxa" w:w="1250"/>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视觉主体广度（0-5）</w:t>
            </w:r>
          </w:p>
        </w:tc>
      </w:tr>
      <w:tr>
        <w:trPr>
          <w:cantSplit/>
        </w:trPr>
        <w:tc>
          <w:tcPr>
            <w:tcW w:type="dxa" w:w="261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dominant_visual_subject</w:t>
            </w:r>
          </w:p>
        </w:tc>
        <w:tc>
          <w:tcPr>
            <w:tcW w:type="dxa" w:w="477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V7频次取最大值</w:t>
            </w:r>
          </w:p>
        </w:tc>
        <w:tc>
          <w:tcPr>
            <w:tcW w:type="dxa" w:w="1250"/>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主导视觉主体</w:t>
            </w:r>
          </w:p>
        </w:tc>
      </w:tr>
      <w:tr>
        <w:trPr>
          <w:cantSplit/>
        </w:trPr>
        <w:tc>
          <w:tcPr>
            <w:tcW w:type="dxa" w:w="261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hpd_sin</w:t>
            </w:r>
          </w:p>
        </w:tc>
        <w:tc>
          <w:tcPr>
            <w:tcW w:type="dxa" w:w="477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COUNT(PC-SIN) / image_count</w:t>
            </w:r>
          </w:p>
        </w:tc>
        <w:tc>
          <w:tcPr>
            <w:tcW w:type="dxa" w:w="1250"/>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单人呈现占比</w:t>
            </w:r>
          </w:p>
        </w:tc>
      </w:tr>
      <w:tr>
        <w:trPr>
          <w:cantSplit/>
        </w:trPr>
        <w:tc>
          <w:tcPr>
            <w:tcW w:type="dxa" w:w="261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hpd_grp</w:t>
            </w:r>
          </w:p>
        </w:tc>
        <w:tc>
          <w:tcPr>
            <w:tcW w:type="dxa" w:w="477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COUNT(PC-GRP) / image_count</w:t>
            </w:r>
          </w:p>
        </w:tc>
        <w:tc>
          <w:tcPr>
            <w:tcW w:type="dxa" w:w="1250"/>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群体呈现占比</w:t>
            </w:r>
          </w:p>
        </w:tc>
      </w:tr>
      <w:tr>
        <w:trPr>
          <w:cantSplit/>
        </w:trPr>
        <w:tc>
          <w:tcPr>
            <w:tcW w:type="dxa" w:w="261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hpd_int</w:t>
            </w:r>
          </w:p>
        </w:tc>
        <w:tc>
          <w:tcPr>
            <w:tcW w:type="dxa" w:w="477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SUM(human_scene_interaction) / image_count</w:t>
            </w:r>
          </w:p>
        </w:tc>
        <w:tc>
          <w:tcPr>
            <w:tcW w:type="dxa" w:w="1250"/>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人景互动占比</w:t>
            </w:r>
          </w:p>
        </w:tc>
      </w:tr>
    </w:tbl>
    <w:p/>
    <w:p>
      <w:pPr/>
      <w:r>
        <w:rPr>
          <w:b/>
          <w:i w:val="0"/>
        </w:rPr>
        <w:t>策略关联分析矩阵</w:t>
      </w:r>
    </w:p>
    <w:p>
      <w:pPr/>
      <w:r>
        <w:rPr>
          <w:b w:val="0"/>
          <w:i w:val="0"/>
        </w:rPr>
        <w:t>下列双层关联矩阵是待验证的条件共现方案：</w:t>
      </w:r>
    </w:p>
    <w:p>
      <w:pPr/>
      <w:r>
        <w:rPr>
          <w:b/>
          <w:i w:val="0"/>
        </w:rPr>
        <w:t>SRM（策略→资源关联矩阵）：</w:t>
      </w:r>
    </w:p>
    <w:p>
      <w:pPr/>
      <w:r>
        <w:rPr>
          <w:b w:val="0"/>
          <w:i w:val="0"/>
        </w:rPr>
        <w:t>SRM采用双层结构：SRM_L1（4×2，策略→资源大类）和SRM_L2（4×9，策略→资源亚类）。V3四种策略均为0/1字段，行内不同资源比例之和不要求等于1。</w:t>
      </w:r>
    </w:p>
    <w:p>
      <w:pPr>
        <w:spacing w:before="120" w:after="160"/>
        <w:ind w:firstLine="0"/>
        <w:jc w:val="center"/>
      </w:pPr>
      <w:r>
        <w:rPr>
          <w:rFonts w:ascii="Arial Unicode MS" w:hAnsi="Arial Unicode MS" w:eastAsia="Arial Unicode MS"/>
          <w:sz w:val="22"/>
        </w:rPr>
        <w:t>SRM[CS-X][RS-Y] = COUNT(片段中 CS-X=1 且 RS-Y=1) / COUNT(片段中 CS-X=1)</w:t>
      </w:r>
    </w:p>
    <w:p>
      <w:pPr/>
      <w:r>
        <w:rPr>
          <w:b w:val="0"/>
          <w:i w:val="0"/>
        </w:rPr>
        <w:t>SRM衡量条件比例P(RS-Y=1|CS-X)，即给定片段出现策略X时同时调用资源Y的比例。箭头表示条件化方向，不表示因果传导。</w:t>
      </w:r>
    </w:p>
    <w:p>
      <w:pPr/>
      <w:r>
        <w:rPr>
          <w:b/>
          <w:i w:val="0"/>
        </w:rPr>
        <w:t>SAM（资源→语言功能共现矩阵）：</w:t>
      </w:r>
    </w:p>
    <w:p>
      <w:pPr/>
      <w:r>
        <w:rPr>
          <w:b w:val="0"/>
          <w:i w:val="0"/>
        </w:rPr>
        <w:t>SAM同样采用双层结构：SAM_L1（2×3，资源大类→语言功能）和SAM_L2（9×3，资源亚类→语言功能）。V5三种语言功能可共现，行内比例之和不要求等于1。</w:t>
      </w:r>
    </w:p>
    <w:p>
      <w:pPr>
        <w:spacing w:before="120" w:after="160"/>
        <w:ind w:firstLine="0"/>
        <w:jc w:val="center"/>
      </w:pPr>
      <w:r>
        <w:rPr>
          <w:rFonts w:ascii="Arial Unicode MS" w:hAnsi="Arial Unicode MS" w:eastAsia="Arial Unicode MS"/>
          <w:sz w:val="22"/>
        </w:rPr>
        <w:t>SAM[RS-Y][AT-Z] = COUNT(片段中 RS-Y=1 且 AT-Z=1) / COUNT(片段中 RS-Y=1)</w:t>
      </w:r>
    </w:p>
    <w:p>
      <w:pPr/>
      <w:r>
        <w:rPr>
          <w:b/>
          <w:i w:val="0"/>
        </w:rPr>
        <w:t>COD（共现密度）：</w:t>
      </w:r>
    </w:p>
    <w:p>
      <w:pPr>
        <w:spacing w:before="120" w:after="160"/>
        <w:ind w:firstLine="0"/>
        <w:jc w:val="center"/>
      </w:pPr>
      <w:r>
        <w:rPr>
          <w:rFonts w:ascii="Arial Unicode MS" w:hAnsi="Arial Unicode MS" w:eastAsia="Arial Unicode MS"/>
          <w:sz w:val="22"/>
        </w:rPr>
        <w:t>COD_A,B = Σᵢ₌₁ⁿ(Aᵢ × Bᵢ) / segment_count</w:t>
      </w:r>
    </w:p>
    <w:p>
      <w:pPr/>
      <w:r>
        <w:rPr>
          <w:b w:val="0"/>
          <w:i w:val="0"/>
        </w:rPr>
        <w:t>COD仅衡量两个维度在同一片段中共现的联合概率。它不能证明信息与评价的融合具有更强说服力；本文没有受众实验或行为结果，ELM只能作为后续研究的解释视角。</w:t>
      </w:r>
    </w:p>
    <w:p>
      <w:pPr/>
      <w:r>
        <w:rPr>
          <w:b/>
          <w:i w:val="0"/>
        </w:rPr>
        <w:t>IFD（融合深度）：</w:t>
      </w:r>
    </w:p>
    <w:p>
      <w:pPr>
        <w:spacing w:before="120" w:after="160"/>
        <w:ind w:firstLine="0"/>
        <w:jc w:val="center"/>
      </w:pPr>
      <w:r>
        <w:rPr>
          <w:rFonts w:ascii="Arial Unicode MS" w:hAnsi="Arial Unicode MS" w:eastAsia="Arial Unicode MS"/>
          <w:sz w:val="22"/>
        </w:rPr>
        <w:t>IFD = Σ rs_depth / segment_count</w:t>
      </w:r>
    </w:p>
    <w:p>
      <w:pPr/>
      <w:r>
        <w:rPr>
          <w:b w:val="0"/>
          <w:i w:val="0"/>
        </w:rPr>
        <w:t>IFD衡量每个片段平均调用了多少类目的地资源（取值0-9），反映内容的融合广度。</w:t>
      </w:r>
    </w:p>
    <w:p>
      <w:pPr/>
      <w:r>
        <w:rPr>
          <w:b/>
          <w:i w:val="0"/>
        </w:rPr>
        <w:t>双轨交叉指标</w:t>
      </w:r>
    </w:p>
    <w:tbl>
      <w:tblPr>
        <w:tblStyle w:val="aff1"/>
        <w:tblW w:type="auto" w:w="0"/>
        <w:jc w:val="center"/>
        <w:tblLayout w:type="fixed"/>
        <w:tblLook w:firstColumn="1" w:firstRow="1" w:lastColumn="0" w:lastRow="0" w:noHBand="0" w:noVBand="1" w:val="04A0"/>
      </w:tblPr>
      <w:tblGrid>
        <w:gridCol w:w="2880"/>
        <w:gridCol w:w="2880"/>
        <w:gridCol w:w="2880"/>
      </w:tblGrid>
      <w:tr>
        <w:trPr>
          <w:tblHeader w:val="true"/>
          <w:cantSplit/>
        </w:trPr>
        <w:tc>
          <w:tcPr>
            <w:tcW w:type="dxa" w:w="2808"/>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指标</w:t>
            </w:r>
          </w:p>
        </w:tc>
        <w:tc>
          <w:tcPr>
            <w:tcW w:type="dxa" w:w="4536"/>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公式</w:t>
            </w:r>
          </w:p>
        </w:tc>
        <w:tc>
          <w:tcPr>
            <w:tcW w:type="dxa" w:w="1296"/>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含义</w:t>
            </w:r>
          </w:p>
        </w:tc>
      </w:tr>
      <w:tr>
        <w:trPr>
          <w:cantSplit/>
        </w:trPr>
        <w:tc>
          <w:tcPr>
            <w:tcW w:type="dxa" w:w="2808"/>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text_visual_resource_match</w:t>
            </w:r>
          </w:p>
        </w:tc>
        <w:tc>
          <w:tcPr>
            <w:tcW w:type="dxa" w:w="4536"/>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文本主导资源大类(RS-N vs RS-R) == 视觉主体对应资源大类 ? 1 : 0</w:t>
            </w:r>
          </w:p>
        </w:tc>
        <w:tc>
          <w:tcPr>
            <w:tcW w:type="dxa" w:w="1296"/>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图文是否指向同类资源大类</w:t>
            </w:r>
          </w:p>
        </w:tc>
      </w:tr>
    </w:tbl>
    <w:p/>
    <w:p>
      <w:pPr/>
      <w:r>
        <w:rPr>
          <w:b w:val="0"/>
          <w:i w:val="0"/>
        </w:rPr>
        <w:t>视觉→资源大类映射规则：VS-NAT→RS-N（自然），VS-ARC→RS-R（人文），VS-PEO→不映射（人物不等于特定资源类型），VS-FOD→RS-R（人文：饮食文化），VS-FAC→RS-R（人文：建筑设施）。</w:t>
      </w:r>
    </w:p>
    <w:p>
      <w:pPr>
        <w:pStyle w:val="21"/>
      </w:pPr>
      <w:r>
        <w:rPr>
          <w:b w:val="0"/>
          <w:i w:val="0"/>
        </w:rPr>
        <w:t>3.3 神经网络辅助编码方案</w:t>
      </w:r>
    </w:p>
    <w:p>
      <w:pPr/>
      <w:r>
        <w:rPr>
          <w:b w:val="0"/>
          <w:i w:val="0"/>
        </w:rPr>
        <w:t>面对目标规模的数据，本研究采用“人工金标—主动学习—锁定测试”路径。神经网络用于扩展经人工定义的编码规则，不替代构念定义、信度检验或争议裁决。人工信度与模型效度分别报告。</w:t>
      </w:r>
    </w:p>
    <w:p>
      <w:pPr/>
      <w:r>
        <w:rPr>
          <w:b w:val="0"/>
          <w:i w:val="0"/>
        </w:rPr>
        <w:t>现有方法文献并不存在“单一样本最多只能编码4—5个标签”的通行上限；代码数量应由研究问题和资料决定，但代码过多、低频标签和边界模糊会增加认知负荷并降低一致性（O'Connor &amp; Joffe, 2020）。因此，本研究按V3、V4、V5和V6分模块与颜色呈现判断，每个标签紧邻自身置信度列；所有实质性阳性判断使用统一文本证据跨度；跨字段逻辑只作复核，不自动覆盖记录。集合型标注可补充使用MASI距离刻画部分一致（Passonneau, 2006）。</w:t>
      </w:r>
    </w:p>
    <w:p>
      <w:pPr>
        <w:pStyle w:val="31"/>
      </w:pPr>
      <w:r>
        <w:rPr>
          <w:b w:val="0"/>
          <w:i w:val="0"/>
        </w:rPr>
        <w:t>3.3.1 人工金标与数据切分</w:t>
      </w:r>
    </w:p>
    <w:p>
      <w:pPr/>
      <w:r>
        <w:rPr>
          <w:b/>
          <w:i w:val="0"/>
        </w:rPr>
        <w:t>共同校准。</w:t>
      </w:r>
      <w:r>
        <w:rPr>
          <w:b w:val="0"/>
          <w:i w:val="0"/>
        </w:rPr>
        <w:t xml:space="preserve"> 先选约20—30篇文本，由两位编码员共同讨论边界案例，只用于培训和修订规则，不计算正式信度。</w:t>
      </w:r>
    </w:p>
    <w:p>
      <w:pPr/>
      <w:r>
        <w:rPr>
          <w:b w:val="0"/>
          <w:i w:val="0"/>
        </w:rPr>
        <w:t>共同校准前统一</w:t>
      </w:r>
      <w:r>
        <w:rPr>
          <w:rFonts w:ascii="Menlo" w:hAnsi="Menlo" w:eastAsia="Menlo"/>
          <w:b w:val="0"/>
          <w:i w:val="0"/>
          <w:sz w:val="21"/>
        </w:rPr>
        <w:t>1/0/UNK/NA</w:t>
      </w:r>
      <w:r>
        <w:rPr>
          <w:b w:val="0"/>
          <w:i w:val="0"/>
        </w:rPr>
        <w:t>的一般语义，但不为每个字段预建复杂例外。校准期现行规则无法唯一裁决的记录暂记</w:t>
      </w:r>
      <w:r>
        <w:rPr>
          <w:rFonts w:ascii="Menlo" w:hAnsi="Menlo" w:eastAsia="Menlo"/>
          <w:b w:val="0"/>
          <w:i w:val="0"/>
          <w:sz w:val="21"/>
        </w:rPr>
        <w:t>UNRESOLVED</w:t>
      </w:r>
      <w:r>
        <w:rPr>
          <w:b w:val="0"/>
          <w:i w:val="0"/>
        </w:rPr>
        <w:t>并进入问题登记；共同校准后再决定哪些字段需要专门</w:t>
      </w:r>
      <w:r>
        <w:rPr>
          <w:rFonts w:ascii="Menlo" w:hAnsi="Menlo" w:eastAsia="Menlo"/>
          <w:b w:val="0"/>
          <w:i w:val="0"/>
          <w:sz w:val="21"/>
        </w:rPr>
        <w:t>UNK/NA</w:t>
      </w:r>
      <w:r>
        <w:rPr>
          <w:b w:val="0"/>
          <w:i w:val="0"/>
        </w:rPr>
        <w:t>或边界规则。若新样本盲试标达到</w:t>
      </w:r>
      <w:r>
        <w:rPr>
          <w:rFonts w:ascii="Menlo" w:hAnsi="Menlo" w:eastAsia="Menlo"/>
          <w:b w:val="0"/>
          <w:i w:val="0"/>
          <w:sz w:val="21"/>
        </w:rPr>
        <w:t>alpha &gt;= 0.80</w:t>
      </w:r>
      <w:r>
        <w:rPr>
          <w:b w:val="0"/>
          <w:i w:val="0"/>
        </w:rPr>
        <w:t>、类别支持足够且没有反复出现的系统性边界分歧，则不再增加字段专门规则。</w:t>
      </w:r>
    </w:p>
    <w:p>
      <w:pPr/>
      <w:r>
        <w:rPr>
          <w:b w:val="0"/>
          <w:i w:val="0"/>
        </w:rPr>
        <w:t>每个主观字段均记录1—5级置信度，而不是每个片段只给一个总分。五级表示直接明确且无合理替代，四级表示证据清楚，三级表示有依据但接近边界，二级表示证据较弱或存在多个合理判断，一级表示无法形成有证据的唯一判断。置信度1—2必须填写原因、替代值和说明，并进入第二编码员重点复核；置信度不是准确概率或研究结果。</w:t>
      </w:r>
    </w:p>
    <w:p>
      <w:pPr/>
      <w:r>
        <w:rPr>
          <w:b w:val="0"/>
          <w:i w:val="0"/>
        </w:rPr>
        <w:t>文本证据统一写入</w:t>
      </w:r>
      <w:r>
        <w:rPr>
          <w:rFonts w:ascii="Menlo" w:hAnsi="Menlo" w:eastAsia="Menlo"/>
          <w:b w:val="0"/>
          <w:i w:val="0"/>
          <w:sz w:val="21"/>
        </w:rPr>
        <w:t>evidence_spans_json</w:t>
      </w:r>
      <w:r>
        <w:rPr>
          <w:b w:val="0"/>
          <w:i w:val="0"/>
        </w:rPr>
        <w:t>，offset定位不可变</w:t>
      </w:r>
      <w:r>
        <w:rPr>
          <w:rFonts w:ascii="Menlo" w:hAnsi="Menlo" w:eastAsia="Menlo"/>
          <w:b w:val="0"/>
          <w:i w:val="0"/>
          <w:sz w:val="21"/>
        </w:rPr>
        <w:t>raw_text</w:t>
      </w:r>
      <w:r>
        <w:rPr>
          <w:b w:val="0"/>
          <w:i w:val="0"/>
        </w:rPr>
        <w:t>，按Unicode字符从0开始并采用左闭右开区间</w:t>
      </w:r>
      <w:r>
        <w:rPr>
          <w:rFonts w:ascii="Menlo" w:hAnsi="Menlo" w:eastAsia="Menlo"/>
          <w:b w:val="0"/>
          <w:i w:val="0"/>
          <w:sz w:val="21"/>
        </w:rPr>
        <w:t>[start, end)</w:t>
      </w:r>
      <w:r>
        <w:rPr>
          <w:b w:val="0"/>
          <w:i w:val="0"/>
        </w:rPr>
        <w:t>；同时保存原文</w:t>
      </w:r>
      <w:r>
        <w:rPr>
          <w:rFonts w:ascii="Menlo" w:hAnsi="Menlo" w:eastAsia="Menlo"/>
          <w:b w:val="0"/>
          <w:i w:val="0"/>
          <w:sz w:val="21"/>
        </w:rPr>
        <w:t>quote</w:t>
      </w:r>
      <w:r>
        <w:rPr>
          <w:b w:val="0"/>
          <w:i w:val="0"/>
        </w:rPr>
        <w:t>并校验</w:t>
      </w:r>
      <w:r>
        <w:rPr>
          <w:rFonts w:ascii="Menlo" w:hAnsi="Menlo" w:eastAsia="Menlo"/>
          <w:b w:val="0"/>
          <w:i w:val="0"/>
          <w:sz w:val="21"/>
        </w:rPr>
        <w:t>raw_text[start:end] == quote</w:t>
      </w:r>
      <w:r>
        <w:rPr>
          <w:b w:val="0"/>
          <w:i w:val="0"/>
        </w:rPr>
        <w:t>。允许多个不连续跨度、跨度重叠及同一跨度支持多个字段。实质性阳性判断原则上至少提供一段最短充分证据。</w:t>
      </w:r>
    </w:p>
    <w:p>
      <w:pPr/>
      <w:r>
        <w:rPr>
          <w:b/>
          <w:i w:val="0"/>
        </w:rPr>
        <w:t>盲试标与规则冻结。</w:t>
      </w:r>
      <w:r>
        <w:rPr>
          <w:b w:val="0"/>
          <w:i w:val="0"/>
        </w:rPr>
        <w:t xml:space="preserve"> 另取约70—80篇新样本，两位编码员在固定</w:t>
      </w:r>
      <w:r>
        <w:rPr>
          <w:rFonts w:ascii="Menlo" w:hAnsi="Menlo" w:eastAsia="Menlo"/>
          <w:b w:val="0"/>
          <w:i w:val="0"/>
          <w:sz w:val="21"/>
        </w:rPr>
        <w:t>seg_id</w:t>
      </w:r>
      <w:r>
        <w:rPr>
          <w:b w:val="0"/>
          <w:i w:val="0"/>
        </w:rPr>
        <w:t>上独立盲标；信度基于讨论前记录计算。若规则发生实质修改，使用新的未讨论样本重新确认，不能把协商后的同一批数据当作独立信度证据。</w:t>
      </w:r>
    </w:p>
    <w:p>
      <w:pPr/>
      <w:r>
        <w:rPr>
          <w:b/>
          <w:i w:val="0"/>
        </w:rPr>
        <w:t>分层人工证据。</w:t>
      </w:r>
      <w:r>
        <w:rPr>
          <w:b w:val="0"/>
          <w:i w:val="0"/>
        </w:rPr>
        <w:t xml:space="preserve"> 预先锁定的测试集全部双人独立编码并形成共识金标；训练池由一名主编码员标注，第二名编码员复核预注册的随机比例以及全部稀有、低置信和冲突样本。“500篇文本”只是初始人工预算锚点，不等于500篇全部双标；视觉样本量不预设为600张，须在文本证据通过且视觉T0关闭后另定。</w:t>
      </w:r>
    </w:p>
    <w:p>
      <w:pPr/>
      <w:r>
        <w:rPr>
          <w:b/>
          <w:i w:val="0"/>
        </w:rPr>
        <w:t>防止数据泄漏。</w:t>
      </w:r>
      <w:r>
        <w:rPr>
          <w:b w:val="0"/>
          <w:i w:val="0"/>
        </w:rPr>
        <w:t xml:space="preserve"> 训练、开发和测试按</w:t>
      </w:r>
      <w:r>
        <w:rPr>
          <w:rFonts w:ascii="Menlo" w:hAnsi="Menlo" w:eastAsia="Menlo"/>
          <w:b w:val="0"/>
          <w:i w:val="0"/>
          <w:sz w:val="21"/>
        </w:rPr>
        <w:t>author_id</w:t>
      </w:r>
      <w:r>
        <w:rPr>
          <w:b w:val="0"/>
          <w:i w:val="0"/>
        </w:rPr>
        <w:t>及重复簇隔离，并兼顾平台和稀有标签分层。锁定测试集从始至终不参与主动学习选样、阈值设定或调参；若核心标签阳性数不足，追加定向评估样本并记录来源，不从训练集事后挑选易测案例。</w:t>
      </w:r>
    </w:p>
    <w:p>
      <w:pPr>
        <w:pStyle w:val="31"/>
      </w:pPr>
      <w:r>
        <w:rPr>
          <w:b w:val="0"/>
          <w:i w:val="0"/>
        </w:rPr>
        <w:t>3.3.2 主动学习与可选数据增强</w:t>
      </w:r>
    </w:p>
    <w:p>
      <w:pPr/>
      <w:r>
        <w:rPr>
          <w:b w:val="0"/>
          <w:i w:val="0"/>
        </w:rPr>
        <w:t>初始文本模型采用中文预训练Transformer的多任务输出：V3的5个父类与22个子项；V4的2个Layer 1父类、10个Layer 2资源亚类及4个Layer 3事件子类（</w:t>
      </w:r>
      <w:r>
        <w:rPr>
          <w:rFonts w:ascii="Menlo" w:hAnsi="Menlo" w:eastAsia="Menlo"/>
          <w:b w:val="0"/>
          <w:i w:val="0"/>
          <w:sz w:val="21"/>
        </w:rPr>
        <w:t>rs_r_act</w:t>
      </w:r>
      <w:r>
        <w:rPr>
          <w:b w:val="0"/>
          <w:i w:val="0"/>
        </w:rPr>
        <w:t>仅在分析端以</w:t>
      </w:r>
      <w:r>
        <w:rPr>
          <w:rFonts w:ascii="Menlo" w:hAnsi="Menlo" w:eastAsia="Menlo"/>
          <w:b w:val="0"/>
          <w:i w:val="0"/>
          <w:sz w:val="21"/>
        </w:rPr>
        <w:t>rs_r_rec OR rs_r_evt</w:t>
      </w:r>
      <w:r>
        <w:rPr>
          <w:b w:val="0"/>
          <w:i w:val="0"/>
        </w:rPr>
        <w:t>派生，不设独立输出）；V5语言功能/评价亚类/方向/双向强度，以及V6适用性/父类/子类/其他项均保留对应输出。可共现字段使用Sigmoid，条件类别和强度使用与冻结值域匹配的分类或序数头；结构性</w:t>
      </w:r>
      <w:r>
        <w:rPr>
          <w:rFonts w:ascii="Menlo" w:hAnsi="Menlo" w:eastAsia="Menlo"/>
          <w:b w:val="0"/>
          <w:i w:val="0"/>
          <w:sz w:val="21"/>
        </w:rPr>
        <w:t>NA</w:t>
      </w:r>
      <w:r>
        <w:rPr>
          <w:b w:val="0"/>
          <w:i w:val="0"/>
        </w:rPr>
        <w:t>屏蔽损失。</w:t>
      </w:r>
      <w:r>
        <w:rPr>
          <w:rFonts w:ascii="Menlo" w:hAnsi="Menlo" w:eastAsia="Menlo"/>
          <w:b w:val="0"/>
          <w:i w:val="0"/>
          <w:sz w:val="21"/>
        </w:rPr>
        <w:t>at_eval_subtype</w:t>
      </w:r>
      <w:r>
        <w:rPr>
          <w:b w:val="0"/>
          <w:i w:val="0"/>
        </w:rPr>
        <w:t>单选或多选责任仍须冻结。主动学习只从训练池选择高不确定性、稀有标签候选和多样性样本，第二名编码员承担风险复核和随机审计。</w:t>
      </w:r>
    </w:p>
    <w:p>
      <w:pPr/>
      <w:r>
        <w:rPr>
          <w:b w:val="0"/>
          <w:i w:val="0"/>
        </w:rPr>
        <w:t>文本同义替换、回译以及图片几何/颜色变换仅作为可选实验。增强样本必须通过标签保持规则，涉及数字、否定、专名、情感词和建议语气的变换原则上禁用。是否采用增强，由无增强基线与增强模型在开发集和锁定测试集上的消融结果决定，不预设“减少30%—50%标注量”等固定收益。</w:t>
      </w:r>
    </w:p>
    <w:p>
      <w:pPr/>
      <w:r>
        <w:rPr>
          <w:b w:val="0"/>
          <w:i w:val="0"/>
        </w:rPr>
        <w:t>标注规模不是由“每类至少200—500条”的通用定额决定。500条是起始预算，是否足够由逐标签阳性数、置信区间和学习曲线判断；若AT-SUG等稀有标签的召回率仍随新增样本明显上升，应继续定向采样，而不是把500条视为充分性的证明。</w:t>
      </w:r>
    </w:p>
    <w:p>
      <w:pPr>
        <w:pStyle w:val="31"/>
      </w:pPr>
      <w:r>
        <w:rPr>
          <w:b w:val="0"/>
          <w:i w:val="0"/>
        </w:rPr>
        <w:t>3.3.3 人工信度与模型效度</w:t>
      </w:r>
    </w:p>
    <w:tbl>
      <w:tblPr>
        <w:tblStyle w:val="aff1"/>
        <w:tblW w:type="auto" w:w="0"/>
        <w:jc w:val="center"/>
        <w:tblLayout w:type="fixed"/>
        <w:tblLook w:firstColumn="1" w:firstRow="1" w:lastColumn="0" w:lastRow="0" w:noHBand="0" w:noVBand="1" w:val="04A0"/>
      </w:tblPr>
      <w:tblGrid>
        <w:gridCol w:w="2880"/>
        <w:gridCol w:w="2880"/>
        <w:gridCol w:w="2880"/>
      </w:tblGrid>
      <w:tr>
        <w:trPr>
          <w:tblHeader w:val="true"/>
          <w:cantSplit/>
        </w:trPr>
        <w:tc>
          <w:tcPr>
            <w:tcW w:type="dxa" w:w="664"/>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层次</w:t>
            </w:r>
          </w:p>
        </w:tc>
        <w:tc>
          <w:tcPr>
            <w:tcW w:type="dxa" w:w="3987"/>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指标</w:t>
            </w:r>
          </w:p>
        </w:tc>
        <w:tc>
          <w:tcPr>
            <w:tcW w:type="dxa" w:w="3987"/>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报告方式</w:t>
            </w:r>
          </w:p>
        </w:tc>
      </w:tr>
      <w:tr>
        <w:trPr>
          <w:cantSplit/>
        </w:trPr>
        <w:tc>
          <w:tcPr>
            <w:tcW w:type="dxa" w:w="66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人工原子标签</w:t>
            </w:r>
          </w:p>
        </w:tc>
        <w:tc>
          <w:tcPr>
            <w:tcW w:type="dxa" w:w="3987"/>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Krippendorff's alpha（名义尺度）</w:t>
            </w:r>
          </w:p>
        </w:tc>
        <w:tc>
          <w:tcPr>
            <w:tcW w:type="dxa" w:w="3987"/>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对V3/V4/V5/V6每个二值原子标签分别计算；目标</w:t>
            </w:r>
            <w:r>
              <w:rPr>
                <w:rFonts w:ascii="Arial Unicode MS" w:hAnsi="Arial Unicode MS" w:eastAsia="Arial Unicode MS"/>
                <w:b w:val="0"/>
                <w:i w:val="0"/>
                <w:sz w:val="17"/>
              </w:rPr>
              <w:t>alpha &gt;= 0.80</w:t>
            </w:r>
            <w:r>
              <w:rPr>
                <w:rFonts w:ascii="Arial Unicode MS" w:hAnsi="Arial Unicode MS" w:eastAsia="Arial Unicode MS"/>
                <w:b w:val="0"/>
                <w:i w:val="0"/>
                <w:sz w:val="17"/>
              </w:rPr>
              <w:t>，</w:t>
            </w:r>
            <w:r>
              <w:rPr>
                <w:rFonts w:ascii="Arial Unicode MS" w:hAnsi="Arial Unicode MS" w:eastAsia="Arial Unicode MS"/>
                <w:b w:val="0"/>
                <w:i w:val="0"/>
                <w:sz w:val="17"/>
              </w:rPr>
              <w:t>0.667 &lt;= alpha &lt; 0.80</w:t>
            </w:r>
            <w:r>
              <w:rPr>
                <w:rFonts w:ascii="Arial Unicode MS" w:hAnsi="Arial Unicode MS" w:eastAsia="Arial Unicode MS"/>
                <w:b w:val="0"/>
                <w:i w:val="0"/>
                <w:sz w:val="17"/>
              </w:rPr>
              <w:t>仅作暂定分析并复查，低于0.667不进入模型训练</w:t>
            </w:r>
          </w:p>
        </w:tc>
      </w:tr>
      <w:tr>
        <w:trPr>
          <w:cantSplit/>
        </w:trPr>
        <w:tc>
          <w:tcPr>
            <w:tcW w:type="dxa" w:w="66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条件分类字段</w:t>
            </w:r>
          </w:p>
        </w:tc>
        <w:tc>
          <w:tcPr>
            <w:tcW w:type="dxa" w:w="3987"/>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编码表T0裁决后的名义尺度alpha及类别混淆</w:t>
            </w:r>
          </w:p>
        </w:tc>
        <w:tc>
          <w:tcPr>
            <w:tcW w:type="dxa" w:w="3987"/>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at_eval_subtype</w:t>
            </w:r>
            <w:r>
              <w:rPr>
                <w:rFonts w:ascii="Arial Unicode MS" w:hAnsi="Arial Unicode MS" w:eastAsia="Arial Unicode MS"/>
                <w:b w:val="0"/>
                <w:i w:val="0"/>
                <w:sz w:val="17"/>
              </w:rPr>
              <w:t>、</w:t>
            </w:r>
            <w:r>
              <w:rPr>
                <w:rFonts w:ascii="Arial Unicode MS" w:hAnsi="Arial Unicode MS" w:eastAsia="Arial Unicode MS"/>
                <w:b w:val="0"/>
                <w:i w:val="0"/>
                <w:sz w:val="17"/>
              </w:rPr>
              <w:t>sentiment_dir</w:t>
            </w:r>
            <w:r>
              <w:rPr>
                <w:rFonts w:ascii="Arial Unicode MS" w:hAnsi="Arial Unicode MS" w:eastAsia="Arial Unicode MS"/>
                <w:b w:val="0"/>
                <w:i w:val="0"/>
                <w:sz w:val="17"/>
              </w:rPr>
              <w:t>等非二值或条件字段必须单独设置信度门，不能借用二值标签门</w:t>
            </w:r>
          </w:p>
        </w:tc>
      </w:tr>
      <w:tr>
        <w:trPr>
          <w:cantSplit/>
        </w:trPr>
        <w:tc>
          <w:tcPr>
            <w:tcW w:type="dxa" w:w="66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人工补充指标</w:t>
            </w:r>
          </w:p>
        </w:tc>
        <w:tc>
          <w:tcPr>
            <w:tcW w:type="dxa" w:w="3987"/>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Cohen's kappa、阳性/阴性一致率、标签频数</w:t>
            </w:r>
          </w:p>
        </w:tc>
        <w:tc>
          <w:tcPr>
            <w:tcW w:type="dxa" w:w="3987"/>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两位编码员条件下作为敏感性与类别不平衡诊断，不用一个总体Kappa掩盖低频标签</w:t>
            </w:r>
          </w:p>
        </w:tc>
      </w:tr>
      <w:tr>
        <w:trPr>
          <w:cantSplit/>
        </w:trPr>
        <w:tc>
          <w:tcPr>
            <w:tcW w:type="dxa" w:w="66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集合级一致性</w:t>
            </w:r>
          </w:p>
        </w:tc>
        <w:tc>
          <w:tcPr>
            <w:tcW w:type="dxa" w:w="3987"/>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MASI距离版本的alpha</w:t>
            </w:r>
          </w:p>
        </w:tc>
        <w:tc>
          <w:tcPr>
            <w:tcW w:type="dxa" w:w="3987"/>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补充反映多标签集合完全一致、部分重叠和完全分歧</w:t>
            </w:r>
          </w:p>
        </w:tc>
      </w:tr>
      <w:tr>
        <w:trPr>
          <w:cantSplit/>
        </w:trPr>
        <w:tc>
          <w:tcPr>
            <w:tcW w:type="dxa" w:w="66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模型标签效度</w:t>
            </w:r>
          </w:p>
        </w:tc>
        <w:tc>
          <w:tcPr>
            <w:tcW w:type="dxa" w:w="3987"/>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每标签Precision、Recall、F1、PR-AUC；macro/micro汇总</w:t>
            </w:r>
          </w:p>
        </w:tc>
        <w:tc>
          <w:tcPr>
            <w:tcW w:type="dxa" w:w="3987"/>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仅在预先锁定测试集上报告，并给出bootstrap置信区间</w:t>
            </w:r>
          </w:p>
        </w:tc>
      </w:tr>
      <w:tr>
        <w:trPr>
          <w:cantSplit/>
        </w:trPr>
        <w:tc>
          <w:tcPr>
            <w:tcW w:type="dxa" w:w="66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概率与子群效度</w:t>
            </w:r>
          </w:p>
        </w:tc>
        <w:tc>
          <w:tcPr>
            <w:tcW w:type="dxa" w:w="3987"/>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Brier score/校准曲线；分平台、创作者层级表现</w:t>
            </w:r>
          </w:p>
        </w:tc>
        <w:tc>
          <w:tcPr>
            <w:tcW w:type="dxa" w:w="3987"/>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检查逐字段概率校准与子群测量质量</w:t>
            </w:r>
          </w:p>
        </w:tc>
      </w:tr>
      <w:tr>
        <w:trPr>
          <w:cantSplit/>
        </w:trPr>
        <w:tc>
          <w:tcPr>
            <w:tcW w:type="dxa" w:w="664"/>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下游分析效度</w:t>
            </w:r>
          </w:p>
        </w:tc>
        <w:tc>
          <w:tcPr>
            <w:tcW w:type="dxa" w:w="3987"/>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H1/H2/H5关键估计量的人工金标—模型差值</w:t>
            </w:r>
          </w:p>
        </w:tc>
        <w:tc>
          <w:tcPr>
            <w:tcW w:type="dxa" w:w="3987"/>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模型标签即使F1较高也可能使下游估计偏移，因此单独验证；SRM/SAM仅在解除</w:t>
            </w:r>
            <w:r>
              <w:rPr>
                <w:rFonts w:ascii="Arial Unicode MS" w:hAnsi="Arial Unicode MS" w:eastAsia="Arial Unicode MS"/>
                <w:b w:val="0"/>
                <w:i w:val="0"/>
                <w:sz w:val="17"/>
              </w:rPr>
              <w:t>DEFERRED</w:t>
            </w:r>
            <w:r>
              <w:rPr>
                <w:rFonts w:ascii="Arial Unicode MS" w:hAnsi="Arial Unicode MS" w:eastAsia="Arial Unicode MS"/>
                <w:b w:val="0"/>
                <w:i w:val="0"/>
                <w:sz w:val="17"/>
              </w:rPr>
              <w:t>后纳入</w:t>
            </w:r>
          </w:p>
        </w:tc>
      </w:tr>
    </w:tbl>
    <w:p/>
    <w:p>
      <w:pPr>
        <w:pStyle w:val="21"/>
      </w:pPr>
      <w:r>
        <w:rPr>
          <w:b w:val="0"/>
          <w:i w:val="0"/>
        </w:rPr>
        <w:t>3.4 分析策略</w:t>
      </w:r>
    </w:p>
    <w:p>
      <w:pPr/>
      <w:r>
        <w:rPr>
          <w:b w:val="0"/>
          <w:i w:val="0"/>
        </w:rPr>
        <w:t>本研究采用</w:t>
      </w:r>
      <w:r>
        <w:rPr>
          <w:b/>
          <w:i w:val="0"/>
        </w:rPr>
        <w:t>理论导向的结构化内容分析（量化取向）</w:t>
      </w:r>
      <w:r>
        <w:rPr>
          <w:b w:val="0"/>
          <w:i w:val="0"/>
        </w:rPr>
        <w:t>。初始类目由理论、标准、既有研究和预设研究问题形成；共同校准与独立盲试标用于登记框架遗漏、边界案例和反例并冻结规则；正式编码后以描述统计、共现和组间比较回答研究问题。校准期的语境解释和备忘只用于开发测量工具，不构成并列的质性方法；主题分析不属于本研究的正式方法，V0—V11不得称为主题。</w:t>
      </w:r>
    </w:p>
    <w:p>
      <w:pPr/>
      <w:r>
        <w:rPr>
          <w:b/>
          <w:i w:val="0"/>
        </w:rPr>
        <w:t>第一步：描述性统计。</w:t>
      </w:r>
      <w:r>
        <w:rPr>
          <w:b w:val="0"/>
          <w:i w:val="0"/>
        </w:rPr>
        <w:t xml:space="preserve"> 在通过质量门的文本标签上计算频率分布和帖子级轮廓，明确区分人工金标结果与模型扩展结果。</w:t>
      </w:r>
    </w:p>
    <w:p>
      <w:pPr/>
      <w:r>
        <w:rPr>
          <w:b/>
          <w:i w:val="0"/>
        </w:rPr>
        <w:t>第二步：组间比较。</w:t>
      </w:r>
      <w:r>
        <w:rPr>
          <w:b w:val="0"/>
          <w:i w:val="0"/>
        </w:rPr>
        <w:t xml:space="preserve"> 在帖子级分别比较CSP、IMP、语言功能轮廓（ATP）和互动信号轮廓（ISP）的各分量；根据分布采用广义线性模型或非参数检验，并对同一指标族的多重比较作FDR校正。涉及同一作者多帖时使用作者聚类稳健标准误；跨平台结果同时报告平台固定效应和分平台敏感性分析。</w:t>
      </w:r>
    </w:p>
    <w:p>
      <w:pPr/>
      <w:r>
        <w:rPr>
          <w:b/>
          <w:i w:val="0"/>
        </w:rPr>
        <w:t>第三步：候选关联分析（DEFERRED）。</w:t>
      </w:r>
      <w:r>
        <w:rPr>
          <w:b w:val="0"/>
          <w:i w:val="0"/>
        </w:rPr>
        <w:t xml:space="preserve"> 只有编码表后续解除SRM/SAM的暂缓状态，才计算条件共现矩阵并以作者为重抽样单位形成区间；不得把共现解释为创作者意图或因果机制。</w:t>
      </w:r>
    </w:p>
    <w:p>
      <w:pPr/>
      <w:r>
        <w:rPr>
          <w:b/>
          <w:i w:val="0"/>
        </w:rPr>
        <w:t>第四步：探索性结构识别。</w:t>
      </w:r>
      <w:r>
        <w:rPr>
          <w:b w:val="0"/>
          <w:i w:val="0"/>
        </w:rPr>
        <w:t xml:space="preserve"> 可从通过质量门的字段中概括KOL/KOC在目的地形象呈现上的差异，并对编码结果进行预先标明的K-means或层次聚类敏感性分析。聚类只描述结构化变量中的相似性，不能生成或改写编码类目，也不称为主题分析结果。</w:t>
      </w:r>
    </w:p>
    <w:p>
      <w:pPr/>
      <w:r>
        <w:rPr>
          <w:b w:val="0"/>
          <w:i w:val="0"/>
        </w:rPr>
        <w:t>本节是理论分析计划，不声称相应工程链路已经实现。最终分析必须能由冻结数据、版本化规则和可复现运行结果重建。</w:t>
      </w:r>
    </w:p>
    <w:p>
      <w:pPr>
        <w:pStyle w:val="1"/>
      </w:pPr>
      <w:r>
        <w:rPr>
          <w:b w:val="0"/>
          <w:i w:val="0"/>
        </w:rPr>
        <w:t>第4章 发现</w:t>
      </w:r>
    </w:p>
    <w:p>
      <w:pPr/>
      <w:r>
        <w:rPr>
          <w:b w:val="0"/>
          <w:i/>
        </w:rPr>
        <w:t>（待数据采集和编码完成后填写）</w:t>
      </w:r>
    </w:p>
    <w:p>
      <w:pPr>
        <w:pStyle w:val="21"/>
      </w:pPr>
      <w:r>
        <w:rPr>
          <w:b w:val="0"/>
          <w:i w:val="0"/>
        </w:rPr>
        <w:t>4.1 描述性统计：各维度频率分布与平台差异</w:t>
      </w:r>
    </w:p>
    <w:p>
      <w:pPr>
        <w:pStyle w:val="21"/>
      </w:pPr>
      <w:r>
        <w:rPr>
          <w:b w:val="0"/>
          <w:i w:val="0"/>
        </w:rPr>
        <w:t>4.2 KOL与KOC的资源调用轮廓差异（H1）</w:t>
      </w:r>
    </w:p>
    <w:p>
      <w:pPr>
        <w:pStyle w:val="21"/>
      </w:pPr>
      <w:r>
        <w:rPr>
          <w:b w:val="0"/>
          <w:i w:val="0"/>
        </w:rPr>
        <w:t>4.3 KOL与KOC的内容策略分布差异（H2）</w:t>
      </w:r>
    </w:p>
    <w:p>
      <w:pPr>
        <w:pStyle w:val="21"/>
      </w:pPr>
      <w:r>
        <w:rPr>
          <w:b w:val="0"/>
          <w:i w:val="0"/>
        </w:rPr>
        <w:t>4.4 候选：策略→资源关联模式差异（SRM，H3，DEFERRED）</w:t>
      </w:r>
    </w:p>
    <w:p>
      <w:pPr>
        <w:pStyle w:val="21"/>
      </w:pPr>
      <w:r>
        <w:rPr>
          <w:b w:val="0"/>
          <w:i w:val="0"/>
        </w:rPr>
        <w:t>4.5 候选：资源→语言功能共现模式差异（SAM，H4，DEFERRED）</w:t>
      </w:r>
    </w:p>
    <w:p>
      <w:pPr>
        <w:pStyle w:val="21"/>
      </w:pPr>
      <w:r>
        <w:rPr>
          <w:b w:val="0"/>
          <w:i w:val="0"/>
        </w:rPr>
        <w:t>4.6 V3-CS-INT互动实现方式轮廓差异（ISP，H5）</w:t>
      </w:r>
    </w:p>
    <w:p>
      <w:pPr>
        <w:pStyle w:val="21"/>
      </w:pPr>
      <w:r>
        <w:rPr>
          <w:b w:val="0"/>
          <w:i w:val="0"/>
        </w:rPr>
        <w:t>4.7 候选：视觉轨与文本轨的协同表征（H6，DEFERRED）</w:t>
      </w:r>
    </w:p>
    <w:p>
      <w:pPr>
        <w:pStyle w:val="21"/>
      </w:pPr>
      <w:r>
        <w:rPr>
          <w:b w:val="0"/>
          <w:i w:val="0"/>
        </w:rPr>
        <w:t>4.8 候选：明确商业披露状态的调节效应（H7，DEFERRED）</w:t>
      </w:r>
    </w:p>
    <w:p>
      <w:pPr>
        <w:pStyle w:val="21"/>
      </w:pPr>
      <w:r>
        <w:rPr>
          <w:b w:val="0"/>
          <w:i w:val="0"/>
        </w:rPr>
        <w:t>4.9 候选：跨平台调节差异（H8，DEFERRED）</w:t>
      </w:r>
    </w:p>
    <w:p>
      <w:pPr>
        <w:pStyle w:val="1"/>
      </w:pPr>
      <w:r>
        <w:rPr>
          <w:b w:val="0"/>
          <w:i w:val="0"/>
        </w:rPr>
        <w:t>第5章 讨论</w:t>
      </w:r>
    </w:p>
    <w:p>
      <w:pPr/>
      <w:r>
        <w:rPr>
          <w:b w:val="0"/>
          <w:i/>
        </w:rPr>
        <w:t>（待发现章节完成后填写）</w:t>
      </w:r>
    </w:p>
    <w:p>
      <w:pPr>
        <w:pStyle w:val="21"/>
      </w:pPr>
      <w:r>
        <w:rPr>
          <w:b w:val="0"/>
          <w:i w:val="0"/>
        </w:rPr>
        <w:t>5.1 KOL/KOC目的地形象呈现策略的差异化模式</w:t>
      </w:r>
    </w:p>
    <w:p>
      <w:pPr>
        <w:pStyle w:val="21"/>
      </w:pPr>
      <w:r>
        <w:rPr>
          <w:b w:val="0"/>
          <w:i w:val="0"/>
        </w:rPr>
        <w:t>5.2 理论贡献</w:t>
      </w:r>
    </w:p>
    <w:p>
      <w:pPr>
        <w:pStyle w:val="21"/>
      </w:pPr>
      <w:r>
        <w:rPr>
          <w:b w:val="0"/>
          <w:i w:val="0"/>
        </w:rPr>
        <w:t>5.3 实践启示</w:t>
      </w:r>
    </w:p>
    <w:p>
      <w:pPr>
        <w:pStyle w:val="21"/>
      </w:pPr>
      <w:r>
        <w:rPr>
          <w:b w:val="0"/>
          <w:i w:val="0"/>
        </w:rPr>
        <w:t>5.4 研究局限与未来方向</w:t>
      </w:r>
    </w:p>
    <w:p>
      <w:pPr/>
      <w:r>
        <w:rPr>
          <w:b w:val="0"/>
          <w:i w:val="0"/>
        </w:rPr>
        <w:t>本研究的证据范围限于生产端。研究通过平台UGC的文本与视觉内容，识别KOL和KOC在内容策略、目的地资源调用、语言功能及图文协同方面的表征差异，但未纳入受众调查、实验或行为追踪。因此，本文所测量的是创作者对目的地形象的投射与呈现，而不是潜在游客实际形成的认知形象、情感形象或行为意向。基于内容频率、共现结构和组间差异所得的结果，不能进一步推断某种策略具有更强的传播效果，也不能据此判断某类创作者更能改变受众的目的地形象。</w:t>
      </w:r>
    </w:p>
    <w:p>
      <w:pPr/>
      <w:r>
        <w:rPr>
          <w:b w:val="0"/>
          <w:i w:val="0"/>
        </w:rPr>
        <w:t>这一边界也限制了本文对理论机制的检验。来源可信度、准社会关系、感知相似性和情绪感染可以用于解释创作者可能面向的受众预期，但由于研究未直接测量专业性、可信赖性、真实性、相似性及受众反应，这些构念在本文中属于理论解释视角，而非得到经验验证的中介机制。未来研究可从本研究识别出的典型“创作者类型—内容策略—资源调用”组合中开发多组等价刺激，采用随机实验分别测量认知形象、情感形象、总体形象以及访问、信息搜索和推荐意向，并检验来源可信度、感知真实性与相似性的中介作用。由此可以进一步比较创作者“经常采用的策略”与“能够影响受众的策略”是否一致。</w:t>
      </w:r>
    </w:p>
    <w:p>
      <w:pPr>
        <w:pStyle w:val="1"/>
      </w:pPr>
      <w:r>
        <w:rPr>
          <w:b w:val="0"/>
          <w:i w:val="0"/>
        </w:rPr>
        <w:t>第6章 结论</w:t>
      </w:r>
    </w:p>
    <w:p>
      <w:pPr/>
      <w:r>
        <w:rPr>
          <w:b w:val="0"/>
          <w:i/>
        </w:rPr>
        <w:t>（待讨论章节完成后填写）</w:t>
      </w:r>
    </w:p>
    <w:p>
      <w:pPr>
        <w:pStyle w:val="1"/>
      </w:pPr>
      <w:r>
        <w:rPr>
          <w:b w:val="0"/>
          <w:i w:val="0"/>
        </w:rPr>
        <w:t>参考文献</w:t>
      </w:r>
    </w:p>
    <w:p>
      <w:pPr>
        <w:spacing w:after="80"/>
        <w:ind w:left="403" w:hanging="403"/>
      </w:pPr>
      <w:r>
        <w:rPr>
          <w:b w:val="0"/>
          <w:i w:val="0"/>
        </w:rPr>
        <w:t xml:space="preserve">1. Akram, S., &amp; Majeed, R. (2026). Influencer marketing in the tourism industry: A systematic review. </w:t>
      </w:r>
      <w:r>
        <w:rPr>
          <w:b w:val="0"/>
          <w:i/>
        </w:rPr>
        <w:t>Journal of Rural Tourism</w:t>
      </w:r>
      <w:r>
        <w:rPr>
          <w:b w:val="0"/>
          <w:i w:val="0"/>
        </w:rPr>
        <w:t>.</w:t>
      </w:r>
    </w:p>
    <w:p>
      <w:pPr>
        <w:spacing w:after="80"/>
        <w:ind w:left="403" w:hanging="403"/>
      </w:pPr>
      <w:r>
        <w:rPr>
          <w:b w:val="0"/>
          <w:i w:val="0"/>
        </w:rPr>
        <w:t xml:space="preserve">2. Babu, M. A., et al. (2025). The impact of influencer marketing in the tourism industry: A digital marketing perspective. </w:t>
      </w:r>
      <w:r>
        <w:rPr>
          <w:b w:val="0"/>
          <w:i/>
        </w:rPr>
        <w:t>PLOS ONE</w:t>
      </w:r>
      <w:r>
        <w:rPr>
          <w:b w:val="0"/>
          <w:i w:val="0"/>
        </w:rPr>
        <w:t>, 20(12), e0338423.</w:t>
      </w:r>
    </w:p>
    <w:p>
      <w:pPr>
        <w:spacing w:after="80"/>
        <w:ind w:left="403" w:hanging="403"/>
      </w:pPr>
      <w:r>
        <w:rPr>
          <w:b w:val="0"/>
          <w:i w:val="0"/>
        </w:rPr>
        <w:t xml:space="preserve">3. Baloglu, S., &amp; McCleary, K. W. (1999). A model of destination image formation. </w:t>
      </w:r>
      <w:r>
        <w:rPr>
          <w:b w:val="0"/>
          <w:i/>
        </w:rPr>
        <w:t>Annals of Tourism Research</w:t>
      </w:r>
      <w:r>
        <w:rPr>
          <w:b w:val="0"/>
          <w:i w:val="0"/>
        </w:rPr>
        <w:t>, 26(4), 868-897.</w:t>
      </w:r>
    </w:p>
    <w:p>
      <w:pPr>
        <w:spacing w:after="80"/>
        <w:ind w:left="403" w:hanging="403"/>
      </w:pPr>
      <w:r>
        <w:rPr>
          <w:b w:val="0"/>
          <w:i w:val="0"/>
        </w:rPr>
        <w:t xml:space="preserve">4. Beerli, A., &amp; Martín, J. D. (2004). Factors influencing destination image. </w:t>
      </w:r>
      <w:r>
        <w:rPr>
          <w:b w:val="0"/>
          <w:i/>
        </w:rPr>
        <w:t>Annals of Tourism Research</w:t>
      </w:r>
      <w:r>
        <w:rPr>
          <w:b w:val="0"/>
          <w:i w:val="0"/>
        </w:rPr>
        <w:t>, 31(3), 657-681.</w:t>
      </w:r>
    </w:p>
    <w:p>
      <w:pPr>
        <w:spacing w:after="80"/>
        <w:ind w:left="403" w:hanging="403"/>
      </w:pPr>
      <w:r>
        <w:rPr>
          <w:b w:val="0"/>
          <w:i w:val="0"/>
        </w:rPr>
        <w:t xml:space="preserve">5. Brown, D., &amp; Hayes, N. (2008). </w:t>
      </w:r>
      <w:r>
        <w:rPr>
          <w:b w:val="0"/>
          <w:i/>
        </w:rPr>
        <w:t>Influencer Marketing: Who Really Influences Your Customers?</w:t>
      </w:r>
      <w:r>
        <w:rPr>
          <w:b w:val="0"/>
          <w:i w:val="0"/>
        </w:rPr>
        <w:t xml:space="preserve"> Butterworth-Heinemann.</w:t>
      </w:r>
    </w:p>
    <w:p>
      <w:pPr>
        <w:spacing w:after="80"/>
        <w:ind w:left="403" w:hanging="403"/>
      </w:pPr>
      <w:r>
        <w:rPr>
          <w:b w:val="0"/>
          <w:i w:val="0"/>
        </w:rPr>
        <w:t xml:space="preserve">6. Cachulo Pereira, M., &amp; Bacalhau, L. M. (2026). Scroll, watch, travel: An integrative framework of short-form video influence. </w:t>
      </w:r>
      <w:r>
        <w:rPr>
          <w:b w:val="0"/>
          <w:i/>
        </w:rPr>
        <w:t>Place Branding and Public Diplomacy</w:t>
      </w:r>
      <w:r>
        <w:rPr>
          <w:b w:val="0"/>
          <w:i w:val="0"/>
        </w:rPr>
        <w:t>.</w:t>
      </w:r>
    </w:p>
    <w:p>
      <w:pPr>
        <w:spacing w:after="80"/>
        <w:ind w:left="403" w:hanging="403"/>
      </w:pPr>
      <w:r>
        <w:rPr>
          <w:b w:val="0"/>
          <w:i w:val="0"/>
        </w:rPr>
        <w:t xml:space="preserve">7. Chen, J., et al. (2021). Key opinion leaders and their impact on consumer behavior in social media. </w:t>
      </w:r>
      <w:r>
        <w:rPr>
          <w:b w:val="0"/>
          <w:i/>
        </w:rPr>
        <w:t>Journal of Business Research</w:t>
      </w:r>
      <w:r>
        <w:rPr>
          <w:b w:val="0"/>
          <w:i w:val="0"/>
        </w:rPr>
        <w:t>.</w:t>
      </w:r>
    </w:p>
    <w:p>
      <w:pPr>
        <w:spacing w:after="80"/>
        <w:ind w:left="403" w:hanging="403"/>
      </w:pPr>
      <w:r>
        <w:rPr>
          <w:b w:val="0"/>
          <w:i w:val="0"/>
        </w:rPr>
        <w:t xml:space="preserve">8. Chen, S., et al. (2024). Unveiling UGC: A knowledge graph-driven analysis of tourist destination image. </w:t>
      </w:r>
      <w:r>
        <w:rPr>
          <w:b w:val="0"/>
          <w:i/>
        </w:rPr>
        <w:t>Frontiers in ICT</w:t>
      </w:r>
      <w:r>
        <w:rPr>
          <w:b w:val="0"/>
          <w:i w:val="0"/>
        </w:rPr>
        <w:t>.</w:t>
      </w:r>
    </w:p>
    <w:p>
      <w:pPr>
        <w:spacing w:after="80"/>
        <w:ind w:left="403" w:hanging="403"/>
      </w:pPr>
      <w:r>
        <w:rPr>
          <w:b w:val="0"/>
          <w:i w:val="0"/>
        </w:rPr>
        <w:t xml:space="preserve">9. Chu, C.-P. (2018). The influence of social media use and travel motivation on the perceived destination image. </w:t>
      </w:r>
      <w:r>
        <w:rPr>
          <w:b w:val="0"/>
          <w:i/>
        </w:rPr>
        <w:t>Bangkok University</w:t>
      </w:r>
      <w:r>
        <w:rPr>
          <w:b w:val="0"/>
          <w:i w:val="0"/>
        </w:rPr>
        <w:t>.</w:t>
      </w:r>
    </w:p>
    <w:p>
      <w:pPr>
        <w:spacing w:after="80"/>
        <w:ind w:left="403" w:hanging="403"/>
      </w:pPr>
      <w:r>
        <w:rPr>
          <w:b w:val="0"/>
          <w:i w:val="0"/>
        </w:rPr>
        <w:t xml:space="preserve">10. Citra, K., et al. (2025). The role of influencers in the digital era as an effort to promote Indonesian tourism destinations. </w:t>
      </w:r>
      <w:r>
        <w:rPr>
          <w:b w:val="0"/>
          <w:i/>
        </w:rPr>
        <w:t>Jurnal Kepariwisataan</w:t>
      </w:r>
      <w:r>
        <w:rPr>
          <w:b w:val="0"/>
          <w:i w:val="0"/>
        </w:rPr>
        <w:t>, 9(2), 189-199.</w:t>
      </w:r>
    </w:p>
    <w:p>
      <w:pPr>
        <w:spacing w:after="80"/>
        <w:ind w:left="403" w:hanging="403"/>
      </w:pPr>
      <w:r>
        <w:rPr>
          <w:b w:val="0"/>
          <w:i w:val="0"/>
        </w:rPr>
        <w:t xml:space="preserve">11. Crompton, J. L. (1979). An assessment of the image of Mexico as a vacation destination. </w:t>
      </w:r>
      <w:r>
        <w:rPr>
          <w:b w:val="0"/>
          <w:i/>
        </w:rPr>
        <w:t>Journal of Travel Research</w:t>
      </w:r>
      <w:r>
        <w:rPr>
          <w:b w:val="0"/>
          <w:i w:val="0"/>
        </w:rPr>
        <w:t>, 18(4), 18-23.</w:t>
      </w:r>
    </w:p>
    <w:p>
      <w:pPr>
        <w:spacing w:after="80"/>
        <w:ind w:left="403" w:hanging="403"/>
      </w:pPr>
      <w:r>
        <w:rPr>
          <w:b w:val="0"/>
          <w:i w:val="0"/>
        </w:rPr>
        <w:t xml:space="preserve">12. Echtner, C. M., &amp; Ritchie, J. R. B. (1993). The measurement of destination image. </w:t>
      </w:r>
      <w:r>
        <w:rPr>
          <w:b w:val="0"/>
          <w:i/>
        </w:rPr>
        <w:t>Journal of Travel Research</w:t>
      </w:r>
      <w:r>
        <w:rPr>
          <w:b w:val="0"/>
          <w:i w:val="0"/>
        </w:rPr>
        <w:t>, 31(2), 2-13.</w:t>
      </w:r>
    </w:p>
    <w:p>
      <w:pPr>
        <w:spacing w:after="80"/>
        <w:ind w:left="403" w:hanging="403"/>
      </w:pPr>
      <w:r>
        <w:rPr>
          <w:b w:val="0"/>
          <w:i w:val="0"/>
        </w:rPr>
        <w:t xml:space="preserve">13. Gartner, W. C. (1994). Image formation process. </w:t>
      </w:r>
      <w:r>
        <w:rPr>
          <w:b w:val="0"/>
          <w:i/>
        </w:rPr>
        <w:t>Journal of Travel &amp; Tourism Marketing</w:t>
      </w:r>
      <w:r>
        <w:rPr>
          <w:b w:val="0"/>
          <w:i w:val="0"/>
        </w:rPr>
        <w:t>, 2(2-3), 191-216.</w:t>
      </w:r>
    </w:p>
    <w:p>
      <w:pPr>
        <w:spacing w:after="80"/>
        <w:ind w:left="403" w:hanging="403"/>
      </w:pPr>
      <w:r>
        <w:rPr>
          <w:b w:val="0"/>
          <w:i w:val="0"/>
        </w:rPr>
        <w:t xml:space="preserve">14. Howard, J., &amp; Ruder, S. (2018). Universal language model fine-tuning for text classification. </w:t>
      </w:r>
      <w:r>
        <w:rPr>
          <w:b w:val="0"/>
          <w:i/>
        </w:rPr>
        <w:t>ACL</w:t>
      </w:r>
      <w:r>
        <w:rPr>
          <w:b w:val="0"/>
          <w:i w:val="0"/>
        </w:rPr>
        <w:t>.</w:t>
      </w:r>
    </w:p>
    <w:p>
      <w:pPr>
        <w:spacing w:after="80"/>
        <w:ind w:left="403" w:hanging="403"/>
      </w:pPr>
      <w:r>
        <w:rPr>
          <w:b w:val="0"/>
          <w:i w:val="0"/>
        </w:rPr>
        <w:t xml:space="preserve">15. Hwang, K., &amp; Zhang, Q. (2018). Fostering parasocial relationships with celebrities on social media. </w:t>
      </w:r>
      <w:r>
        <w:rPr>
          <w:b w:val="0"/>
          <w:i/>
        </w:rPr>
        <w:t>Psychology &amp; Marketing</w:t>
      </w:r>
      <w:r>
        <w:rPr>
          <w:b w:val="0"/>
          <w:i w:val="0"/>
        </w:rPr>
        <w:t>, 35(4), 286-297.</w:t>
      </w:r>
    </w:p>
    <w:p>
      <w:pPr>
        <w:spacing w:after="80"/>
        <w:ind w:left="403" w:hanging="403"/>
      </w:pPr>
      <w:r>
        <w:rPr>
          <w:b w:val="0"/>
          <w:i w:val="0"/>
        </w:rPr>
        <w:t xml:space="preserve">16. Ki, C. W., &amp; Kim, Y. K. (2020). Influencer marketing: Social media influencers as human brands. </w:t>
      </w:r>
      <w:r>
        <w:rPr>
          <w:b w:val="0"/>
          <w:i/>
        </w:rPr>
        <w:t>Journal of Retailing and Consumer Services</w:t>
      </w:r>
      <w:r>
        <w:rPr>
          <w:b w:val="0"/>
          <w:i w:val="0"/>
        </w:rPr>
        <w:t>, 55, 102133.</w:t>
      </w:r>
    </w:p>
    <w:p>
      <w:pPr>
        <w:spacing w:after="80"/>
        <w:ind w:left="403" w:hanging="403"/>
      </w:pPr>
      <w:r>
        <w:rPr>
          <w:b w:val="0"/>
          <w:i w:val="0"/>
        </w:rPr>
        <w:t xml:space="preserve">17. Knoll, J., &amp; Matthes, J. (2017). The effectiveness of celebrity endorsements: A meta-analysis. </w:t>
      </w:r>
      <w:r>
        <w:rPr>
          <w:b w:val="0"/>
          <w:i/>
        </w:rPr>
        <w:t>Journal of the Academy of Marketing Science</w:t>
      </w:r>
      <w:r>
        <w:rPr>
          <w:b w:val="0"/>
          <w:i w:val="0"/>
        </w:rPr>
        <w:t>, 45(1), 55-75.</w:t>
      </w:r>
    </w:p>
    <w:p>
      <w:pPr>
        <w:spacing w:after="80"/>
        <w:ind w:left="403" w:hanging="403"/>
      </w:pPr>
      <w:r>
        <w:rPr>
          <w:b w:val="0"/>
          <w:i w:val="0"/>
        </w:rPr>
        <w:t xml:space="preserve">18. Krippendorff, K. (2018). </w:t>
      </w:r>
      <w:r>
        <w:rPr>
          <w:b w:val="0"/>
          <w:i/>
        </w:rPr>
        <w:t>Content Analysis: An Introduction to Its Methodology</w:t>
      </w:r>
      <w:r>
        <w:rPr>
          <w:b w:val="0"/>
          <w:i w:val="0"/>
        </w:rPr>
        <w:t xml:space="preserve"> (4th ed.). Sage.</w:t>
      </w:r>
    </w:p>
    <w:p>
      <w:pPr>
        <w:spacing w:after="80"/>
        <w:ind w:left="403" w:hanging="403"/>
      </w:pPr>
      <w:r>
        <w:rPr>
          <w:b w:val="0"/>
          <w:i w:val="0"/>
        </w:rPr>
        <w:t xml:space="preserve">19. Lou, C., &amp; Yuan, S. (2019). Influencer marketing: How message value and credibility affect consumer trust of branded content on social media. </w:t>
      </w:r>
      <w:r>
        <w:rPr>
          <w:b w:val="0"/>
          <w:i/>
        </w:rPr>
        <w:t>Journal of Interactive Advertising</w:t>
      </w:r>
      <w:r>
        <w:rPr>
          <w:b w:val="0"/>
          <w:i w:val="0"/>
        </w:rPr>
        <w:t>, 19(1), 58-73. DOI: 10.1080/15252019.2018.1533501</w:t>
      </w:r>
    </w:p>
    <w:p>
      <w:pPr>
        <w:spacing w:after="80"/>
        <w:ind w:left="403" w:hanging="403"/>
      </w:pPr>
      <w:r>
        <w:rPr>
          <w:b w:val="0"/>
          <w:i w:val="0"/>
        </w:rPr>
        <w:t xml:space="preserve">20. Marchiori, E., et al. (2025). The 'other' tourists: Online destination image projected by digital influencers. </w:t>
      </w:r>
      <w:r>
        <w:rPr>
          <w:b w:val="0"/>
          <w:i/>
        </w:rPr>
        <w:t>Tourism &amp; Management Studies</w:t>
      </w:r>
      <w:r>
        <w:rPr>
          <w:b w:val="0"/>
          <w:i w:val="0"/>
        </w:rPr>
        <w:t>.</w:t>
      </w:r>
    </w:p>
    <w:p>
      <w:pPr>
        <w:spacing w:after="80"/>
        <w:ind w:left="403" w:hanging="403"/>
      </w:pPr>
      <w:r>
        <w:rPr>
          <w:b w:val="0"/>
          <w:i w:val="0"/>
        </w:rPr>
        <w:t xml:space="preserve">21. Marine-Roig, E. (2017). Measuring destination image through travel reviews. </w:t>
      </w:r>
      <w:r>
        <w:rPr>
          <w:b w:val="0"/>
          <w:i/>
        </w:rPr>
        <w:t>Current Issues in Tourism</w:t>
      </w:r>
      <w:r>
        <w:rPr>
          <w:b w:val="0"/>
          <w:i w:val="0"/>
        </w:rPr>
        <w:t>, 20(13), 1411-1428.</w:t>
      </w:r>
    </w:p>
    <w:p>
      <w:pPr>
        <w:spacing w:after="80"/>
        <w:ind w:left="403" w:hanging="403"/>
      </w:pPr>
      <w:r>
        <w:rPr>
          <w:b w:val="0"/>
          <w:i w:val="0"/>
        </w:rPr>
        <w:t xml:space="preserve">22. McCracken, G. (1989). Who is the celebrity endorser? Cultural foundations of the endorsement process. </w:t>
      </w:r>
      <w:r>
        <w:rPr>
          <w:b w:val="0"/>
          <w:i/>
        </w:rPr>
        <w:t>Journal of Consumer Research</w:t>
      </w:r>
      <w:r>
        <w:rPr>
          <w:b w:val="0"/>
          <w:i w:val="0"/>
        </w:rPr>
        <w:t>, 16(3), 310-321. DOI: 10.1086/209217</w:t>
      </w:r>
    </w:p>
    <w:p>
      <w:pPr>
        <w:spacing w:after="80"/>
        <w:ind w:left="403" w:hanging="403"/>
      </w:pPr>
      <w:r>
        <w:rPr>
          <w:b w:val="0"/>
          <w:i w:val="0"/>
        </w:rPr>
        <w:t xml:space="preserve">23. Mayring, P. (2000). Qualitative content analysis. </w:t>
      </w:r>
      <w:r>
        <w:rPr>
          <w:b w:val="0"/>
          <w:i/>
        </w:rPr>
        <w:t>Forum: Qualitative Social Research</w:t>
      </w:r>
      <w:r>
        <w:rPr>
          <w:b w:val="0"/>
          <w:i w:val="0"/>
        </w:rPr>
        <w:t>, 1(2), Art. 20.</w:t>
      </w:r>
    </w:p>
    <w:p>
      <w:pPr>
        <w:spacing w:after="80"/>
        <w:ind w:left="403" w:hanging="403"/>
      </w:pPr>
      <w:r>
        <w:rPr>
          <w:b w:val="0"/>
          <w:i w:val="0"/>
        </w:rPr>
        <w:t xml:space="preserve">24. Neuendorf, K. A. (2017). </w:t>
      </w:r>
      <w:r>
        <w:rPr>
          <w:b w:val="0"/>
          <w:i/>
        </w:rPr>
        <w:t>The Content Analysis Guidebook</w:t>
      </w:r>
      <w:r>
        <w:rPr>
          <w:b w:val="0"/>
          <w:i w:val="0"/>
        </w:rPr>
        <w:t xml:space="preserve"> (2nd ed.). Sage.</w:t>
      </w:r>
    </w:p>
    <w:p>
      <w:pPr>
        <w:spacing w:after="80"/>
        <w:ind w:left="403" w:hanging="403"/>
      </w:pPr>
      <w:r>
        <w:rPr>
          <w:b w:val="0"/>
          <w:i w:val="0"/>
        </w:rPr>
        <w:t xml:space="preserve">25. Ohanian, R. (1990). Construction and validation of a scale to measure celebrity endorsers' perceived expertise, trustworthiness, and attractiveness. </w:t>
      </w:r>
      <w:r>
        <w:rPr>
          <w:b w:val="0"/>
          <w:i/>
        </w:rPr>
        <w:t>Journal of Advertising</w:t>
      </w:r>
      <w:r>
        <w:rPr>
          <w:b w:val="0"/>
          <w:i w:val="0"/>
        </w:rPr>
        <w:t>, 19(3), 39-52. DOI: 10.1080/00913367.1990.10673191</w:t>
      </w:r>
    </w:p>
    <w:p>
      <w:pPr>
        <w:spacing w:after="80"/>
        <w:ind w:left="403" w:hanging="403"/>
      </w:pPr>
      <w:r>
        <w:rPr>
          <w:b w:val="0"/>
          <w:i w:val="0"/>
        </w:rPr>
        <w:t xml:space="preserve">26. Petty, R. E., &amp; Cacioppo, J. T. (1986). The Elaboration Likelihood Model of persuasion. </w:t>
      </w:r>
      <w:r>
        <w:rPr>
          <w:b w:val="0"/>
          <w:i/>
        </w:rPr>
        <w:t>Advances in Experimental Social Psychology</w:t>
      </w:r>
      <w:r>
        <w:rPr>
          <w:b w:val="0"/>
          <w:i w:val="0"/>
        </w:rPr>
        <w:t>, 19, 123-205.</w:t>
      </w:r>
    </w:p>
    <w:p>
      <w:pPr>
        <w:spacing w:after="80"/>
        <w:ind w:left="403" w:hanging="403"/>
      </w:pPr>
      <w:r>
        <w:rPr>
          <w:b w:val="0"/>
          <w:i w:val="0"/>
        </w:rPr>
        <w:t xml:space="preserve">27. Schouten, A. P., Janssen, L., &amp; Verspaget, M. (2019). Instagram and YouTube bloggers promote it, why should I buy? How credibility and parasocial interaction influence purchase intentions. </w:t>
      </w:r>
      <w:r>
        <w:rPr>
          <w:b w:val="0"/>
          <w:i/>
        </w:rPr>
        <w:t>Journal of Retailing and Consumer Services</w:t>
      </w:r>
      <w:r>
        <w:rPr>
          <w:b w:val="0"/>
          <w:i w:val="0"/>
        </w:rPr>
        <w:t>, 46, 101-112. DOI: 10.1016/j.jretconser.2019.01.011</w:t>
      </w:r>
    </w:p>
    <w:p>
      <w:pPr>
        <w:spacing w:after="80"/>
        <w:ind w:left="403" w:hanging="403"/>
      </w:pPr>
      <w:r>
        <w:rPr>
          <w:b w:val="0"/>
          <w:i w:val="0"/>
        </w:rPr>
        <w:t xml:space="preserve">28. Sesar, V., et al. (2021). Influencer marketing in travel and tourism: Literature review. </w:t>
      </w:r>
      <w:r>
        <w:rPr>
          <w:b w:val="0"/>
          <w:i/>
        </w:rPr>
        <w:t>ESD Conference Proceedings</w:t>
      </w:r>
      <w:r>
        <w:rPr>
          <w:b w:val="0"/>
          <w:i w:val="0"/>
        </w:rPr>
        <w:t>.</w:t>
      </w:r>
    </w:p>
    <w:p>
      <w:pPr>
        <w:spacing w:after="80"/>
        <w:ind w:left="403" w:hanging="403"/>
      </w:pPr>
      <w:r>
        <w:rPr>
          <w:b w:val="0"/>
          <w:i w:val="0"/>
        </w:rPr>
        <w:t xml:space="preserve">29. Settles, B. (2012). </w:t>
      </w:r>
      <w:r>
        <w:rPr>
          <w:b w:val="0"/>
          <w:i/>
        </w:rPr>
        <w:t>Active Learning</w:t>
      </w:r>
      <w:r>
        <w:rPr>
          <w:b w:val="0"/>
          <w:i w:val="0"/>
        </w:rPr>
        <w:t>. Morgan &amp; Claypool.</w:t>
      </w:r>
    </w:p>
    <w:p>
      <w:pPr>
        <w:spacing w:after="80"/>
        <w:ind w:left="403" w:hanging="403"/>
      </w:pPr>
      <w:r>
        <w:rPr>
          <w:b w:val="0"/>
          <w:i w:val="0"/>
        </w:rPr>
        <w:t xml:space="preserve">30. Shorten, C., &amp; Khoshgoftaar, T. M. (2019). A survey on image data augmentation for deep learning. </w:t>
      </w:r>
      <w:r>
        <w:rPr>
          <w:b w:val="0"/>
          <w:i/>
        </w:rPr>
        <w:t>Journal of Big Data</w:t>
      </w:r>
      <w:r>
        <w:rPr>
          <w:b w:val="0"/>
          <w:i w:val="0"/>
        </w:rPr>
        <w:t>, 6(1), 1-48.</w:t>
      </w:r>
    </w:p>
    <w:p>
      <w:pPr>
        <w:spacing w:after="80"/>
        <w:ind w:left="403" w:hanging="403"/>
      </w:pPr>
      <w:r>
        <w:rPr>
          <w:b w:val="0"/>
          <w:i w:val="0"/>
        </w:rPr>
        <w:t xml:space="preserve">31. Siddhant, A., &amp; Lipton, Z. C. (2018). Deep Bayesian active learning for natural language processing. </w:t>
      </w:r>
      <w:r>
        <w:rPr>
          <w:b w:val="0"/>
          <w:i/>
        </w:rPr>
        <w:t>ICLR Workshop</w:t>
      </w:r>
      <w:r>
        <w:rPr>
          <w:b w:val="0"/>
          <w:i w:val="0"/>
        </w:rPr>
        <w:t>.</w:t>
      </w:r>
    </w:p>
    <w:p>
      <w:pPr>
        <w:spacing w:after="80"/>
        <w:ind w:left="403" w:hanging="403"/>
      </w:pPr>
      <w:r>
        <w:rPr>
          <w:b w:val="0"/>
          <w:i w:val="0"/>
        </w:rPr>
        <w:t xml:space="preserve">32. Tajbakhsh, N., et al. (2016). Convolutional neural networks for medical image analysis: Full training or fine tuning? </w:t>
      </w:r>
      <w:r>
        <w:rPr>
          <w:b w:val="0"/>
          <w:i/>
        </w:rPr>
        <w:t>IEEE TMI</w:t>
      </w:r>
      <w:r>
        <w:rPr>
          <w:b w:val="0"/>
          <w:i w:val="0"/>
        </w:rPr>
        <w:t>, 35(5), 1299-1321.</w:t>
      </w:r>
    </w:p>
    <w:p>
      <w:pPr>
        <w:spacing w:after="80"/>
        <w:ind w:left="403" w:hanging="403"/>
      </w:pPr>
      <w:r>
        <w:rPr>
          <w:b w:val="0"/>
          <w:i w:val="0"/>
        </w:rPr>
        <w:t xml:space="preserve">33. Wei, J., &amp; Zou, K. (2019). EDA: Easy data augmentation techniques for boosting performance on text classification tasks. </w:t>
      </w:r>
      <w:r>
        <w:rPr>
          <w:b w:val="0"/>
          <w:i/>
        </w:rPr>
        <w:t>EMNLP</w:t>
      </w:r>
      <w:r>
        <w:rPr>
          <w:b w:val="0"/>
          <w:i w:val="0"/>
        </w:rPr>
        <w:t>.</w:t>
      </w:r>
    </w:p>
    <w:p>
      <w:pPr>
        <w:spacing w:after="80"/>
        <w:ind w:left="403" w:hanging="403"/>
      </w:pPr>
      <w:r>
        <w:rPr>
          <w:b w:val="0"/>
          <w:i w:val="0"/>
        </w:rPr>
        <w:t xml:space="preserve">34. Xuan, Z., et al. (2025). Internet celebrities' dual-identity and destination image construction. </w:t>
      </w:r>
      <w:r>
        <w:rPr>
          <w:b w:val="0"/>
          <w:i/>
        </w:rPr>
        <w:t>Tourism Tribune</w:t>
      </w:r>
      <w:r>
        <w:rPr>
          <w:b w:val="0"/>
          <w:i w:val="0"/>
        </w:rPr>
        <w:t>.</w:t>
      </w:r>
    </w:p>
    <w:p>
      <w:pPr>
        <w:spacing w:after="80"/>
        <w:ind w:left="403" w:hanging="403"/>
      </w:pPr>
      <w:r>
        <w:rPr>
          <w:b w:val="0"/>
          <w:i w:val="0"/>
        </w:rPr>
        <w:t xml:space="preserve">35. Zeng, X., et al. (2024). Does UGC commercialization discourage platform users' engagement? </w:t>
      </w:r>
      <w:r>
        <w:rPr>
          <w:b w:val="0"/>
          <w:i/>
        </w:rPr>
        <w:t>Journal of Business Research</w:t>
      </w:r>
      <w:r>
        <w:rPr>
          <w:b w:val="0"/>
          <w:i w:val="0"/>
        </w:rPr>
        <w:t>.</w:t>
      </w:r>
    </w:p>
    <w:p>
      <w:pPr>
        <w:spacing w:after="80"/>
        <w:ind w:left="403" w:hanging="403"/>
      </w:pPr>
      <w:r>
        <w:rPr>
          <w:b w:val="0"/>
          <w:i w:val="0"/>
        </w:rPr>
        <w:t xml:space="preserve">36. Hsieh, H.-F., &amp; Shannon, S. E. (2005). Three approaches to qualitative content analysis. </w:t>
      </w:r>
      <w:r>
        <w:rPr>
          <w:b w:val="0"/>
          <w:i/>
        </w:rPr>
        <w:t>Qualitative Health Research</w:t>
      </w:r>
      <w:r>
        <w:rPr>
          <w:b w:val="0"/>
          <w:i w:val="0"/>
        </w:rPr>
        <w:t>, 15(9), 1277-1288. DOI: 10.1177/1049732305276687</w:t>
      </w:r>
    </w:p>
    <w:p>
      <w:pPr>
        <w:spacing w:after="80"/>
        <w:ind w:left="403" w:hanging="403"/>
      </w:pPr>
      <w:r>
        <w:rPr>
          <w:b w:val="0"/>
          <w:i w:val="0"/>
        </w:rPr>
        <w:t xml:space="preserve">37. Horton, D., &amp; Wohl, R. R. (1956). Mass communication and para-social interaction: Observations on intimacy at a distance. </w:t>
      </w:r>
      <w:r>
        <w:rPr>
          <w:b w:val="0"/>
          <w:i/>
        </w:rPr>
        <w:t>Psychiatry</w:t>
      </w:r>
      <w:r>
        <w:rPr>
          <w:b w:val="0"/>
          <w:i w:val="0"/>
        </w:rPr>
        <w:t>, 19(3), 215-229. DOI: 10.1080/00332747.1956.11023049</w:t>
      </w:r>
    </w:p>
    <w:p>
      <w:pPr>
        <w:spacing w:after="80"/>
        <w:ind w:left="403" w:hanging="403"/>
      </w:pPr>
      <w:r>
        <w:rPr>
          <w:b w:val="0"/>
          <w:i w:val="0"/>
        </w:rPr>
        <w:t xml:space="preserve">38. Hovland, C. I., Janis, I. L., &amp; Kelley, H. H. (1953). </w:t>
      </w:r>
      <w:r>
        <w:rPr>
          <w:b w:val="0"/>
          <w:i/>
        </w:rPr>
        <w:t>Communication and Persuasion: Psychological Studies of Opinion Change</w:t>
      </w:r>
      <w:r>
        <w:rPr>
          <w:b w:val="0"/>
          <w:i w:val="0"/>
        </w:rPr>
        <w:t>. Yale University Press.</w:t>
      </w:r>
    </w:p>
    <w:p>
      <w:pPr>
        <w:spacing w:after="80"/>
        <w:ind w:left="403" w:hanging="403"/>
      </w:pPr>
      <w:r>
        <w:rPr>
          <w:b w:val="0"/>
          <w:i w:val="0"/>
        </w:rPr>
        <w:t xml:space="preserve">39. Hughes, C., Swaminathan, V., &amp; Brooks, G. (2019). Driving brand engagement through online social influencers: An empirical investigation of sponsored blogging campaigns. </w:t>
      </w:r>
      <w:r>
        <w:rPr>
          <w:b w:val="0"/>
          <w:i/>
        </w:rPr>
        <w:t>Journal of Marketing</w:t>
      </w:r>
      <w:r>
        <w:rPr>
          <w:b w:val="0"/>
          <w:i w:val="0"/>
        </w:rPr>
        <w:t>, 83(5), 78-96. DOI: 10.1177/0022242919854374</w:t>
      </w:r>
    </w:p>
    <w:p>
      <w:pPr>
        <w:spacing w:after="80"/>
        <w:ind w:left="403" w:hanging="403"/>
      </w:pPr>
      <w:r>
        <w:rPr>
          <w:b w:val="0"/>
          <w:i w:val="0"/>
        </w:rPr>
        <w:t xml:space="preserve">40. Kress, G., &amp; van Leeuwen, T. (2006). </w:t>
      </w:r>
      <w:r>
        <w:rPr>
          <w:b w:val="0"/>
          <w:i/>
        </w:rPr>
        <w:t>Reading Images: The Grammar of Visual Design</w:t>
      </w:r>
      <w:r>
        <w:rPr>
          <w:b w:val="0"/>
          <w:i w:val="0"/>
        </w:rPr>
        <w:t xml:space="preserve"> (2nd ed.). Routledge.</w:t>
      </w:r>
    </w:p>
    <w:p>
      <w:pPr>
        <w:spacing w:after="80"/>
        <w:ind w:left="403" w:hanging="403"/>
      </w:pPr>
      <w:r>
        <w:rPr>
          <w:b w:val="0"/>
          <w:i w:val="0"/>
        </w:rPr>
        <w:t xml:space="preserve">41. Rose, G. (2016). </w:t>
      </w:r>
      <w:r>
        <w:rPr>
          <w:b w:val="0"/>
          <w:i/>
        </w:rPr>
        <w:t>Visual Methodologies: An Introduction to Researching with Visual Materials</w:t>
      </w:r>
      <w:r>
        <w:rPr>
          <w:b w:val="0"/>
          <w:i w:val="0"/>
        </w:rPr>
        <w:t xml:space="preserve"> (4th ed.). Sage.</w:t>
      </w:r>
    </w:p>
    <w:p>
      <w:pPr>
        <w:spacing w:after="80"/>
        <w:ind w:left="403" w:hanging="403"/>
      </w:pPr>
      <w:r>
        <w:rPr>
          <w:b w:val="0"/>
          <w:i w:val="0"/>
        </w:rPr>
        <w:t xml:space="preserve">42. Guerreiro, M., et al. (2024). The online destination image as portrayed by UGC on social media. </w:t>
      </w:r>
      <w:r>
        <w:rPr>
          <w:b w:val="0"/>
          <w:i/>
        </w:rPr>
        <w:t>Tourism &amp; Management Studies</w:t>
      </w:r>
      <w:r>
        <w:rPr>
          <w:b w:val="0"/>
          <w:i w:val="0"/>
        </w:rPr>
        <w:t>, 20(4), 1-15.</w:t>
      </w:r>
    </w:p>
    <w:p>
      <w:pPr>
        <w:spacing w:after="80"/>
        <w:ind w:left="403" w:hanging="403"/>
      </w:pPr>
      <w:r>
        <w:rPr>
          <w:b w:val="0"/>
          <w:i w:val="0"/>
        </w:rPr>
        <w:t xml:space="preserve">43. 邓宁, 刘耀芳, 牛宇, 计卫星. (2019). 不同来源地旅游者对北京目的地形象感知差异——基于深度学习的Flickr图片分析. </w:t>
      </w:r>
      <w:r>
        <w:rPr>
          <w:b w:val="0"/>
          <w:i/>
        </w:rPr>
        <w:t>资源科学</w:t>
      </w:r>
      <w:r>
        <w:rPr>
          <w:b w:val="0"/>
          <w:i w:val="0"/>
        </w:rPr>
        <w:t>, 41(3).</w:t>
      </w:r>
    </w:p>
    <w:p>
      <w:pPr>
        <w:spacing w:after="80"/>
        <w:ind w:left="403" w:hanging="403"/>
      </w:pPr>
      <w:r>
        <w:rPr>
          <w:b w:val="0"/>
          <w:i w:val="0"/>
        </w:rPr>
        <w:t xml:space="preserve">44. 黄鸿业, 马燕, 邓沛程. (2025). 网红之谜：城市形象传播视角下微博旅游议题的情绪感染. </w:t>
      </w:r>
      <w:r>
        <w:rPr>
          <w:b w:val="0"/>
          <w:i/>
        </w:rPr>
        <w:t>新闻与传播评论</w:t>
      </w:r>
      <w:r>
        <w:rPr>
          <w:b w:val="0"/>
          <w:i w:val="0"/>
        </w:rPr>
        <w:t>, 78(6), 49-61.</w:t>
      </w:r>
    </w:p>
    <w:p>
      <w:pPr>
        <w:spacing w:after="80"/>
        <w:ind w:left="403" w:hanging="403"/>
      </w:pPr>
      <w:r>
        <w:rPr>
          <w:b w:val="0"/>
          <w:i w:val="0"/>
        </w:rPr>
        <w:t xml:space="preserve">45. 黄颖华, 黄福才. (2007). 旅游者感知价值模型、测度与实证研究. </w:t>
      </w:r>
      <w:r>
        <w:rPr>
          <w:b w:val="0"/>
          <w:i/>
        </w:rPr>
        <w:t>旅游学刊</w:t>
      </w:r>
      <w:r>
        <w:rPr>
          <w:b w:val="0"/>
          <w:i w:val="0"/>
        </w:rPr>
        <w:t>, 22(8).</w:t>
      </w:r>
    </w:p>
    <w:p>
      <w:pPr>
        <w:spacing w:after="80"/>
        <w:ind w:left="403" w:hanging="403"/>
      </w:pPr>
      <w:r>
        <w:rPr>
          <w:b w:val="0"/>
          <w:i w:val="0"/>
        </w:rPr>
        <w:t xml:space="preserve">46. 李春晓, 李辉, 刘艳筝, 梁赛. (2020). 多彩华夏：大数据视角的入境游客体验感知差异深描. </w:t>
      </w:r>
      <w:r>
        <w:rPr>
          <w:b w:val="0"/>
          <w:i/>
        </w:rPr>
        <w:t>南开管理评论</w:t>
      </w:r>
      <w:r>
        <w:rPr>
          <w:b w:val="0"/>
          <w:i w:val="0"/>
        </w:rPr>
        <w:t>, 23(1).</w:t>
      </w:r>
    </w:p>
    <w:p>
      <w:pPr>
        <w:spacing w:after="80"/>
        <w:ind w:left="403" w:hanging="403"/>
      </w:pPr>
      <w:r>
        <w:rPr>
          <w:b w:val="0"/>
          <w:i w:val="0"/>
        </w:rPr>
        <w:t xml:space="preserve">47. 罗佳琦, 金贤珠, 黄松山, 冯学能. (2025). 深度学习技术在旅游研究中应用的发展与展望. </w:t>
      </w:r>
      <w:r>
        <w:rPr>
          <w:b w:val="0"/>
          <w:i/>
        </w:rPr>
        <w:t>世界地理研究</w:t>
      </w:r>
      <w:r>
        <w:rPr>
          <w:b w:val="0"/>
          <w:i w:val="0"/>
        </w:rPr>
        <w:t>, 34(12), 188-200.</w:t>
      </w:r>
    </w:p>
    <w:p>
      <w:pPr>
        <w:spacing w:after="80"/>
        <w:ind w:left="403" w:hanging="403"/>
      </w:pPr>
      <w:r>
        <w:rPr>
          <w:b w:val="0"/>
          <w:i w:val="0"/>
        </w:rPr>
        <w:t xml:space="preserve">48. 潘莉, 高雅雯, 李辉. (2026). 旅游图片大数据研究进展：演进、比较与展望. </w:t>
      </w:r>
      <w:r>
        <w:rPr>
          <w:b w:val="0"/>
          <w:i/>
        </w:rPr>
        <w:t>旅游学刊</w:t>
      </w:r>
      <w:r>
        <w:rPr>
          <w:b w:val="0"/>
          <w:i w:val="0"/>
        </w:rPr>
        <w:t>, 41(6), 141-155.</w:t>
      </w:r>
    </w:p>
    <w:p>
      <w:pPr>
        <w:spacing w:after="80"/>
        <w:ind w:left="403" w:hanging="403"/>
      </w:pPr>
      <w:r>
        <w:rPr>
          <w:b w:val="0"/>
          <w:i w:val="0"/>
        </w:rPr>
        <w:t xml:space="preserve">49. 索志辉, 梁留科, 苏小燕, 买哲, 张佳莹. (2019). 游客体验视角下开封旅游目的地形象研究——基于网络评论的方法. </w:t>
      </w:r>
      <w:r>
        <w:rPr>
          <w:b w:val="0"/>
          <w:i/>
        </w:rPr>
        <w:t>地域研究与开发</w:t>
      </w:r>
      <w:r>
        <w:rPr>
          <w:b w:val="0"/>
          <w:i w:val="0"/>
        </w:rPr>
        <w:t>, 38(2).</w:t>
      </w:r>
    </w:p>
    <w:p>
      <w:pPr>
        <w:spacing w:after="80"/>
        <w:ind w:left="403" w:hanging="403"/>
      </w:pPr>
      <w:r>
        <w:rPr>
          <w:b w:val="0"/>
          <w:i w:val="0"/>
        </w:rPr>
        <w:t xml:space="preserve">50. 王楚涵, 张朝枝. (2026). 文化氛围视角下的文旅融合评测——基于大语言模型辅助内容分析. </w:t>
      </w:r>
      <w:r>
        <w:rPr>
          <w:b w:val="0"/>
          <w:i/>
        </w:rPr>
        <w:t>旅游学刊</w:t>
      </w:r>
      <w:r>
        <w:rPr>
          <w:b w:val="0"/>
          <w:i w:val="0"/>
        </w:rPr>
        <w:t>, 41(2), 48-60.</w:t>
      </w:r>
    </w:p>
    <w:p>
      <w:pPr>
        <w:spacing w:after="80"/>
        <w:ind w:left="403" w:hanging="403"/>
      </w:pPr>
      <w:r>
        <w:rPr>
          <w:b w:val="0"/>
          <w:i w:val="0"/>
        </w:rPr>
        <w:t xml:space="preserve">51. 肖璐, 李桥兴, 陈怡梦, 沈加升, 张茜, 杨勇. (2024). 基于方面情感三元组抽取的游客评论大数据细粒度情感分析. </w:t>
      </w:r>
      <w:r>
        <w:rPr>
          <w:b w:val="0"/>
          <w:i/>
        </w:rPr>
        <w:t>旅游科学</w:t>
      </w:r>
      <w:r>
        <w:rPr>
          <w:b w:val="0"/>
          <w:i w:val="0"/>
        </w:rPr>
        <w:t>, 38(8), 60-87.</w:t>
      </w:r>
    </w:p>
    <w:p>
      <w:pPr>
        <w:spacing w:after="80"/>
        <w:ind w:left="403" w:hanging="403"/>
      </w:pPr>
      <w:r>
        <w:rPr>
          <w:b w:val="0"/>
          <w:i w:val="0"/>
        </w:rPr>
        <w:t xml:space="preserve">52. 郑羽蘅, 赵磊. (2023). 跨文化视角下生态旅游地视觉表征与社会构建——以千岛湖生态功能区为例. </w:t>
      </w:r>
      <w:r>
        <w:rPr>
          <w:b w:val="0"/>
          <w:i/>
        </w:rPr>
        <w:t>旅游学刊</w:t>
      </w:r>
      <w:r>
        <w:rPr>
          <w:b w:val="0"/>
          <w:i w:val="0"/>
        </w:rPr>
        <w:t>, 38(1), 96-108.</w:t>
      </w:r>
    </w:p>
    <w:p>
      <w:pPr>
        <w:spacing w:after="80"/>
        <w:ind w:left="403" w:hanging="403"/>
      </w:pPr>
      <w:r>
        <w:rPr>
          <w:b w:val="0"/>
          <w:i w:val="0"/>
        </w:rPr>
        <w:t xml:space="preserve">53. Campbell, J. L., Quincy, C., Osserman, J., &amp; Pedersen, O. K. (2013). Coding in-depth semistructured interviews: Problems of unitization and intercoder reliability and agreement. </w:t>
      </w:r>
      <w:r>
        <w:rPr>
          <w:b w:val="0"/>
          <w:i/>
        </w:rPr>
        <w:t>Sociological Methods &amp; Research</w:t>
      </w:r>
      <w:r>
        <w:rPr>
          <w:b w:val="0"/>
          <w:i w:val="0"/>
        </w:rPr>
        <w:t>, 42(3), 294-320. DOI: 10.1177/0049124113500475</w:t>
      </w:r>
    </w:p>
    <w:p>
      <w:pPr>
        <w:spacing w:after="80"/>
        <w:ind w:left="403" w:hanging="403"/>
      </w:pPr>
      <w:r>
        <w:rPr>
          <w:b w:val="0"/>
          <w:i w:val="0"/>
        </w:rPr>
        <w:t xml:space="preserve">54. O'Connor, C., &amp; Joffe, H. (2020). Intercoder reliability in qualitative research: Debates and practical guidelines. </w:t>
      </w:r>
      <w:r>
        <w:rPr>
          <w:b w:val="0"/>
          <w:i/>
        </w:rPr>
        <w:t>International Journal of Qualitative Methods</w:t>
      </w:r>
      <w:r>
        <w:rPr>
          <w:b w:val="0"/>
          <w:i w:val="0"/>
        </w:rPr>
        <w:t>, 19, 1-13. DOI: 10.1177/1609406919899220</w:t>
      </w:r>
    </w:p>
    <w:p>
      <w:pPr>
        <w:spacing w:after="80"/>
        <w:ind w:left="403" w:hanging="403"/>
      </w:pPr>
      <w:r>
        <w:rPr>
          <w:b w:val="0"/>
          <w:i w:val="0"/>
        </w:rPr>
        <w:t xml:space="preserve">55. Passonneau, R. J. (2006). Measuring agreement on set-valued items (MASI) for semantic and pragmatic annotation. </w:t>
      </w:r>
      <w:r>
        <w:rPr>
          <w:b w:val="0"/>
          <w:i/>
        </w:rPr>
        <w:t>Proceedings of the Fifth International Conference on Language Resources and Evaluation (LREC 2006)</w:t>
      </w:r>
      <w:r>
        <w:rPr>
          <w:b w:val="0"/>
          <w:i w:val="0"/>
        </w:rPr>
        <w:t>, 831-836.</w:t>
      </w:r>
    </w:p>
    <w:p>
      <w:pPr>
        <w:pStyle w:val="1"/>
      </w:pPr>
      <w:r>
        <w:rPr>
          <w:b w:val="0"/>
          <w:i w:val="0"/>
        </w:rPr>
        <w:t>文档迭代记录</w:t>
      </w:r>
    </w:p>
    <w:tbl>
      <w:tblPr>
        <w:tblStyle w:val="aff1"/>
        <w:tblW w:type="auto" w:w="0"/>
        <w:jc w:val="center"/>
        <w:tblLayout w:type="fixed"/>
        <w:tblLook w:firstColumn="1" w:firstRow="1" w:lastColumn="0" w:lastRow="0" w:noHBand="0" w:noVBand="1" w:val="04A0"/>
      </w:tblPr>
      <w:tblGrid>
        <w:gridCol w:w="2880"/>
        <w:gridCol w:w="2880"/>
        <w:gridCol w:w="2880"/>
      </w:tblGrid>
      <w:tr>
        <w:trPr>
          <w:tblHeader w:val="true"/>
          <w:cantSplit/>
        </w:trPr>
        <w:tc>
          <w:tcPr>
            <w:tcW w:type="dxa" w:w="2218"/>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内部版本</w:t>
            </w:r>
          </w:p>
        </w:tc>
        <w:tc>
          <w:tcPr>
            <w:tcW w:type="dxa" w:w="1517"/>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日期</w:t>
            </w:r>
          </w:p>
        </w:tc>
        <w:tc>
          <w:tcPr>
            <w:tcW w:type="dxa" w:w="4903"/>
            <w:vAlign w:val="center"/>
            <w:shd w:fill="D9E2F3"/>
          </w:tcPr>
          <w:p>
            <w:pPr>
              <w:spacing w:after="20" w:line="252" w:lineRule="auto"/>
              <w:jc w:val="center"/>
            </w:pPr>
            <w:r>
              <w:rPr>
                <w:rFonts w:ascii="Arial Unicode MS" w:hAnsi="Arial Unicode MS" w:eastAsia="Arial Unicode MS"/>
                <w:b/>
                <w:sz w:val="17"/>
              </w:rPr>
            </w:r>
            <w:r>
              <w:rPr>
                <w:rFonts w:ascii="Arial Unicode MS" w:hAnsi="Arial Unicode MS" w:eastAsia="Arial Unicode MS"/>
                <w:b/>
                <w:i w:val="0"/>
                <w:sz w:val="17"/>
              </w:rPr>
              <w:t>变更</w:t>
            </w:r>
          </w:p>
        </w:tc>
      </w:tr>
      <w:tr>
        <w:trPr>
          <w:cantSplit/>
        </w:trPr>
        <w:tc>
          <w:tcPr>
            <w:tcW w:type="dxa" w:w="2218"/>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v3.4.2</w:t>
            </w:r>
          </w:p>
        </w:tc>
        <w:tc>
          <w:tcPr>
            <w:tcW w:type="dxa" w:w="1517"/>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2026-08-11及以前</w:t>
            </w:r>
          </w:p>
        </w:tc>
        <w:tc>
          <w:tcPr>
            <w:tcW w:type="dxa" w:w="4903"/>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论文主体字段基线</w:t>
            </w:r>
          </w:p>
        </w:tc>
      </w:tr>
      <w:tr>
        <w:trPr>
          <w:cantSplit/>
        </w:trPr>
        <w:tc>
          <w:tcPr>
            <w:tcW w:type="dxa" w:w="2218"/>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v3.5.0</w:t>
            </w:r>
          </w:p>
        </w:tc>
        <w:tc>
          <w:tcPr>
            <w:tcW w:type="dxa" w:w="1517"/>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2026-08-13</w:t>
            </w:r>
          </w:p>
        </w:tc>
        <w:tc>
          <w:tcPr>
            <w:tcW w:type="dxa" w:w="4903"/>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方法定位改为理论导向的结构化内容分析</w:t>
            </w:r>
          </w:p>
        </w:tc>
      </w:tr>
      <w:tr>
        <w:trPr>
          <w:cantSplit/>
        </w:trPr>
        <w:tc>
          <w:tcPr>
            <w:tcW w:type="dxa" w:w="2218"/>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v3.5.1</w:t>
            </w:r>
          </w:p>
        </w:tc>
        <w:tc>
          <w:tcPr>
            <w:tcW w:type="dxa" w:w="1517"/>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2026-08-14</w:t>
            </w:r>
          </w:p>
        </w:tc>
        <w:tc>
          <w:tcPr>
            <w:tcW w:type="dxa" w:w="4903"/>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V6收缩为明确商业披露</w:t>
            </w:r>
          </w:p>
        </w:tc>
      </w:tr>
      <w:tr>
        <w:trPr>
          <w:cantSplit/>
        </w:trPr>
        <w:tc>
          <w:tcPr>
            <w:tcW w:type="dxa" w:w="2218"/>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v3.6.0-alignment.1</w:t>
            </w:r>
          </w:p>
        </w:tc>
        <w:tc>
          <w:tcPr>
            <w:tcW w:type="dxa" w:w="1517"/>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2026-08-14</w:t>
            </w:r>
          </w:p>
        </w:tc>
        <w:tc>
          <w:tcPr>
            <w:tcW w:type="dxa" w:w="4903"/>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同步共同校准状态、逐字段置信度、低置信备注、统一offset及稳定文件名；正文其他旧字段仍待完整更新</w:t>
            </w:r>
          </w:p>
        </w:tc>
      </w:tr>
      <w:tr>
        <w:trPr>
          <w:cantSplit/>
        </w:trPr>
        <w:tc>
          <w:tcPr>
            <w:tcW w:type="dxa" w:w="2218"/>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v3.6.1-alignment.1</w:t>
            </w:r>
          </w:p>
        </w:tc>
        <w:tc>
          <w:tcPr>
            <w:tcW w:type="dxa" w:w="1517"/>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2026-08-15</w:t>
            </w:r>
          </w:p>
        </w:tc>
        <w:tc>
          <w:tcPr>
            <w:tcW w:type="dxa" w:w="4903"/>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同步编码员单表与负责人后处理流程；正文其他旧字段仍待完整更新</w:t>
            </w:r>
          </w:p>
        </w:tc>
      </w:tr>
      <w:tr>
        <w:trPr>
          <w:cantSplit/>
        </w:trPr>
        <w:tc>
          <w:tcPr>
            <w:tcW w:type="dxa" w:w="2218"/>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v3.9.0-alignment.1</w:t>
            </w:r>
          </w:p>
        </w:tc>
        <w:tc>
          <w:tcPr>
            <w:tcW w:type="dxa" w:w="1517"/>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2026-08-21</w:t>
            </w:r>
          </w:p>
        </w:tc>
        <w:tc>
          <w:tcPr>
            <w:tcW w:type="dxa" w:w="4903"/>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全文方法对齐V1层级、V2父类人工责任、V3双向强度、独立V4、评价原子切分、V16和Excel内部模板2.2</w:t>
            </w:r>
          </w:p>
        </w:tc>
      </w:tr>
      <w:tr>
        <w:trPr>
          <w:cantSplit/>
        </w:trPr>
        <w:tc>
          <w:tcPr>
            <w:tcW w:type="dxa" w:w="2218"/>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v3.9.0-alignment.2</w:t>
            </w:r>
          </w:p>
        </w:tc>
        <w:tc>
          <w:tcPr>
            <w:tcW w:type="dxa" w:w="1517"/>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2026-08-21</w:t>
            </w:r>
          </w:p>
        </w:tc>
        <w:tc>
          <w:tcPr>
            <w:tcW w:type="dxa" w:w="4903"/>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同步Excel内部模板2.3的帖子级与图像级上级分类字段单列设计；编码表版本不变</w:t>
            </w:r>
          </w:p>
        </w:tc>
      </w:tr>
      <w:tr>
        <w:trPr>
          <w:cantSplit/>
        </w:trPr>
        <w:tc>
          <w:tcPr>
            <w:tcW w:type="dxa" w:w="2218"/>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v3.10.0-alignment.1</w:t>
            </w:r>
          </w:p>
        </w:tc>
        <w:tc>
          <w:tcPr>
            <w:tcW w:type="dxa" w:w="1517"/>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2026-08-21</w:t>
            </w:r>
          </w:p>
        </w:tc>
        <w:tc>
          <w:tcPr>
            <w:tcW w:type="dxa" w:w="4903"/>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同步V2三级结构、休闲游憩/节事文体事件拆分、事件子类、资源深度与聚合公式；Excel模板升至2.4</w:t>
            </w:r>
          </w:p>
        </w:tc>
      </w:tr>
      <w:tr>
        <w:trPr>
          <w:cantSplit/>
        </w:trPr>
        <w:tc>
          <w:tcPr>
            <w:tcW w:type="dxa" w:w="2218"/>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v3.10.0-alignment.2</w:t>
            </w:r>
          </w:p>
        </w:tc>
        <w:tc>
          <w:tcPr>
            <w:tcW w:type="dxa" w:w="1517"/>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2026-08-21</w:t>
            </w:r>
          </w:p>
        </w:tc>
        <w:tc>
          <w:tcPr>
            <w:tcW w:type="dxa" w:w="4903"/>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修正模型说明中的V2十个Layer 2亚类口径，并据此重建投稿目录的论文草稿DOCX；保持V2事件子类与分析汇总边界。</w:t>
            </w:r>
          </w:p>
        </w:tc>
      </w:tr>
      <w:tr>
        <w:trPr>
          <w:cantSplit/>
        </w:trPr>
        <w:tc>
          <w:tcPr>
            <w:tcW w:type="dxa" w:w="2218"/>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v3.11.0-alignment.1</w:t>
            </w:r>
          </w:p>
        </w:tc>
        <w:tc>
          <w:tcPr>
            <w:tcW w:type="dxa" w:w="1517"/>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2026-08-22</w:t>
            </w:r>
          </w:p>
        </w:tc>
        <w:tc>
          <w:tcPr>
            <w:tcW w:type="dxa" w:w="4903"/>
            <w:vAlign w:val="center"/>
          </w:tcPr>
          <w:p>
            <w:pPr>
              <w:spacing w:after="20" w:line="252" w:lineRule="auto"/>
              <w:jc w:val="left"/>
            </w:pPr>
            <w:r>
              <w:rPr>
                <w:rFonts w:ascii="Arial Unicode MS" w:hAnsi="Arial Unicode MS" w:eastAsia="Arial Unicode MS"/>
                <w:sz w:val="17"/>
              </w:rPr>
            </w:r>
            <w:r>
              <w:rPr>
                <w:rFonts w:ascii="Arial Unicode MS" w:hAnsi="Arial Unicode MS" w:eastAsia="Arial Unicode MS"/>
                <w:b w:val="0"/>
                <w:i w:val="0"/>
                <w:sz w:val="17"/>
              </w:rPr>
              <w:t>将现行12个大类按作者/帖子、文本、图像连续编号为V0—V11；字段和值域不变；投稿DOCX待本轮文档核验后重建。</w:t>
            </w:r>
          </w:p>
        </w:tc>
      </w:tr>
    </w:tbl>
    <w:p/>
    <w:p>
      <w:pPr/>
      <w:r>
        <w:rPr>
          <w:b w:val="0"/>
          <w:i/>
        </w:rPr>
        <w:t>唯一上位标准：`docs/data-dictionary/编码表.md` v3.11.0；固定Excel编码簿内部模板2.5仅为下游执行镜像。文件名保持稳定，版本与迭代记录只写在文档内部。</w:t>
      </w:r>
    </w:p>
    <w:sectPr w:rsidR="0028705D" w:rsidRPr="0031722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35740306">
    <w:abstractNumId w:val="8"/>
  </w:num>
  <w:num w:numId="2" w16cid:durableId="1789229906">
    <w:abstractNumId w:val="6"/>
  </w:num>
  <w:num w:numId="3" w16cid:durableId="828859995">
    <w:abstractNumId w:val="5"/>
  </w:num>
  <w:num w:numId="4" w16cid:durableId="1284464490">
    <w:abstractNumId w:val="4"/>
  </w:num>
  <w:num w:numId="5" w16cid:durableId="1884633653">
    <w:abstractNumId w:val="7"/>
  </w:num>
  <w:num w:numId="6" w16cid:durableId="1945191740">
    <w:abstractNumId w:val="3"/>
  </w:num>
  <w:num w:numId="7" w16cid:durableId="1213225122">
    <w:abstractNumId w:val="2"/>
  </w:num>
  <w:num w:numId="8" w16cid:durableId="498544234">
    <w:abstractNumId w:val="1"/>
  </w:num>
  <w:num w:numId="9" w16cid:durableId="6280492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3CE"/>
    <w:rsid w:val="0015074B"/>
    <w:rsid w:val="0028705D"/>
    <w:rsid w:val="0029639D"/>
    <w:rsid w:val="0031722A"/>
    <w:rsid w:val="00326F90"/>
    <w:rsid w:val="005C4A95"/>
    <w:rsid w:val="0077116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60040E"/>
  <w14:defaultImageDpi w14:val="300"/>
  <w15:docId w15:val="{56BDEDF5-682F-4EBF-91B3-5F3B931D2B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ind w:firstLine="480"/>
    </w:pPr>
    <w:rPr>
      <w:rFonts w:ascii="Arial Unicode MS" w:hAnsi="Arial Unicode MS" w:eastAsia="Arial Unicode MS"/>
      <w:sz w:val="24"/>
    </w:rPr>
  </w:style>
  <w:style w:type="paragraph" w:styleId="1">
    <w:name w:val="heading 1"/>
    <w:basedOn w:val="a1"/>
    <w:next w:val="a1"/>
    <w:link w:val="10"/>
    <w:uiPriority w:val="9"/>
    <w:qFormat/>
    <w:rsid w:val="00FC693F"/>
    <w:pPr>
      <w:keepNext/>
      <w:keepLines/>
      <w:spacing w:before="320" w:after="120"/>
      <w:ind w:firstLine="0"/>
      <w:outlineLvl w:val="0"/>
    </w:pPr>
    <w:rPr>
      <w:rFonts w:asciiTheme="majorHAnsi" w:eastAsiaTheme="majorEastAsia" w:hAnsiTheme="majorHAnsi" w:cstheme="majorBidi" w:ascii="Arial Unicode MS" w:hAnsi="Arial Unicode MS" w:eastAsia="Arial Unicode MS"/>
      <w:b/>
      <w:bCs/>
      <w:color w:val="000000"/>
      <w:sz w:val="32"/>
      <w:szCs w:val="28"/>
    </w:rPr>
  </w:style>
  <w:style w:type="paragraph" w:styleId="21">
    <w:name w:val="heading 2"/>
    <w:basedOn w:val="a1"/>
    <w:next w:val="a1"/>
    <w:link w:val="22"/>
    <w:uiPriority w:val="9"/>
    <w:unhideWhenUsed/>
    <w:qFormat/>
    <w:rsid w:val="00FC693F"/>
    <w:pPr>
      <w:keepNext/>
      <w:keepLines/>
      <w:spacing w:before="200" w:after="120"/>
      <w:ind w:firstLine="0"/>
      <w:outlineLvl w:val="1"/>
    </w:pPr>
    <w:rPr>
      <w:rFonts w:asciiTheme="majorHAnsi" w:eastAsiaTheme="majorEastAsia" w:hAnsiTheme="majorHAnsi" w:cstheme="majorBidi" w:ascii="Arial Unicode MS" w:hAnsi="Arial Unicode MS" w:eastAsia="Arial Unicode MS"/>
      <w:b/>
      <w:bCs/>
      <w:color w:val="000000"/>
      <w:sz w:val="28"/>
      <w:szCs w:val="26"/>
    </w:rPr>
  </w:style>
  <w:style w:type="paragraph" w:styleId="31">
    <w:name w:val="heading 3"/>
    <w:basedOn w:val="a1"/>
    <w:next w:val="a1"/>
    <w:link w:val="32"/>
    <w:uiPriority w:val="9"/>
    <w:unhideWhenUsed/>
    <w:qFormat/>
    <w:rsid w:val="00FC693F"/>
    <w:pPr>
      <w:keepNext/>
      <w:keepLines/>
      <w:spacing w:before="200" w:after="120"/>
      <w:ind w:firstLine="0"/>
      <w:outlineLvl w:val="2"/>
    </w:pPr>
    <w:rPr>
      <w:rFonts w:asciiTheme="majorHAnsi" w:eastAsiaTheme="majorEastAsia" w:hAnsiTheme="majorHAnsi" w:cstheme="majorBidi" w:ascii="Arial Unicode MS" w:hAnsi="Arial Unicode MS" w:eastAsia="Arial Unicode MS"/>
      <w:b/>
      <w:bCs/>
      <w:color w:val="000000"/>
      <w:sz w:val="24"/>
    </w:rPr>
  </w:style>
  <w:style w:type="paragraph" w:styleId="4">
    <w:name w:val="heading 4"/>
    <w:basedOn w:val="a1"/>
    <w:next w:val="a1"/>
    <w:link w:val="40"/>
    <w:uiPriority w:val="9"/>
    <w:semiHidden/>
    <w:unhideWhenUsed/>
    <w:qFormat/>
    <w:rsid w:val="00FC693F"/>
    <w:pPr>
      <w:keepNext/>
      <w:keepLines/>
      <w:spacing w:before="240"/>
      <w:outlineLvl w:val="3"/>
    </w:pPr>
    <w:rPr>
      <w:rFonts w:asciiTheme="majorHAnsi" w:eastAsiaTheme="majorEastAsia" w:hAnsiTheme="majorHAnsi" w:cstheme="majorBidi"/>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160" w:line="240" w:lineRule="auto"/>
      <w:ind w:firstLine="0"/>
      <w:contextualSpacing/>
      <w:jc w:val="center"/>
    </w:pPr>
    <w:rPr>
      <w:rFonts w:asciiTheme="majorHAnsi" w:eastAsiaTheme="majorEastAsia" w:hAnsiTheme="majorHAnsi" w:cstheme="majorBidi" w:ascii="Arial Unicode MS" w:hAnsi="Arial Unicode MS" w:eastAsia="Arial Unicode MS"/>
      <w:b/>
      <w:color w:val="17365D" w:themeColor="text2" w:themeShade="BF"/>
      <w:spacing w:val="5"/>
      <w:kern w:val="28"/>
      <w:sz w:val="40"/>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spacing w:after="360"/>
      <w:ind w:firstLine="0"/>
      <w:jc w:val="center"/>
    </w:pPr>
    <w:rPr>
      <w:rFonts w:asciiTheme="majorHAnsi" w:eastAsiaTheme="majorEastAsia" w:hAnsiTheme="majorHAnsi" w:cstheme="majorBidi" w:ascii="Arial Unicode MS" w:hAnsi="Arial Unicode MS" w:eastAsia="Arial Unicode MS"/>
      <w:i/>
      <w:iCs/>
      <w:color w:val="4F81BD" w:themeColor="accent1"/>
      <w:spacing w:val="15"/>
      <w:sz w:val="26"/>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pPr>
      <w:spacing w:after="100"/>
      <w:ind w:left="461" w:right="216" w:firstLine="0"/>
    </w:pPr>
    <w:rPr>
      <w:rFonts w:ascii="Arial Unicode MS" w:hAnsi="Arial Unicode MS" w:eastAsia="Arial Unicode MS"/>
      <w:i w:val="0"/>
      <w:iCs/>
      <w:color w:val="000000" w:themeColor="text1"/>
      <w:sz w:val="22"/>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ind w:left="432" w:right="288" w:firstLine="0"/>
    </w:pPr>
    <w:rPr>
      <w:rFonts w:ascii="Menlo" w:hAnsi="Menlo" w:eastAsia="Menlo"/>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19</Pages>
  <Words>2078</Words>
  <Characters>11847</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KOL和KOC视角下旅游目的地形象的UGC内容特征与建构策略研究</dc:title>
  <dc:subject>基于社交平台UGC的理论导向结构化内容分析</dc:subject>
  <dc:creator>旅游UGC研究项目</dc:creator>
  <cp:keywords/>
  <dc:description>内容源：manuscript/论文草稿.md v3.11.0-alignment.1</dc:description>
  <cp:lastModifiedBy>珺凯 曹</cp:lastModifiedBy>
  <cp:revision>3</cp:revision>
  <dcterms:created xsi:type="dcterms:W3CDTF">2013-12-23T23:15:00Z</dcterms:created>
  <dcterms:modified xsi:type="dcterms:W3CDTF">2026-07-22T14:50:00Z</dcterms:modified>
  <cp:category/>
  <cp:version>legacy-unversioned</cp:version>
</cp:coreProperties>
</file>