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기후변화 대응 산림정책 전환 연구 2차년도 · RQ1 토사유출·생물다양성</w:t>
      </w:r>
    </w:p>
    <w:p>
      <w:pPr>
        <w:pStyle w:val="Title"/>
        <w:spacing w:after="0"/>
      </w:pPr>
      <w:r>
        <w:rPr>
          <w:rFonts w:ascii="Malgun Gothic" w:cs="Malgun Gothic" w:eastAsia="맑은 고딕" w:hAnsi="Malgun Gothic"/>
          <w:b/>
          <w:bCs/>
          <w:color w:val="1F2620"/>
          <w:sz w:val="34"/>
          <w:szCs w:val="34"/>
        </w:rPr>
        <w:t xml:space="preserve">사례지 선정을 위한 정보공개 청구 계획(안)</w:t>
      </w:r>
    </w:p>
    <w:p>
      <w:pPr>
        <w:pStyle w:val="Title"/>
        <w:spacing w:after="120"/>
      </w:pPr>
      <w:r>
        <w:rPr>
          <w:rFonts w:ascii="Malgun Gothic" w:cs="Malgun Gothic" w:eastAsia="맑은 고딕" w:hAnsi="Malgun Gothic"/>
          <w:b/>
          <w:bCs/>
          <w:color w:val="2F5D46"/>
          <w:sz w:val="28"/>
          <w:szCs w:val="28"/>
        </w:rPr>
        <w:t xml:space="preserve">교수님 검토용</w:t>
      </w:r>
    </w:p>
    <w:p>
      <w:pPr>
        <w:pBdr>
          <w:bottom w:val="single" w:color="2F5D46" w:sz="8" w:space="6"/>
        </w:pBdr>
        <w:spacing w:after="240"/>
      </w:pP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작성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이세음 연구원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작성일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  </w:t>
      </w:r>
      <w:r>
        <w:rPr>
          <w:rFonts w:ascii="Malgun Gothic" w:cs="Malgun Gothic" w:eastAsia="맑은 고딕" w:hAnsi="Malgun Gothic"/>
          <w:b/>
          <w:bCs/>
          <w:color w:val="5D685F"/>
          <w:sz w:val="18"/>
          <w:szCs w:val="18"/>
        </w:rPr>
        <w:t xml:space="preserve">청구 예정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 2026년 10월 중순</w:t>
      </w: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/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청구 목적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RQ1은 벌채 후 경과연수(약 10·20·30·40년)가 서로 다른 벌채지와 미벌채 대조구를 같은 지역 안에서 골라, 토사유출(WEPP 모의)과 생물다양성(전국자연환경조사 자료 결합)을 분석함. 이를 위해 국유림의 소반 단위 벌채이력, 집재 방법, 경영계획 자료가 필요하며, 이 자료는 공개 통계로 얻을 수 없어 정보공개 청구로 확보하고자 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청구 대상 선정 근거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산림청 『임업통계연보』 국유림 목재매각실적(2021~2025년판)으로 지방산림청별 벌채 실적을 비교함. 벌채 실적이 많을수록 경과연수가 다른 벌채지를 한 지역 안에서 고르기 쉬움.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6"/>
        <w:gridCol w:w="1056"/>
        <w:gridCol w:w="1056"/>
        <w:gridCol w:w="1056"/>
        <w:gridCol w:w="1056"/>
        <w:gridCol w:w="1056"/>
        <w:gridCol w:w="1188"/>
        <w:gridCol w:w="1056"/>
        <w:gridCol w:w="1058"/>
      </w:tblGrid>
      <w:tr>
        <w:trPr>
          <w:tblHeader/>
        </w:trPr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지방산림청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2020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2021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2022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2023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2024</w:t>
            </w:r>
          </w:p>
        </w:tc>
        <w:tc>
          <w:tcPr>
            <w:tcW w:type="dxa" w:w="118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5년 합계(ha)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비중</w:t>
            </w:r>
          </w:p>
        </w:tc>
        <w:tc>
          <w:tcPr>
            <w:tcW w:type="dxa" w:w="10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순위</w:t>
            </w:r>
          </w:p>
        </w:tc>
      </w:tr>
      <w:tr>
        <w:trPr>
          <w:tblHeader w:val="false"/>
        </w:trPr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동부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3,035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1,968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1,666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1,673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1,481</w:t>
            </w:r>
          </w:p>
        </w:tc>
        <w:tc>
          <w:tcPr>
            <w:tcW w:type="dxa" w:w="118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9,823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28.9%</w:t>
            </w:r>
          </w:p>
        </w:tc>
        <w:tc>
          <w:tcPr>
            <w:tcW w:type="dxa" w:w="10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북부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2,287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1,889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1,691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1,463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1,871</w:t>
            </w:r>
          </w:p>
        </w:tc>
        <w:tc>
          <w:tcPr>
            <w:tcW w:type="dxa" w:w="118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9,201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  <w:tc>
          <w:tcPr>
            <w:tcW w:type="dxa" w:w="10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남부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2,280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1,465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907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1,107</w:t>
            </w:r>
          </w:p>
        </w:tc>
        <w:tc>
          <w:tcPr>
            <w:tcW w:type="dxa" w:w="118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6,597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19.4%</w:t>
            </w:r>
          </w:p>
        </w:tc>
        <w:tc>
          <w:tcPr>
            <w:tcW w:type="dxa" w:w="10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서부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844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684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696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873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1,176</w:t>
            </w:r>
          </w:p>
        </w:tc>
        <w:tc>
          <w:tcPr>
            <w:tcW w:type="dxa" w:w="118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4,273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12.6%</w:t>
            </w:r>
          </w:p>
        </w:tc>
        <w:tc>
          <w:tcPr>
            <w:tcW w:type="dxa" w:w="10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중부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776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579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736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769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1,290</w:t>
            </w:r>
          </w:p>
        </w:tc>
        <w:tc>
          <w:tcPr>
            <w:tcW w:type="dxa" w:w="118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4,151</w:t>
            </w:r>
          </w:p>
        </w:tc>
        <w:tc>
          <w:tcPr>
            <w:tcW w:type="dxa" w:w="105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12.2%</w:t>
            </w:r>
          </w:p>
        </w:tc>
        <w:tc>
          <w:tcPr>
            <w:tcW w:type="dxa" w:w="105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단위: 벌채면적 ha. 자료: 산림청 『임업통계연보』 Ⅵ-6 국유림 목재매각실적(각 연보의 기관별 표는 직전 연도 실적). 비중은 5개 지방산림청 합계(34,044ha) 대비.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동부·북부지방산림청이 5년 누적 1·2위이며, 다섯 해 모두 1·2위를 지킴. 두 곳이 지방청 벌채면적의 55.9%를 차지함.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북부지방산림청 산하에 착수보고서 1차 후보인 홍천·인제 국유림관리소가 있음.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동부지방산림청은 착수보고서 후보에 없어, 산하 관리소별 실적을 먼저 확인해야 함.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통계연보는 지방산림청 단위까지만 제공하므로, 관리소 단위 비교는 청구 자료로 해야 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청구 범위 검토: 홍천·인제로 좁힐지, 동부 전체를 받을지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청구 범위가 넓으면 자료량이 많아 처리 기간 연장(최대 10일)이나 부분공개 가능성이 커지고, 좁으면 사례지 선택지가 줄어듦. 세 가지 안을 비교함.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3453"/>
        <w:gridCol w:w="2268"/>
        <w:gridCol w:w="3195"/>
      </w:tblGrid>
      <w:tr>
        <w:trPr>
          <w:tblHeader/>
        </w:trPr>
        <w:tc>
          <w:tcPr>
            <w:tcW w:type="dxa" w:w="7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안</w:t>
            </w:r>
          </w:p>
        </w:tc>
        <w:tc>
          <w:tcPr>
            <w:tcW w:type="dxa" w:w="3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청구 범위</w:t>
            </w:r>
          </w:p>
        </w:tc>
        <w:tc>
          <w:tcPr>
            <w:tcW w:type="dxa" w:w="226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장점</w:t>
            </w:r>
          </w:p>
        </w:tc>
        <w:tc>
          <w:tcPr>
            <w:tcW w:type="dxa" w:w="319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단점</w:t>
            </w:r>
          </w:p>
        </w:tc>
      </w:tr>
      <w:tr>
        <w:trPr>
          <w:tblHeader w:val="false"/>
        </w:trPr>
        <w:tc>
          <w:tcPr>
            <w:tcW w:type="dxa" w:w="7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A. 북부만(홍천·인제)</w:t>
            </w:r>
          </w:p>
        </w:tc>
        <w:tc>
          <w:tcPr>
            <w:tcW w:type="dxa" w:w="3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홍천·인제 관리소의 소반별 상세 자료만 청구</w:t>
            </w:r>
          </w:p>
        </w:tc>
        <w:tc>
          <w:tcPr>
            <w:tcW w:type="dxa" w:w="226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범위가 좁아 처리가 빠르고 연장 위험이 낮음. 기존 후보 검토를 그대로 활용</w:t>
            </w:r>
          </w:p>
        </w:tc>
        <w:tc>
          <w:tcPr>
            <w:tcW w:type="dxa" w:w="319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벌채 실적 1위인 동부를 보지 못함. 홍천·인제에서 경과연수별 비교구(특히 40년)가 부족하면 대안이 없음</w:t>
            </w:r>
          </w:p>
        </w:tc>
      </w:tr>
      <w:tr>
        <w:trPr>
          <w:tblHeader w:val="false"/>
        </w:trPr>
        <w:tc>
          <w:tcPr>
            <w:tcW w:type="dxa" w:w="7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B. 두 지방청 전체 상세</w:t>
            </w:r>
          </w:p>
        </w:tc>
        <w:tc>
          <w:tcPr>
            <w:tcW w:type="dxa" w:w="3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동부·북부 산하 전 관리소의 소반별 상세 자료(경영계획·임도 포함)</w:t>
            </w:r>
          </w:p>
        </w:tc>
        <w:tc>
          <w:tcPr>
            <w:tcW w:type="dxa" w:w="226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선택지가 가장 넓음</w:t>
            </w:r>
          </w:p>
        </w:tc>
        <w:tc>
          <w:tcPr>
            <w:tcW w:type="dxa" w:w="319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자료량이 매우 커 연장·부분공개 가능성이 높음. 수령 후 정리에도 시간이 많이 들어 11월 사례지 확정이 어려움</w:t>
            </w:r>
          </w:p>
        </w:tc>
      </w:tr>
      <w:tr>
        <w:trPr>
          <w:tblHeader w:val="false"/>
        </w:trPr>
        <w:tc>
          <w:tcPr>
            <w:tcW w:type="dxa" w:w="722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C. 단계형(권고)</w:t>
            </w:r>
          </w:p>
        </w:tc>
        <w:tc>
          <w:tcPr>
            <w:tcW w:type="dxa" w:w="3453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가벼운 목록 자료는 두 지방청 전체, 무거운 상세 자료는 홍천·인제만. 동부 상세는 목록을 보고 고른 관리소에 2차 청구</w:t>
            </w:r>
          </w:p>
        </w:tc>
        <w:tc>
          <w:tcPr>
            <w:tcW w:type="dxa" w:w="226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선택지를 넓게 유지하면서 1차 청구 부담이 작음. 북부는 바로 사례지 확정 가능</w:t>
            </w:r>
          </w:p>
        </w:tc>
        <w:tc>
          <w:tcPr>
            <w:tcW w:type="dxa" w:w="319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동부를 사례지로 쓰려면 2차 청구가 필요해 11월 말까지 늦어질 수 있음</w:t>
            </w:r>
          </w:p>
        </w:tc>
      </w:tr>
    </w:tbl>
    <w:p>
      <w:pPr>
        <w:spacing w:after="60"/>
      </w:pPr>
    </w:p>
    <w:p>
      <w:pPr>
        <w:pBdr>
          <w:left w:val="single" w:color="2F5D46" w:sz="18" w:space="8"/>
        </w:pBdr>
        <w:shd w:fill="E4EDE6" w:color="auto" w:val="clear"/>
        <w:spacing w:after="40"/>
        <w:ind w:left="170" w:right="113"/>
      </w:pPr>
      <w:r>
        <w:rPr>
          <w:rFonts w:ascii="Malgun Gothic" w:cs="Malgun Gothic" w:eastAsia="맑은 고딕" w:hAnsi="Malgun Gothic"/>
          <w:b/>
          <w:bCs/>
        </w:rPr>
        <w:t xml:space="preserve">권고: C안(단계형)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북부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관리소별 실적 집계는 전체로, 소반별 상세 자료는 홍천·인제로 한정해 청구함. 집계 자료로 홍천·인제가 북부 안에서도 실적이 많은지 함께 확인함.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동부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1차에는 관리소별 실적 집계와 소반 단위 벌채이력 목록만 청구함. 목록에서 경과연수별 비교구가 갖춰진 관리소 1~2곳을 골라 2차로 상세 자료를 청구함.</w:t>
      </w:r>
    </w:p>
    <w:p>
      <w:pPr>
        <w:pStyle w:val="ListParagraph"/>
        <w:numPr>
          <w:ilvl w:val="0"/>
          <w:numId w:val="2"/>
        </w:numPr>
        <w:pBdr>
          <w:left w:val="single" w:color="2F5D46" w:sz="18" w:space="8"/>
        </w:pBdr>
        <w:shd w:fill="E4EDE6" w:color="auto" w:val="clear"/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일정이 빠듯할 경우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사례지는 북부(홍천·인제)에서 먼저 확정하고, 동부 자료는 비교·보완용으로 씀.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청구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8818"/>
      </w:tblGrid>
      <w:tr>
        <w:trPr>
          <w:tblHeader/>
        </w:trPr>
        <w:tc>
          <w:tcPr>
            <w:tcW w:type="dxa" w:w="82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81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82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기관</w:t>
            </w:r>
          </w:p>
        </w:tc>
        <w:tc>
          <w:tcPr>
            <w:tcW w:type="dxa" w:w="881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북부지방산림청, 동부지방산림청(기관별로 각각 청구)</w:t>
            </w:r>
          </w:p>
        </w:tc>
      </w:tr>
      <w:tr>
        <w:trPr>
          <w:tblHeader w:val="false"/>
        </w:trPr>
        <w:tc>
          <w:tcPr>
            <w:tcW w:type="dxa" w:w="82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경로</w:t>
            </w:r>
          </w:p>
        </w:tc>
        <w:tc>
          <w:tcPr>
            <w:tcW w:type="dxa" w:w="881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정보공개포털(open.go.kr) 온라인 청구. 청구 전 각 지방청 담당 부서에 전화해 자료 보유 형태(벌채이력 DB, 경영계획서 파일)와 담당자를 확인함</w:t>
            </w:r>
          </w:p>
        </w:tc>
      </w:tr>
      <w:tr>
        <w:trPr>
          <w:tblHeader w:val="false"/>
        </w:trPr>
        <w:tc>
          <w:tcPr>
            <w:tcW w:type="dxa" w:w="82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공개 방법</w:t>
            </w:r>
          </w:p>
        </w:tc>
        <w:tc>
          <w:tcPr>
            <w:tcW w:type="dxa" w:w="881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전자파일(엑셀, 공간정보는 SHP)로 정보통신망 송부 요청</w:t>
            </w:r>
          </w:p>
        </w:tc>
      </w:tr>
      <w:tr>
        <w:trPr>
          <w:tblHeader w:val="false"/>
        </w:trPr>
        <w:tc>
          <w:tcPr>
            <w:tcW w:type="dxa" w:w="82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기간 범위</w:t>
            </w:r>
          </w:p>
        </w:tc>
        <w:tc>
          <w:tcPr>
            <w:tcW w:type="dxa" w:w="881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보유 기간 전체(가능하면 1980년대부터). 경과연수 40년 비교구를 찾으려면 오래된 이력이 필요함. 전산화 이전 자료는 부존재 통지가 올 수 있음</w:t>
            </w:r>
          </w:p>
        </w:tc>
      </w:tr>
      <w:tr>
        <w:trPr>
          <w:tblHeader w:val="false"/>
        </w:trPr>
        <w:tc>
          <w:tcPr>
            <w:tcW w:type="dxa" w:w="82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처리 기간</w:t>
            </w:r>
          </w:p>
        </w:tc>
        <w:tc>
          <w:tcPr>
            <w:tcW w:type="dxa" w:w="881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청구일로부터 10일 이내 공개 여부 결정, 부득이한 경우 10일 연장 가능(「공공기관의 정보공개에 관한 법률」 제11조)</w:t>
            </w:r>
          </w:p>
        </w:tc>
      </w:tr>
      <w:tr>
        <w:trPr>
          <w:tblHeader w:val="false"/>
        </w:trPr>
        <w:tc>
          <w:tcPr>
            <w:tcW w:type="dxa" w:w="82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부분공개 대비</w:t>
            </w:r>
          </w:p>
        </w:tc>
        <w:tc>
          <w:tcPr>
            <w:tcW w:type="dxa" w:w="881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매수자 상호·개인정보 등은 비공개 대상이 될 수 있음(같은 법 제9조 제1항 제6·7호). 연구에 필요 없으므로 매수자 정보는 제외하고 청구한다고 명시함</w:t>
            </w:r>
          </w:p>
        </w:tc>
      </w:tr>
      <w:tr>
        <w:trPr>
          <w:tblHeader w:val="false"/>
        </w:trPr>
        <w:tc>
          <w:tcPr>
            <w:tcW w:type="dxa" w:w="820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청구 목적 기재</w:t>
            </w:r>
          </w:p>
        </w:tc>
        <w:tc>
          <w:tcPr>
            <w:tcW w:type="dxa" w:w="8818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"기후변화 대응 산림정책 전환 연구의 사례지 선정 및 벌채 후 경과연수별 토사유출·생물다양성 분석"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청구 단계와 일정(C안 기준)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7"/>
        <w:gridCol w:w="6286"/>
        <w:gridCol w:w="2235"/>
      </w:tblGrid>
      <w:tr>
        <w:trPr>
          <w:tblHeader/>
        </w:trPr>
        <w:tc>
          <w:tcPr>
            <w:tcW w:type="dxa" w:w="111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시기</w:t>
            </w:r>
          </w:p>
        </w:tc>
        <w:tc>
          <w:tcPr>
            <w:tcW w:type="dxa" w:w="62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shd w:fill="E4ED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11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 중순</w:t>
            </w:r>
          </w:p>
        </w:tc>
        <w:tc>
          <w:tcPr>
            <w:tcW w:type="dxa" w:w="62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지방청 담당 부서 사전 통화 후 1차 청구(북부·동부 동시)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교수님 검토 반영 후 제출</w:t>
            </w:r>
          </w:p>
        </w:tc>
      </w:tr>
      <w:tr>
        <w:trPr>
          <w:tblHeader w:val="false"/>
        </w:trPr>
        <w:tc>
          <w:tcPr>
            <w:tcW w:type="dxa" w:w="111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10월 말</w:t>
            </w:r>
          </w:p>
        </w:tc>
        <w:tc>
          <w:tcPr>
            <w:tcW w:type="dxa" w:w="62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1차 공개 결정·자료 수령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연장 시 11월 중순</w:t>
            </w:r>
          </w:p>
        </w:tc>
      </w:tr>
      <w:tr>
        <w:trPr>
          <w:tblHeader w:val="false"/>
        </w:trPr>
        <w:tc>
          <w:tcPr>
            <w:tcW w:type="dxa" w:w="111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11월 초</w:t>
            </w:r>
          </w:p>
        </w:tc>
        <w:tc>
          <w:tcPr>
            <w:tcW w:type="dxa" w:w="62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북부: 홍천·인제 소반 선정. 동부: 목록으로 관리소 1~2곳 선정 후 2차 청구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북부 사례지 먼저 확정</w:t>
            </w:r>
          </w:p>
        </w:tc>
      </w:tr>
      <w:tr>
        <w:trPr>
          <w:tblHeader w:val="false"/>
        </w:trPr>
        <w:tc>
          <w:tcPr>
            <w:tcW w:type="dxa" w:w="1117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11월 중순~말</w:t>
            </w:r>
          </w:p>
        </w:tc>
        <w:tc>
          <w:tcPr>
            <w:tcW w:type="dxa" w:w="6286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동부 2차 자료 수령, 사례지 최종 확정</w:t>
            </w:r>
          </w:p>
        </w:tc>
        <w:tc>
          <w:tcPr>
            <w:tcW w:type="dxa" w:w="2235"/>
            <w:tcBorders>
              <w:top w:val="single" w:color="BFC6BC" w:sz="4"/>
              <w:left w:val="single" w:color="BFC6BC" w:sz="4"/>
              <w:bottom w:val="single" w:color="BFC6BC" w:sz="4"/>
              <w:right w:val="single" w:color="BFC6B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algun Gothic" w:cs="Malgun Gothic" w:eastAsia="맑은 고딕" w:hAnsi="Malgun Gothic"/>
                <w:b w:val="false"/>
                <w:bCs w:val="false"/>
                <w:sz w:val="18"/>
                <w:szCs w:val="18"/>
              </w:rPr>
              <w:t xml:space="preserve">12월 중간보고 전 완료 목표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 청구 내용 문안(안)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6.1 북부지방산림청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귀 기관 산하 국유림관리소별·연도별 수확벌채(목재매각) 실적 집계: 관리소, 연도, 계약건수, 벌채면적, 입목재적 (보유 기간 전체, 엑셀)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홍천·인제 국유림관리소의 수확벌채 이력(소반 단위): 벌채 연도, 임반·소반, 벌채 종류, 벌채면적, 수종, 입목재적·생산재적, 집재 방법(사용 장비·집재 방식), 집재로·작업로 개설 여부 및 연장 (보유 기간 전체, 엑셀)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3. 홍천·인제 국유림관리소의 소반별 산림경영계획 자료: 입지(경사·방위·토양), 임상, 영급, 우점 수종, 조림·숲가꾸기 이력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4. 홍천·인제 국유림관리소 관할 임도 노선(SHP) 및 노선별 개설 연도·연장·폭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5. 홍천·인제 국유림관리소 관할 산불·병해충 피해 이력(연도, 위치, 면적)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※ 매수자 상호, 계약 금액, 개인정보는 청구 대상에서 제외함.</w:t>
      </w:r>
    </w:p>
    <w:p>
      <w:pPr>
        <w:pStyle w:val="Heading2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6.2 동부지방산림청 (1차)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1. 귀 기관 산하 국유림관리소별·연도별 수확벌채(목재매각) 실적 집계: 관리소, 연도, 계약건수, 벌채면적, 입목재적 (보유 기간 전체, 엑셀)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2. 산하 국유림관리소의 수확벌채 이력 목록(소반 단위): 관리소, 벌채 연도, 임반·소반, 벌채 종류, 벌채면적, 수종 (보유 기간 전체, 엑셀)</w:t>
      </w:r>
    </w:p>
    <w:p>
      <w:pPr>
        <w:shd w:fill="F1F3EE" w:color="auto" w:val="clear"/>
        <w:spacing w:after="0" w:before="0"/>
        <w:ind w:left="170" w:right="170"/>
        <w:jc w:val="left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※ 매수자 상호, 계약 금액, 개인정보는 청구 대상에서 제외함.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동부 2차 청구는 선정한 관리소에 대해 6.1의 2~5번 항목과 같은 내용으로 청구함.</w:t>
      </w:r>
    </w:p>
    <w:p>
      <w:pPr>
        <w:pStyle w:val="Heading1"/>
      </w:pPr>
      <w:r>
        <w:rPr>
          <w:rFonts w:ascii="Malgun Gothic" w:cs="Malgun Gothic" w:eastAsia="맑은 고딕" w:hAnsi="Malgun Gothic"/>
          <w:b w:val="false"/>
          <w:bCs w:val="false"/>
        </w:rPr>
        <w:t xml:space="preserve">7. 검토 요청 사항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청구 범위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C안(목록은 두 지방청 전체, 상세는 홍천·인제와 동부 선정 관리소)으로 진행해도 될지, 또는 A안(홍천·인제만)으로 좁힐지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청구 기간 범위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보유 기간 전체로 청구할지, 처리 부담을 줄이려 특정 기간(예: 1980~2024년)으로 한정할지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청구 항목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집재 방법·집재로 정보가 벌채 기록에 남아 있을지, 빠진 항목이나 줄일 항목이 있는지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맑은 고딕" w:hAnsi="Malgun Gothic"/>
          <w:b/>
          <w:bCs/>
        </w:rPr>
        <w:t xml:space="preserve">남부지방산림청(김천·봉화)</w:t>
      </w:r>
      <w:r>
        <w:rPr>
          <w:rFonts w:ascii="Malgun Gothic" w:cs="Malgun Gothic" w:eastAsia="맑은 고딕" w:hAnsi="Malgun Gothic"/>
          <w:b w:val="false"/>
          <w:bCs w:val="false"/>
        </w:rPr>
        <w:t xml:space="preserve">: 토사유출 문헌 조사지와 겹치는 김천을 예비 청구 대상으로 둘지</w:t>
      </w:r>
    </w:p>
    <w:p>
      <w:pPr>
        <w:spacing w:after="120"/>
      </w:pPr>
      <w:r>
        <w:rPr>
          <w:rFonts w:ascii="Malgun Gothic" w:cs="Malgun Gothic" w:eastAsia="맑은 고딕" w:hAnsi="Malgun Gothic"/>
          <w:b w:val="false"/>
          <w:bCs w:val="false"/>
          <w:color w:val="5D685F"/>
          <w:sz w:val="18"/>
          <w:szCs w:val="18"/>
        </w:rPr>
        <w:t xml:space="preserve">법 조항(제9조, 제11조)은 청구 전에 최신 조문으로 다시 확인함.</w:t>
      </w:r>
    </w:p>
    <w:p>
      <w:pPr>
        <w:pStyle w:val="Heading1"/>
      </w:pPr>
      <w:r>
        <w:rPr>
          <w:rFonts w:ascii="Malgun Gothic" w:cs="Malgun Gothic" w:eastAsia="맑은 고딕" w:hAnsi="Malgun Gothic"/>
        </w:rPr>
        <w:t xml:space="preserve">참고문헌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2차년도 착수보고서(RQ1, 이세음)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산림청 『임업통계연보』 Ⅵ-6 국유림 목재매각실적(2021~2025년판)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맑은 고딕" w:hAnsi="Malgun Gothic"/>
        </w:rPr>
        <w:t xml:space="preserve">「공공기관의 정보공개에 관한 법률」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맑은 고딕" w:hAnsi="Malgun Gothic"/>
        <w:color w:val="5D685F"/>
        <w:sz w:val="16"/>
        <w:szCs w:val="16"/>
      </w:rPr>
      <w:t xml:space="preserve">정보공개 청구 계획(안) · 검토용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00" w:hanging="320"/>
      </w:pPr>
      <w:rPr>
        <w:b/>
        <w:bCs/>
        <w:color w:val="9A4B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algun Gothic" w:cs="Malgun Gothic" w:eastAsia="맑은 고딕" w:hAnsi="Malgun Gothic"/>
    </w:rPr>
  </w:style>
  <w:style w:type="paragraph" w:styleId="Heading1">
    <w:name w:val="Heading 1"/>
    <w:basedOn w:val="Normal"/>
    <w:next w:val="Normal"/>
    <w:qFormat/>
    <w:pPr>
      <w:pBdr>
        <w:bottom w:val="single" w:color="2F5D46" w:sz="8" w:space="4"/>
      </w:pBdr>
      <w:spacing w:after="160" w:before="360"/>
      <w:outlineLvl w:val="0"/>
    </w:pPr>
    <w:rPr>
      <w:rFonts w:ascii="Malgun Gothic" w:cs="Malgun Gothic" w:eastAsia="맑은 고딕" w:hAnsi="Malgun Gothic"/>
      <w:b/>
      <w:bCs/>
      <w:color w:val="1F262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맑은 고딕" w:hAnsi="Malgun Gothic"/>
      <w:b/>
      <w:bCs/>
      <w:color w:val="2F5D46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맑은 고딕" w:hAnsi="Malgun Gothic"/>
      <w:b/>
      <w:bCs/>
      <w:color w:val="1F262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2026-10-03T12:01:08.606Z</dcterms:created>
  <dcterms:modified xsi:type="dcterms:W3CDTF">2026-10-03T12:01:08.608Z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