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RQ1 토사유출·생물다양성 · 사례지 선정</w:t>
      </w:r>
    </w:p>
    <w:p>
      <w:pPr>
        <w:pStyle w:val="Title"/>
        <w:spacing w:after="120"/>
      </w:pPr>
      <w:r>
        <w:rPr>
          <w:rFonts w:ascii="Malgun Gothic" w:cs="Malgun Gothic" w:eastAsia="맑은 고딕" w:hAnsi="Malgun Gothic"/>
          <w:b/>
          <w:bCs/>
          <w:color w:val="1F2620"/>
          <w:sz w:val="34"/>
          <w:szCs w:val="34"/>
        </w:rPr>
        <w:t xml:space="preserve">정보공개 청구 계획(안)</w:t>
      </w:r>
    </w:p>
    <w:p>
      <w:pPr>
        <w:pBdr>
          <w:bottom w:val="single" w:color="2F5D46" w:sz="8" w:space="6"/>
        </w:pBdr>
        <w:spacing w:after="240"/>
      </w:pP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작성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이세음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청구 예정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2026년 10월 중순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/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청구 대상: 동부·북부지방산림청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4"/>
        <w:gridCol w:w="5470"/>
        <w:gridCol w:w="2084"/>
      </w:tblGrid>
      <w:tr>
        <w:trPr>
          <w:tblHeader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지방산림청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벌채면적 5년 합계(2020~2024)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비중</w:t>
            </w:r>
          </w:p>
        </w:tc>
      </w:tr>
      <w:tr>
        <w:trPr>
          <w:tblHeader w:val="false"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동부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9,823ha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28.9%</w:t>
            </w:r>
          </w:p>
        </w:tc>
      </w:tr>
      <w:tr>
        <w:trPr>
          <w:tblHeader w:val="false"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북부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9,201ha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27.0%</w:t>
            </w:r>
          </w:p>
        </w:tc>
      </w:tr>
      <w:tr>
        <w:trPr>
          <w:tblHeader w:val="false"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남부(3위)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6,597ha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19.4%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자료: 산림청 『임업통계연보』 국유림 목재매각실적. 동부·북부는 5년 모두 1·2위. 동부 산하 강릉국유림관리소의 벌채 실적이 많다는 의견이 있어, 관리소별 집계로 확인함.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청구 범위(안): 단계형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66"/>
        <w:gridCol w:w="4367"/>
      </w:tblGrid>
      <w:tr>
        <w:trPr>
          <w:tblHeader/>
        </w:trPr>
        <w:tc>
          <w:tcPr>
            <w:tcW w:type="dxa" w:w="120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기관</w:t>
            </w:r>
          </w:p>
        </w:tc>
        <w:tc>
          <w:tcPr>
            <w:tcW w:type="dxa" w:w="406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1차 청구(10월 중순)</w:t>
            </w:r>
          </w:p>
        </w:tc>
        <w:tc>
          <w:tcPr>
            <w:tcW w:type="dxa" w:w="436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2차 청구(11월 초)</w:t>
            </w:r>
          </w:p>
        </w:tc>
      </w:tr>
      <w:tr>
        <w:trPr>
          <w:tblHeader w:val="false"/>
        </w:trPr>
        <w:tc>
          <w:tcPr>
            <w:tcW w:type="dxa" w:w="120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동부·북부 공통</w:t>
            </w:r>
          </w:p>
        </w:tc>
        <w:tc>
          <w:tcPr>
            <w:tcW w:type="dxa" w:w="406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관리소별 벌채 실적 집계 + 소반별 벌채이력 목록</w:t>
            </w:r>
          </w:p>
        </w:tc>
        <w:tc>
          <w:tcPr>
            <w:tcW w:type="dxa" w:w="436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목록으로 고른 관리소 1~2곳(강릉 등)의 상세 자료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관리소를 미리 정하지 않고, 두 지방청 전체 목록을 받아 경과연수별 벌채지가 갖춰진 관리소를 고름. 상세 자료(경영계획·임도)까지 처음부터 전부 받으면 처리 기간이 연장될 가능성이 커서, 상세 자료는 2차로 좁혀 받음.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청구 항목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벌채 실적 집계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관리소별·연도별 건수, 벌채면적, 입목재적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소반별 벌채이력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연도, 임반·소반, 벌채 종류, 면적, 수종, 집재 방법·집재로 개설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산림경영계획 자료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소반별 경사·토양, 임상, 영급, 우점 수종, 조림 이력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임도·교란 이력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임도 노선(SHP)과 개설 연도, 산불·병해충 피해 이력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공통 조건: 보유 기간 전체, 전자파일(엑셀·SHP). 매수자 상호·계약금액·개인정보는 제외(비공개 사유 회피). 1차는 1·2번, 2차(선정 관리소)는 2~4번.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절차와 일정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정보공개포털(open.go.kr)로 기관별 청구 → 10일 이내 결정(최대 10일 연장) → 10월 말~11월 초 1차 수령 → 관리소 선정 후 2차 청구 → 11월 말 사례지 확정.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검토 요청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청구 범위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1차에 두 지방청 전체 목록을 받고 2차에 관리소를 좁히는 방식이 적절한지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청구 기간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보유 기간 전체로 할지, 1980~2024년 등으로 한정할지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빼거나 더할 항목이 있는지(특히 집재 방법이 기록에 남아 있을지)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맑은 고딕" w:hAnsi="Malgun Gothic"/>
        <w:color w:val="5D685F"/>
        <w:sz w:val="16"/>
        <w:szCs w:val="16"/>
      </w:rPr>
      <w:t xml:space="preserve">정보공개 청구 계획(안)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00" w:hanging="320"/>
      </w:pPr>
      <w:rPr>
        <w:b/>
        <w:bCs/>
        <w:color w:val="9A4B1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algun Gothic" w:cs="Malgun Gothic" w:eastAsia="맑은 고딕" w:hAnsi="Malgun Gothic"/>
    </w:rPr>
  </w:style>
  <w:style w:type="paragraph" w:styleId="Heading1">
    <w:name w:val="Heading 1"/>
    <w:basedOn w:val="Normal"/>
    <w:next w:val="Normal"/>
    <w:qFormat/>
    <w:pPr>
      <w:pBdr>
        <w:bottom w:val="single" w:color="2F5D46" w:sz="8" w:space="4"/>
      </w:pBdr>
      <w:spacing w:after="160" w:before="360"/>
      <w:outlineLvl w:val="0"/>
    </w:pPr>
    <w:rPr>
      <w:rFonts w:ascii="Malgun Gothic" w:cs="Malgun Gothic" w:eastAsia="맑은 고딕" w:hAnsi="Malgun Gothic"/>
      <w:b/>
      <w:bCs/>
      <w:color w:val="1F262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맑은 고딕" w:hAnsi="Malgun Gothic"/>
      <w:b/>
      <w:bCs/>
      <w:color w:val="2F5D46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맑은 고딕" w:hAnsi="Malgun Gothic"/>
      <w:b/>
      <w:bCs/>
      <w:color w:val="1F262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2026-10-03T12:08:50.326Z</dcterms:created>
  <dcterms:modified xsi:type="dcterms:W3CDTF">2026-10-03T12:08:50.327Z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