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RQ1 토사유출·생물다양성 · 사례지 선정</w:t>
      </w:r>
    </w:p>
    <w:p>
      <w:pPr>
        <w:pStyle w:val="Title"/>
        <w:spacing w:after="120"/>
      </w:pPr>
      <w:r>
        <w:rPr>
          <w:rFonts w:ascii="Malgun Gothic" w:cs="Malgun Gothic" w:eastAsia="맑은 고딕" w:hAnsi="Malgun Gothic"/>
          <w:b/>
          <w:bCs/>
          <w:color w:val="1F2620"/>
          <w:sz w:val="34"/>
          <w:szCs w:val="34"/>
        </w:rPr>
        <w:t xml:space="preserve">정보공개 청구 계획(안)</w:t>
      </w:r>
    </w:p>
    <w:p>
      <w:pPr>
        <w:pBdr>
          <w:bottom w:val="single" w:color="2F5D46" w:sz="8" w:space="6"/>
        </w:pBdr>
        <w:spacing w:after="240"/>
      </w:pP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작성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이세음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청구 예정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2026년 10월 중순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/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1. 청구 대상: 동부·북부지방산림청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4"/>
        <w:gridCol w:w="5470"/>
        <w:gridCol w:w="2084"/>
      </w:tblGrid>
      <w:tr>
        <w:trPr>
          <w:tblHeader/>
        </w:trPr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지방산림청</w:t>
            </w:r>
          </w:p>
        </w:tc>
        <w:tc>
          <w:tcPr>
            <w:tcW w:type="dxa" w:w="5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벌채면적 5년 합계(2020~2024)</w:t>
            </w:r>
          </w:p>
        </w:tc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비중</w:t>
            </w:r>
          </w:p>
        </w:tc>
      </w:tr>
      <w:tr>
        <w:trPr>
          <w:tblHeader w:val="false"/>
        </w:trPr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동부</w:t>
            </w:r>
          </w:p>
        </w:tc>
        <w:tc>
          <w:tcPr>
            <w:tcW w:type="dxa" w:w="5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9,823ha</w:t>
            </w:r>
          </w:p>
        </w:tc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28.9%</w:t>
            </w:r>
          </w:p>
        </w:tc>
      </w:tr>
      <w:tr>
        <w:trPr>
          <w:tblHeader w:val="false"/>
        </w:trPr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북부</w:t>
            </w:r>
          </w:p>
        </w:tc>
        <w:tc>
          <w:tcPr>
            <w:tcW w:type="dxa" w:w="5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9,201ha</w:t>
            </w:r>
          </w:p>
        </w:tc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27.0%</w:t>
            </w:r>
          </w:p>
        </w:tc>
      </w:tr>
      <w:tr>
        <w:trPr>
          <w:tblHeader w:val="false"/>
        </w:trPr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남부(3위)</w:t>
            </w:r>
          </w:p>
        </w:tc>
        <w:tc>
          <w:tcPr>
            <w:tcW w:type="dxa" w:w="5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6,597ha</w:t>
            </w:r>
          </w:p>
        </w:tc>
        <w:tc>
          <w:tcPr>
            <w:tcW w:type="dxa" w:w="208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19.4%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자료: 산림청 『임업통계연보』 국유림 목재매각실적. 동부·북부는 5년 모두 1·2위. 북부 산하에 기존 후보인 홍천·인제 관리소가 있음.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2. 청구 범위(안): 단계형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4487"/>
        <w:gridCol w:w="3822"/>
      </w:tblGrid>
      <w:tr>
        <w:trPr>
          <w:tblHeader/>
        </w:trPr>
        <w:tc>
          <w:tcPr>
            <w:tcW w:type="dxa" w:w="13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기관</w:t>
            </w:r>
          </w:p>
        </w:tc>
        <w:tc>
          <w:tcPr>
            <w:tcW w:type="dxa" w:w="44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1차 청구(10월 중순)</w:t>
            </w:r>
          </w:p>
        </w:tc>
        <w:tc>
          <w:tcPr>
            <w:tcW w:type="dxa" w:w="38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2차 청구(11월 초)</w:t>
            </w:r>
          </w:p>
        </w:tc>
      </w:tr>
      <w:tr>
        <w:trPr>
          <w:tblHeader w:val="false"/>
        </w:trPr>
        <w:tc>
          <w:tcPr>
            <w:tcW w:type="dxa" w:w="13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북부</w:t>
            </w:r>
          </w:p>
        </w:tc>
        <w:tc>
          <w:tcPr>
            <w:tcW w:type="dxa" w:w="44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관리소별 벌채 실적 집계 +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홍천·인제 상세 자료</w:t>
            </w:r>
          </w:p>
        </w:tc>
        <w:tc>
          <w:tcPr>
            <w:tcW w:type="dxa" w:w="38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필요 시 보완</w:t>
            </w:r>
          </w:p>
        </w:tc>
      </w:tr>
      <w:tr>
        <w:trPr>
          <w:tblHeader w:val="false"/>
        </w:trPr>
        <w:tc>
          <w:tcPr>
            <w:tcW w:type="dxa" w:w="13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동부</w:t>
            </w:r>
          </w:p>
        </w:tc>
        <w:tc>
          <w:tcPr>
            <w:tcW w:type="dxa" w:w="44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관리소별 벌채 실적 집계 + 소반별 벌채이력 목록</w:t>
            </w:r>
          </w:p>
        </w:tc>
        <w:tc>
          <w:tcPr>
            <w:tcW w:type="dxa" w:w="38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목록으로 고른 관리소 1~2곳의 상세 자료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홍천·인제만 청구하면 빠르지만 실적 1위인 동부를 못 보고, 두 지방청 상세 자료를 모두 받으면 처리 기간이 연장될 가능성이 큼. 목록은 넓게, 상세 자료는 좁게 받는 방식으로 절충함.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 청구 항목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벌채 실적 집계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관리소별·연도별 건수, 벌채면적, 입목재적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소반별 벌채이력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연도, 임반·소반, 벌채 종류, 면적, 수종, 집재 방법·집재로 개설 여부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산림경영계획 자료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소반별 경사·토양, 임상, 영급, 우점 수종, 조림 이력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임도·교란 이력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임도 노선(SHP)과 개설 연도, 산불·병해충 피해 이력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공통 조건: 보유 기간 전체, 전자파일(엑셀·SHP). 매수자 상호·계약금액·개인정보는 제외(비공개 사유 회피). 동부 1차는 1·2번(집재 정보 제외)만, 북부 홍천·인제는 1~4번 전체.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 절차와 일정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정보공개포털(open.go.kr)로 기관별 청구 → 10일 이내 결정(최대 10일 연장) → 10월 말~11월 초 1차 수령 → 북부 사례지 확정, 동부 2차 청구 → 11월 말 최종 확정.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 검토 요청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청구 범위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단계형으로 진행할지, 홍천·인제만으로 좁힐지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청구 기간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보유 기간 전체로 할지, 1980~2024년 등으로 한정할지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항목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빼거나 더할 항목이 있는지(특히 집재 방법이 기록에 남아 있을지)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맑은 고딕" w:hAnsi="Malgun Gothic"/>
        <w:color w:val="5D685F"/>
        <w:sz w:val="16"/>
        <w:szCs w:val="16"/>
      </w:rPr>
      <w:t xml:space="preserve">정보공개 청구 계획(안)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00" w:hanging="320"/>
      </w:pPr>
      <w:rPr>
        <w:b/>
        <w:bCs/>
        <w:color w:val="9A4B1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Malgun Gothic" w:cs="Malgun Gothic" w:eastAsia="맑은 고딕" w:hAnsi="Malgun Gothic"/>
    </w:rPr>
  </w:style>
  <w:style w:type="paragraph" w:styleId="Heading1">
    <w:name w:val="Heading 1"/>
    <w:basedOn w:val="Normal"/>
    <w:next w:val="Normal"/>
    <w:qFormat/>
    <w:pPr>
      <w:pBdr>
        <w:bottom w:val="single" w:color="2F5D46" w:sz="8" w:space="4"/>
      </w:pBdr>
      <w:spacing w:after="160" w:before="360"/>
      <w:outlineLvl w:val="0"/>
    </w:pPr>
    <w:rPr>
      <w:rFonts w:ascii="Malgun Gothic" w:cs="Malgun Gothic" w:eastAsia="맑은 고딕" w:hAnsi="Malgun Gothic"/>
      <w:b/>
      <w:bCs/>
      <w:color w:val="1F262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algun Gothic" w:cs="Malgun Gothic" w:eastAsia="맑은 고딕" w:hAnsi="Malgun Gothic"/>
      <w:b/>
      <w:bCs/>
      <w:color w:val="2F5D46"/>
      <w:sz w:val="23"/>
      <w:szCs w:val="23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맑은 고딕" w:hAnsi="Malgun Gothic"/>
      <w:b/>
      <w:bCs/>
      <w:color w:val="1F262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2026-10-03T12:06:47.995Z</dcterms:created>
  <dcterms:modified xsi:type="dcterms:W3CDTF">2026-10-03T12:06:48.003Z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