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맑은 고딕" w:hAnsi="Malgun Gothic"/>
          <w:b w:val="false"/>
          <w:bCs w:val="false"/>
          <w:color w:val="5D685F"/>
          <w:sz w:val="18"/>
          <w:szCs w:val="18"/>
        </w:rPr>
        <w:t xml:space="preserve">기후변화 대응 산림정책 전환 연구 2차년도 · RQ1 월간 체크인</w:t>
      </w:r>
    </w:p>
    <w:p>
      <w:pPr>
        <w:pStyle w:val="Title"/>
        <w:spacing w:after="0"/>
      </w:pPr>
      <w:r>
        <w:rPr>
          <w:rFonts w:ascii="Malgun Gothic" w:cs="Malgun Gothic" w:eastAsia="맑은 고딕" w:hAnsi="Malgun Gothic"/>
          <w:b/>
          <w:bCs/>
          <w:color w:val="1F2620"/>
          <w:sz w:val="34"/>
          <w:szCs w:val="34"/>
        </w:rPr>
        <w:t xml:space="preserve">산림바이오매스가 토사유출·생물다양성에 미치는 영향</w:t>
      </w:r>
    </w:p>
    <w:p>
      <w:pPr>
        <w:pStyle w:val="Title"/>
        <w:spacing w:after="120"/>
      </w:pPr>
      <w:r>
        <w:rPr>
          <w:rFonts w:ascii="Malgun Gothic" w:cs="Malgun Gothic" w:eastAsia="맑은 고딕" w:hAnsi="Malgun Gothic"/>
          <w:b/>
          <w:bCs/>
          <w:color w:val="2F5D46"/>
          <w:sz w:val="28"/>
          <w:szCs w:val="28"/>
        </w:rPr>
        <w:t xml:space="preserve">10월 월간 보고</w:t>
      </w:r>
    </w:p>
    <w:p>
      <w:pPr>
        <w:pBdr>
          <w:bottom w:val="single" w:color="2F5D46" w:sz="8" w:space="6"/>
        </w:pBdr>
        <w:spacing w:after="240"/>
      </w:pPr>
      <w:r>
        <w:rPr>
          <w:rFonts w:ascii="Malgun Gothic" w:cs="Malgun Gothic" w:eastAsia="맑은 고딕" w:hAnsi="Malgun Gothic"/>
          <w:b/>
          <w:bCs/>
          <w:color w:val="5D685F"/>
          <w:sz w:val="18"/>
          <w:szCs w:val="18"/>
        </w:rPr>
        <w:t xml:space="preserve">보고자</w:t>
      </w:r>
      <w:r>
        <w:rPr>
          <w:rFonts w:ascii="Malgun Gothic" w:cs="Malgun Gothic" w:eastAsia="맑은 고딕" w:hAnsi="Malgun Gothic"/>
          <w:b w:val="false"/>
          <w:bCs w:val="false"/>
          <w:color w:val="5D685F"/>
          <w:sz w:val="18"/>
          <w:szCs w:val="18"/>
        </w:rPr>
        <w:t xml:space="preserve"> 이세음 연구원</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담당</w:t>
      </w:r>
      <w:r>
        <w:rPr>
          <w:rFonts w:ascii="Malgun Gothic" w:cs="Malgun Gothic" w:eastAsia="맑은 고딕" w:hAnsi="Malgun Gothic"/>
          <w:b w:val="false"/>
          <w:bCs w:val="false"/>
          <w:color w:val="5D685F"/>
          <w:sz w:val="18"/>
          <w:szCs w:val="18"/>
        </w:rPr>
        <w:t xml:space="preserve"> RQ1 토사유출·생물다양성</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보고 시점</w:t>
      </w:r>
      <w:r>
        <w:rPr>
          <w:rFonts w:ascii="Malgun Gothic" w:cs="Malgun Gothic" w:eastAsia="맑은 고딕" w:hAnsi="Malgun Gothic"/>
          <w:b w:val="false"/>
          <w:bCs w:val="false"/>
          <w:color w:val="5D685F"/>
          <w:sz w:val="18"/>
          <w:szCs w:val="18"/>
        </w:rPr>
        <w:t xml:space="preserve"> 2026년 10월</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r>
    </w:p>
    <w:p>
      <w:pPr>
        <w:pStyle w:val="Heading1"/>
      </w:pPr>
      <w:r>
        <w:rPr>
          <w:rFonts w:ascii="Malgun Gothic" w:cs="Malgun Gothic" w:eastAsia="맑은 고딕" w:hAnsi="Malgun Gothic"/>
          <w:b w:val="false"/>
          <w:bCs w:val="false"/>
        </w:rPr>
        <w:t xml:space="preserve">1. 보고 개요</w:t>
      </w:r>
    </w:p>
    <w:p>
      <w:pPr>
        <w:pStyle w:val="ListParagraph"/>
        <w:numPr>
          <w:ilvl w:val="0"/>
          <w:numId w:val="2"/>
        </w:numPr>
        <w:spacing w:after="60"/>
      </w:pPr>
      <w:r>
        <w:rPr>
          <w:rFonts w:ascii="Malgun Gothic" w:cs="Malgun Gothic" w:eastAsia="맑은 고딕" w:hAnsi="Malgun Gothic"/>
          <w:b/>
          <w:bCs/>
        </w:rPr>
        <w:t xml:space="preserve">토사유출</w:t>
      </w:r>
      <w:r>
        <w:rPr>
          <w:rFonts w:ascii="Malgun Gothic" w:cs="Malgun Gothic" w:eastAsia="맑은 고딕" w:hAnsi="Malgun Gothic"/>
          <w:b w:val="false"/>
          <w:bCs w:val="false"/>
        </w:rPr>
        <w:t xml:space="preserve">: 국내 벌채지 대부분이 우드그랩 방식으로 집재한다는 자문을 반영해, 문헌을 집재 방법별로 정리한다. 현장 실측 대신 물리 기반 모형인 WEPP로 토사유출을 추정한다.</w:t>
      </w:r>
    </w:p>
    <w:p>
      <w:pPr>
        <w:pStyle w:val="ListParagraph"/>
        <w:numPr>
          <w:ilvl w:val="0"/>
          <w:numId w:val="2"/>
        </w:numPr>
        <w:spacing w:after="60"/>
      </w:pPr>
      <w:r>
        <w:rPr>
          <w:rFonts w:ascii="Malgun Gothic" w:cs="Malgun Gothic" w:eastAsia="맑은 고딕" w:hAnsi="Malgun Gothic"/>
          <w:b/>
          <w:bCs/>
        </w:rPr>
        <w:t xml:space="preserve">생물다양성</w:t>
      </w:r>
      <w:r>
        <w:rPr>
          <w:rFonts w:ascii="Malgun Gothic" w:cs="Malgun Gothic" w:eastAsia="맑은 고딕" w:hAnsi="Malgun Gothic"/>
          <w:b w:val="false"/>
          <w:bCs w:val="false"/>
        </w:rPr>
        <w:t xml:space="preserve">: 2차년도에는 현장조사를 하지 않는다. 국립생태원 제5차 전국자연환경조사 자료로 생물다양성 지수 분석을 먼저 완성한다.</w:t>
      </w:r>
    </w:p>
    <w:p>
      <w:pPr>
        <w:pStyle w:val="ListParagraph"/>
        <w:numPr>
          <w:ilvl w:val="0"/>
          <w:numId w:val="2"/>
        </w:numPr>
        <w:spacing w:after="60"/>
      </w:pPr>
      <w:r>
        <w:rPr>
          <w:rFonts w:ascii="Malgun Gothic" w:cs="Malgun Gothic" w:eastAsia="맑은 고딕" w:hAnsi="Malgun Gothic"/>
          <w:b/>
          <w:bCs/>
        </w:rPr>
        <w:t xml:space="preserve">사례지</w:t>
      </w:r>
      <w:r>
        <w:rPr>
          <w:rFonts w:ascii="Malgun Gothic" w:cs="Malgun Gothic" w:eastAsia="맑은 고딕" w:hAnsi="Malgun Gothic"/>
          <w:b w:val="false"/>
          <w:bCs w:val="false"/>
        </w:rPr>
        <w:t xml:space="preserve">: 벌채 실적을 먼저 보고 사례지를 정한다. 국유림 목재매각실적 상위 2곳인 동부·북부지방산림청에 정보공개를 청구한다.</w:t>
      </w:r>
    </w:p>
    <w:p>
      <w:pPr>
        <w:pStyle w:val="Heading1"/>
      </w:pPr>
      <w:r>
        <w:rPr>
          <w:rFonts w:ascii="Malgun Gothic" w:cs="Malgun Gothic" w:eastAsia="맑은 고딕" w:hAnsi="Malgun Gothic"/>
          <w:b w:val="false"/>
          <w:bCs w:val="false"/>
        </w:rPr>
        <w:t xml:space="preserve">2. 토사유출</w:t>
      </w:r>
    </w:p>
    <w:p>
      <w:pPr>
        <w:pStyle w:val="Heading2"/>
      </w:pPr>
      <w:r>
        <w:rPr>
          <w:rFonts w:ascii="Malgun Gothic" w:cs="Malgun Gothic" w:eastAsia="맑은 고딕" w:hAnsi="Malgun Gothic"/>
          <w:b w:val="false"/>
          <w:bCs w:val="false"/>
        </w:rPr>
        <w:t xml:space="preserve">2.1 토양침식의 요인과 진행 과정</w:t>
      </w:r>
    </w:p>
    <w:p>
      <w:pPr>
        <w:spacing w:after="120"/>
      </w:pPr>
      <w:r>
        <w:rPr>
          <w:rFonts w:ascii="Malgun Gothic" w:cs="Malgun Gothic" w:eastAsia="맑은 고딕" w:hAnsi="Malgun Gothic"/>
          <w:b w:val="false"/>
          <w:bCs w:val="false"/>
        </w:rPr>
        <w:t xml:space="preserve">토사유출은 빗물이 흙 입자를 떼어 내 사면 아래로 운반하는 현상이다. 숲에서는 수관, 낙엽층, 뿌리가 이 과정을 막아 침식이 거의 일어나지 않는다. 토양침식은 기후(강우량·강우 강도), 토양(토성·구조·투수성), 지형(경사도·사면 길이), 식생(수관·낙엽층·뿌리에 의한 피복) 네 가지 인자로 결정된다. 벌채는 이 중 식생 인자를 없애고, 집재 작업은 토양 인자(다짐)와 지형 인자(작업로)를 바꾼다.</w:t>
      </w:r>
    </w:p>
    <w:p>
      <w:pPr>
        <w:spacing w:after="120"/>
      </w:pPr>
      <w:r>
        <w:rPr>
          <w:rFonts w:ascii="Malgun Gothic" w:cs="Malgun Gothic" w:eastAsia="맑은 고딕" w:hAnsi="Malgun Gothic"/>
          <w:b w:val="false"/>
          <w:bCs w:val="false"/>
        </w:rPr>
        <w:t xml:space="preserve">표 1. 토양침식의 진행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138"/>
        <w:gridCol w:w="3800"/>
      </w:tblGrid>
      <w:tr>
        <w:trPr>
          <w:tblHeader/>
        </w:trPr>
        <w:tc>
          <w:tcPr>
            <w:tcW w:type="dxa" w:w="17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단계</w:t>
            </w:r>
          </w:p>
        </w:tc>
        <w:tc>
          <w:tcPr>
            <w:tcW w:type="dxa" w:w="413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내용</w:t>
            </w:r>
          </w:p>
        </w:tc>
        <w:tc>
          <w:tcPr>
            <w:tcW w:type="dxa" w:w="38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사진</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① 우격침식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빗방울이 맨땅을 때려 흙 입자를 떼어 낸다.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② 면상침식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얇은 물막이 사면 전체에서 흙을 쓸어 간다.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③ 누구침식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물이 모여 작은 물길(세류)을 판다.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④ 구곡침식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물길이 깊어져 도랑 형태가 된다.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bl>
    <w:p>
      <w:pPr>
        <w:spacing w:after="60"/>
      </w:pPr>
    </w:p>
    <w:p>
      <w:pPr>
        <w:spacing w:after="120"/>
      </w:pPr>
      <w:r>
        <w:rPr>
          <w:rFonts w:ascii="Malgun Gothic" w:cs="Malgun Gothic" w:eastAsia="맑은 고딕" w:hAnsi="Malgun Gothic"/>
          <w:b w:val="false"/>
          <w:bCs w:val="false"/>
        </w:rPr>
        <w:t xml:space="preserve">산림 이용 유형별 토양침식률은 산불 &gt; 임도 &gt; 벌목 &gt; 자연 산림 순이다(이학준 자문 자료). 벌채지의 토사유출은 벌채 자체보다 함께 만들어지는 임도와 집재로(작업로)에서 크게 발생한다. 따라서 본 연구는 사면(벌채면)과 노면(임도·집재로)을 나누어 산정한다.</w:t>
      </w:r>
    </w:p>
    <w:p>
      <w:pPr>
        <w:pStyle w:val="Heading2"/>
      </w:pPr>
      <w:r>
        <w:rPr>
          <w:rFonts w:ascii="Malgun Gothic" w:cs="Malgun Gothic" w:eastAsia="맑은 고딕" w:hAnsi="Malgun Gothic"/>
          <w:b w:val="false"/>
          <w:bCs w:val="false"/>
        </w:rPr>
        <w:t xml:space="preserve">2.2 벌채·집재가 토사유출을 늘리는 경로</w:t>
      </w:r>
    </w:p>
    <w:p>
      <w:pPr>
        <w:pStyle w:val="ListParagraph"/>
        <w:numPr>
          <w:ilvl w:val="0"/>
          <w:numId w:val="3"/>
        </w:numPr>
        <w:spacing w:after="60"/>
      </w:pPr>
      <w:r>
        <w:rPr>
          <w:rFonts w:ascii="Malgun Gothic" w:cs="Malgun Gothic" w:eastAsia="맑은 고딕" w:hAnsi="Malgun Gothic"/>
          <w:b/>
          <w:bCs/>
        </w:rPr>
        <w:t xml:space="preserve">벌채</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수관·지표 피복이 제거되어 빗방울이 맨땅에 직접 닿는다.</w:t>
      </w:r>
    </w:p>
    <w:p>
      <w:pPr>
        <w:pStyle w:val="ListParagraph"/>
        <w:numPr>
          <w:ilvl w:val="0"/>
          <w:numId w:val="3"/>
        </w:numPr>
        <w:spacing w:after="60"/>
      </w:pPr>
      <w:r>
        <w:rPr>
          <w:rFonts w:ascii="Malgun Gothic" w:cs="Malgun Gothic" w:eastAsia="맑은 고딕" w:hAnsi="Malgun Gothic"/>
          <w:b/>
          <w:bCs/>
        </w:rPr>
        <w:t xml:space="preserve">장비 통행</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답압으로 용적밀도가 커지고 공극률이 줄어든다.</w:t>
      </w:r>
    </w:p>
    <w:p>
      <w:pPr>
        <w:pStyle w:val="ListParagraph"/>
        <w:numPr>
          <w:ilvl w:val="0"/>
          <w:numId w:val="3"/>
        </w:numPr>
        <w:spacing w:after="60"/>
      </w:pPr>
      <w:r>
        <w:rPr>
          <w:rFonts w:ascii="Malgun Gothic" w:cs="Malgun Gothic" w:eastAsia="맑은 고딕" w:hAnsi="Malgun Gothic"/>
          <w:b/>
          <w:bCs/>
        </w:rPr>
        <w:t xml:space="preserve">투수성 저하</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빗물이 땅에 스며들지 못한다.</w:t>
      </w:r>
    </w:p>
    <w:p>
      <w:pPr>
        <w:pStyle w:val="ListParagraph"/>
        <w:numPr>
          <w:ilvl w:val="0"/>
          <w:numId w:val="3"/>
        </w:numPr>
        <w:spacing w:after="60"/>
      </w:pPr>
      <w:r>
        <w:rPr>
          <w:rFonts w:ascii="Malgun Gothic" w:cs="Malgun Gothic" w:eastAsia="맑은 고딕" w:hAnsi="Malgun Gothic"/>
          <w:b/>
          <w:bCs/>
        </w:rPr>
        <w:t xml:space="preserve">지표유출 증가</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표면을 흐르는 물이 늘어난다.</w:t>
      </w:r>
    </w:p>
    <w:p>
      <w:pPr>
        <w:pStyle w:val="ListParagraph"/>
        <w:numPr>
          <w:ilvl w:val="0"/>
          <w:numId w:val="3"/>
        </w:numPr>
        <w:spacing w:after="60"/>
      </w:pPr>
      <w:r>
        <w:rPr>
          <w:rFonts w:ascii="Malgun Gothic" w:cs="Malgun Gothic" w:eastAsia="맑은 고딕" w:hAnsi="Malgun Gothic"/>
          <w:b/>
          <w:bCs/>
        </w:rPr>
        <w:t xml:space="preserve">토사유출</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작업로·바퀴자국이 물길이 되어 누구·구곡침식으로 커진다.</w:t>
      </w:r>
    </w:p>
    <w:p>
      <w:pPr>
        <w:pStyle w:val="Heading2"/>
      </w:pPr>
      <w:r>
        <w:rPr>
          <w:rFonts w:ascii="Malgun Gothic" w:cs="Malgun Gothic" w:eastAsia="맑은 고딕" w:hAnsi="Malgun Gothic"/>
          <w:b w:val="false"/>
          <w:bCs w:val="false"/>
        </w:rPr>
        <w:t xml:space="preserve">2.3 국내 집재 방식과 토양 영향</w:t>
      </w:r>
    </w:p>
    <w:p>
      <w:pPr>
        <w:spacing w:after="120"/>
      </w:pPr>
      <w:r>
        <w:rPr>
          <w:rFonts w:ascii="Malgun Gothic" w:cs="Malgun Gothic" w:eastAsia="맑은 고딕" w:hAnsi="Malgun Gothic"/>
          <w:b w:val="false"/>
          <w:bCs w:val="false"/>
        </w:rPr>
        <w:t xml:space="preserve">이학준 교수(상지대) 자문에 따르면 국내 벌채 현장의 약 99%는 우드그랩 방식으로 집재한다. 굴착기에 집게를 달아 쓸 만한 재목은 던져 모으고 쓸모없는 것은 버리는 방식으로, 등고선 방향이 아닌 경사 방향(수직)으로 작업한다. 임지 표면 교란이 심해 작업 후 민둥산에 가까운 상태가 되며, 이 방식을 다룬 연구 자료는 많지 않다. 하베스터·포워더 방식은 장비가 비싸고 운전 인력 교육이 필요해 완경사지 일부와 연구용으로만 쓰인다. 경사 방향으로 난 작업로는 강우 시 그 자체가 물길이 되어 침식을 빠르게 한다.</w:t>
      </w:r>
    </w:p>
    <w:p>
      <w:pPr>
        <w:spacing w:after="120"/>
      </w:pPr>
      <w:r>
        <w:rPr>
          <w:rFonts w:ascii="Malgun Gothic" w:cs="Malgun Gothic" w:eastAsia="맑은 고딕" w:hAnsi="Malgun Gothic"/>
          <w:b w:val="false"/>
          <w:bCs w:val="false"/>
        </w:rPr>
        <w:t xml:space="preserve">우드그랩 방식의 토양 영향은 서울대학교 이은재(2018)의 박사학위논문과 이를 바탕으로 한 학술지 논문에서 실측되었다. 비교 대상인 가선집재는 공중에 설치한 와이어로 원목을 끌어내는 방식으로, 장비가 임지 위를 다니지 않는다.</w:t>
      </w:r>
    </w:p>
    <w:p>
      <w:pPr>
        <w:spacing w:after="120"/>
      </w:pPr>
      <w:r>
        <w:rPr>
          <w:rFonts w:ascii="Malgun Gothic" w:cs="Malgun Gothic" w:eastAsia="맑은 고딕" w:hAnsi="Malgun Gothic"/>
          <w:b w:val="false"/>
          <w:bCs w:val="false"/>
        </w:rPr>
        <w:t xml:space="preserve">표 2. 우드그랩 계열 집재의 토양 영향에 관한 국내 실증 연구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8"/>
        <w:gridCol w:w="1535"/>
        <w:gridCol w:w="5525"/>
      </w:tblGrid>
      <w:tr>
        <w:trPr>
          <w:tblHeader/>
        </w:trPr>
        <w:tc>
          <w:tcPr>
            <w:tcW w:type="dxa" w:w="25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연구</w:t>
            </w:r>
          </w:p>
        </w:tc>
        <w:tc>
          <w:tcPr>
            <w:tcW w:type="dxa" w:w="153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비교 대상</w:t>
            </w:r>
          </w:p>
        </w:tc>
        <w:tc>
          <w:tcPr>
            <w:tcW w:type="dxa" w:w="552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결과</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이은재(2018)</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서울대 박사학위논문</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 vs 가선집재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집재지에서 표토 유실·토양유실, 바퀴자국, 작업로 같은 교란 유형이 가선집재지보다 상당히 많은 비율을 차지한다. 지상 집재 장비를 쓰는 방식이 토양교란과 답압 피해가 더 크다.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 외(2017)</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한국산림과학회지 106(2)</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단목집재 vs 스윙야더 가선 전목집재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심한 교란·답압 면적이 48% 대 23%로 우드그랩이 약 2배이다. 장비 종류와 통행 횟수가 용적밀도·공극률에 유의한 영향을 준다.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al.(2020)</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Heliyon 6(3)</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셔블(굴착기+집게) 집재로</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운반차가 다닌 집재로는 용적밀도가 평균 24%(13~41%) 증가하고 공극률이 13~42% 감소한다. 표층 포화투수계수가 337.5 → 30.5 mm/h로 약 1/11 수준이 된다.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al.(2022)</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Frontiers in Env. Sci. 10</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 집재로 유형별 토양유실(실트펜스)</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벌채지 전체 연간 토양유실은 집재로 밀도 70 m/ha·경사 30%에서 11.59 t/ha/yr, 150 m/ha·경사 60%에서 28.94 t/ha/yr이다. WEPP 예측은 피복이 거의 없고 장비 통행이 잦은 지점에서 정확도가 낮다.</w:t>
            </w:r>
          </w:p>
        </w:tc>
      </w:tr>
    </w:tbl>
    <w:p>
      <w:pPr>
        <w:spacing w:after="60"/>
      </w:pPr>
    </w:p>
    <w:p>
      <w:pPr>
        <w:spacing w:after="120"/>
      </w:pPr>
      <w:r>
        <w:rPr>
          <w:rFonts w:ascii="Malgun Gothic" w:cs="Malgun Gothic" w:eastAsia="맑은 고딕" w:hAnsi="Malgun Gothic"/>
          <w:b w:val="false"/>
          <w:bCs w:val="false"/>
        </w:rPr>
        <w:t xml:space="preserve">국외 문헌의 토사유출 값은 대부분 하베스터·포워더, 스키더, 가선 집재 조건에서 얻은 것이다. 이를 국내 현장에 그대로 적용하면 토사유출이 과소추정될 수 있다. 따라서 문헌 분석에서는 집재 방법을 필수 분류 항목으로 두고, 국내 조건에 가까운 위 연구를 우선 적용한다.</w:t>
      </w:r>
    </w:p>
    <w:p>
      <w:pPr>
        <w:pStyle w:val="Heading2"/>
      </w:pPr>
      <w:r>
        <w:rPr>
          <w:rFonts w:ascii="Malgun Gothic" w:cs="Malgun Gothic" w:eastAsia="맑은 고딕" w:hAnsi="Malgun Gothic"/>
          <w:b w:val="false"/>
          <w:bCs w:val="false"/>
        </w:rPr>
        <w:t xml:space="preserve">2.4 임도·작업로와 재해</w:t>
      </w:r>
    </w:p>
    <w:p>
      <w:pPr>
        <w:spacing w:after="120"/>
      </w:pPr>
      <w:r>
        <w:rPr>
          <w:rFonts w:ascii="Malgun Gothic" w:cs="Malgun Gothic" w:eastAsia="맑은 고딕" w:hAnsi="Malgun Gothic"/>
          <w:b w:val="false"/>
          <w:bCs w:val="false"/>
        </w:rPr>
        <w:t xml:space="preserve">임도·작업로 설치와 벌목은 경사가 급하고 집중호우가 잦은 한국·일본에서 산사태 등 재난을 키우는 요인이다(홍석환·안미연, 2025). 산림작업은 대부분 임도에서 500m 이내(Cha et al., 1998), 벌목·조림은 200m 이내(Norihiko, 1994)에 집중된다. 그러나 국유림 경영비용 산정에서 벌목지의 사방사업비와 재해 복구·복원비는 정량화가 어려워 빠져 있다(홍석환·안미연, 2025). 본 연구는 이 토사유출 영향을 벌기령 시나리오별 범위값으로 산정해 RQ2·RQ3의 외부환경비용 산정에 넘긴다.</w:t>
      </w:r>
    </w:p>
    <w:p>
      <w:pPr>
        <w:spacing w:after="120"/>
      </w:pPr>
      <w:r>
        <w:rPr>
          <w:rFonts w:ascii="Malgun Gothic" w:cs="Malgun Gothic" w:eastAsia="맑은 고딕" w:hAnsi="Malgun Gothic"/>
          <w:b w:val="false"/>
          <w:bCs w:val="false"/>
        </w:rPr>
        <w:t xml:space="preserve">재해복구비와 사방사업비가 경영비용에 들어가지 않았으므로, 이것이 외부환경비용에 해당함을 보이려면 추가 분석이 필요하다. 정보공개로 사방사업지 자료를 얻으면 사방사업지와 벌채지의 공간통계분석을 수행해 두 지역이 얼마나 상관관계가 있는지 확인한다.</w:t>
      </w:r>
    </w:p>
    <w:p>
      <w:pPr>
        <w:pStyle w:val="Heading2"/>
      </w:pPr>
      <w:r>
        <w:rPr>
          <w:rFonts w:ascii="Malgun Gothic" w:cs="Malgun Gothic" w:eastAsia="맑은 고딕" w:hAnsi="Malgun Gothic"/>
          <w:b w:val="false"/>
          <w:bCs w:val="false"/>
        </w:rPr>
        <w:t xml:space="preserve">2.5 분석 방법: WEPP 모형</w:t>
      </w:r>
    </w:p>
    <w:p>
      <w:pPr>
        <w:spacing w:after="120"/>
      </w:pPr>
      <w:r>
        <w:rPr>
          <w:rFonts w:ascii="Malgun Gothic" w:cs="Malgun Gothic" w:eastAsia="맑은 고딕" w:hAnsi="Malgun Gothic"/>
          <w:b w:val="false"/>
          <w:bCs w:val="false"/>
        </w:rPr>
        <w:t xml:space="preserve">착수보고서는 사례지 현장조사로 침식 흔적과 임도 상태를 확인해 문헌값을 검증할 계획이었다. 그러나 실트펜스 실측은 강우 사상마다 포집 토사를 계량해야 하고 최소 한 번의 우기(6~9월) 관측이 필요하다. 연구기간(2026.9~2027.2)은 우기 이후부터 동절기까지여서 의미 있는 강우 사상을 확보하기 어렵다. 경과연수별 비교구 여러 곳에 설치·회수하는 예산과 인력도 부족하다. 따라서 현장 실측 대신 물리 기반 모형인 WEPP로 토사유출을 추정한다.</w:t>
      </w:r>
    </w:p>
    <w:p>
      <w:pPr>
        <w:spacing w:after="120"/>
      </w:pPr>
      <w:r>
        <w:rPr>
          <w:rFonts w:ascii="Malgun Gothic" w:cs="Malgun Gothic" w:eastAsia="맑은 고딕" w:hAnsi="Malgun Gothic"/>
          <w:b w:val="false"/>
          <w:bCs w:val="false"/>
        </w:rPr>
        <w:t xml:space="preserve">표 3. 토양침식 모형 비교(이학준 자문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803"/>
        <w:gridCol w:w="4016"/>
        <w:gridCol w:w="3614"/>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모형</w:t>
            </w:r>
          </w:p>
        </w:tc>
        <w:tc>
          <w:tcPr>
            <w:tcW w:type="dxa" w:w="8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유형</w:t>
            </w:r>
          </w:p>
        </w:tc>
        <w:tc>
          <w:tcPr>
            <w:tcW w:type="dxa" w:w="401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특징</w:t>
            </w:r>
          </w:p>
        </w:tc>
        <w:tc>
          <w:tcPr>
            <w:tcW w:type="dxa" w:w="3614"/>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한계</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USLE / RUSLE</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경험식</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A = R·K·L·S·C·P. 사용이 비교적 쉽다.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과정을 설명하지 못해 벌채·집재로 같은 교란 반영에 한계가 있다.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물리 기반</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산림용 FS WEPP 인터페이스로 벌채·임도·산불 등을 모의할 수 있다.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폭 1m 사면 기준이며 5km² 초과 대면적에는 부적합하다.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DHSVM</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분포형 수문</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GIS용, 광역 규모에 적합하다.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입력 자료 요구량이 많아 사례지 규모에는 과하다.</w:t>
            </w:r>
          </w:p>
        </w:tc>
      </w:tr>
    </w:tbl>
    <w:p>
      <w:pPr>
        <w:spacing w:after="60"/>
      </w:pPr>
    </w:p>
    <w:p>
      <w:pPr>
        <w:spacing w:after="120"/>
      </w:pPr>
      <w:r>
        <w:rPr>
          <w:rFonts w:ascii="Malgun Gothic" w:cs="Malgun Gothic" w:eastAsia="맑은 고딕" w:hAnsi="Malgun Gothic"/>
          <w:b w:val="false"/>
          <w:bCs w:val="false"/>
        </w:rPr>
        <w:t xml:space="preserve">표 4. WEPP 적용 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2"/>
        <w:gridCol w:w="1823"/>
        <w:gridCol w:w="2865"/>
        <w:gridCol w:w="3778"/>
      </w:tblGrid>
      <w:tr>
        <w:trPr>
          <w:tblHeader/>
        </w:trPr>
        <w:tc>
          <w:tcPr>
            <w:tcW w:type="dxa" w:w="1172"/>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산정 대상</w:t>
            </w:r>
          </w:p>
        </w:tc>
        <w:tc>
          <w:tcPr>
            <w:tcW w:type="dxa" w:w="182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 도구</w:t>
            </w:r>
          </w:p>
        </w:tc>
        <w:tc>
          <w:tcPr>
            <w:tcW w:type="dxa" w:w="286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입력</w:t>
            </w:r>
          </w:p>
        </w:tc>
        <w:tc>
          <w:tcPr>
            <w:tcW w:type="dxa" w:w="37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자료원</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직후 사면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Disturbed WEPP</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경사·사면길이, 토성, 경과연수별 피복률</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DEM, 산림입지토양도, 산림경영계획 자료, 위성영상</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임도·집재로 노면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WEPP:Road</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노면 폭·경사·길이, 노면 재료</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자료(시설), 국내 시공 기준</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기후</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CLIGEN 기후 파일</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일 강수·기온</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인근 기상청 ASOS</w:t>
            </w:r>
          </w:p>
        </w:tc>
      </w:tr>
    </w:tbl>
    <w:p>
      <w:pPr>
        <w:spacing w:after="60"/>
      </w:pPr>
    </w:p>
    <w:p>
      <w:pPr>
        <w:pStyle w:val="ListParagraph"/>
        <w:numPr>
          <w:ilvl w:val="0"/>
          <w:numId w:val="2"/>
        </w:numPr>
        <w:spacing w:after="60"/>
      </w:pPr>
      <w:r>
        <w:rPr>
          <w:rFonts w:ascii="Malgun Gothic" w:cs="Malgun Gothic" w:eastAsia="맑은 고딕" w:hAnsi="Malgun Gothic"/>
          <w:b w:val="false"/>
          <w:bCs w:val="false"/>
        </w:rPr>
        <w:t xml:space="preserve">경과연수별 피복률을 바꿔 모의해 벌채 후 감쇠 형태를 얻고, 벌기령 시나리오(S1·S2)의 벌채 반복 횟수만큼 누적한다.</w:t>
      </w:r>
    </w:p>
    <w:p>
      <w:pPr>
        <w:pStyle w:val="ListParagraph"/>
        <w:numPr>
          <w:ilvl w:val="0"/>
          <w:numId w:val="2"/>
        </w:numPr>
        <w:spacing w:after="60"/>
      </w:pPr>
      <w:r>
        <w:rPr>
          <w:rFonts w:ascii="Malgun Gothic" w:cs="Malgun Gothic" w:eastAsia="맑은 고딕" w:hAnsi="Malgun Gothic"/>
          <w:b w:val="false"/>
          <w:bCs w:val="false"/>
        </w:rPr>
        <w:t xml:space="preserve">우드그랩 조건(경사 방향 집재로, 심한 표면 교란)은 교란면 비율과 집재로 배치를 바꾼 별도 시나리오로 반영한다.</w:t>
      </w:r>
    </w:p>
    <w:p>
      <w:pPr>
        <w:pStyle w:val="ListParagraph"/>
        <w:numPr>
          <w:ilvl w:val="0"/>
          <w:numId w:val="2"/>
        </w:numPr>
        <w:spacing w:after="60"/>
      </w:pPr>
      <w:r>
        <w:rPr>
          <w:rFonts w:ascii="Malgun Gothic" w:cs="Malgun Gothic" w:eastAsia="맑은 고딕" w:hAnsi="Malgun Gothic"/>
          <w:b w:val="false"/>
          <w:bCs w:val="false"/>
        </w:rPr>
        <w:t xml:space="preserve">모형 검증에는 모니터링 자료가 필요하다(이학준 자문). 본 연구는 국내 실측값(Lee et al., 2022)과 국외 문헌 범위로 대조하고, WEPP가 약한 노면 값은 국내 실측값으로 보정한다. 이 한계는 결과와 함께 명시한다.</w:t>
      </w:r>
    </w:p>
    <w:p>
      <w:pPr>
        <w:pStyle w:val="ListParagraph"/>
        <w:numPr>
          <w:ilvl w:val="0"/>
          <w:numId w:val="2"/>
        </w:numPr>
        <w:spacing w:after="60"/>
      </w:pPr>
      <w:r>
        <w:rPr>
          <w:rFonts w:ascii="Malgun Gothic" w:cs="Malgun Gothic" w:eastAsia="맑은 고딕" w:hAnsi="Malgun Gothic"/>
          <w:b w:val="false"/>
          <w:bCs w:val="false"/>
        </w:rPr>
        <w:t xml:space="preserve">WEPP 적용 사례에서 산불 피해목은 토사유출이 과소추정될 여지가 있으므로, 산불 이력이 있는 소반은 결과 해석 시 구분한다.</w:t>
      </w:r>
    </w:p>
    <w:p>
      <w:pPr>
        <w:spacing w:after="120"/>
      </w:pPr>
      <w:r>
        <w:rPr>
          <w:rFonts w:ascii="Malgun Gothic" w:cs="Malgun Gothic" w:eastAsia="맑은 고딕" w:hAnsi="Malgun Gothic"/>
          <w:b w:val="false"/>
          <w:bCs w:val="false"/>
        </w:rPr>
        <w:t xml:space="preserve">표 5. 토사유출 문헌 정리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8537"/>
      </w:tblGrid>
      <w:tr>
        <w:trPr>
          <w:tblHeader/>
        </w:trPr>
        <w:tc>
          <w:tcPr>
            <w:tcW w:type="dxa" w:w="110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구분</w:t>
            </w:r>
          </w:p>
        </w:tc>
        <w:tc>
          <w:tcPr>
            <w:tcW w:type="dxa" w:w="853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정리 항목</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작업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집재 방법(우드그랩·소형 셔블 / 스키더 / 하베스터·포워더 / 가선 / 인력), 작업 방향, 벌채 방식, 경사</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입지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국가·지역, 토성, 연강수량</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측정 방법</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실측(실트펜스·침식핀·유사량 관측) / 모형(USLE·WEPP 등)</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시간 범위</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후 경과연수, 관측 기간</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결과</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토사유출량과 단위, 사면·집재로·임도 구분 여부</w:t>
            </w:r>
          </w:p>
        </w:tc>
      </w:tr>
    </w:tbl>
    <w:p>
      <w:pPr>
        <w:spacing w:after="60"/>
      </w:pPr>
    </w:p>
    <w:p>
      <w:pPr>
        <w:pStyle w:val="Heading1"/>
      </w:pPr>
      <w:r>
        <w:rPr>
          <w:rFonts w:ascii="Malgun Gothic" w:cs="Malgun Gothic" w:eastAsia="맑은 고딕" w:hAnsi="Malgun Gothic"/>
          <w:b w:val="false"/>
          <w:bCs w:val="false"/>
        </w:rPr>
        <w:t xml:space="preserve">3. 생물다양성</w:t>
      </w:r>
    </w:p>
    <w:p>
      <w:pPr>
        <w:pStyle w:val="Heading2"/>
      </w:pPr>
      <w:r>
        <w:rPr>
          <w:rFonts w:ascii="Malgun Gothic" w:cs="Malgun Gothic" w:eastAsia="맑은 고딕" w:hAnsi="Malgun Gothic"/>
          <w:b w:val="false"/>
          <w:bCs w:val="false"/>
        </w:rPr>
        <w:t xml:space="preserve">3.1 2차년도 분석 범위</w:t>
      </w:r>
    </w:p>
    <w:p>
      <w:pPr>
        <w:pStyle w:val="ListParagraph"/>
        <w:numPr>
          <w:ilvl w:val="0"/>
          <w:numId w:val="2"/>
        </w:numPr>
        <w:spacing w:after="60"/>
      </w:pPr>
      <w:r>
        <w:rPr>
          <w:rFonts w:ascii="Malgun Gothic" w:cs="Malgun Gothic" w:eastAsia="맑은 고딕" w:hAnsi="Malgun Gothic"/>
          <w:b w:val="false"/>
          <w:bCs w:val="false"/>
        </w:rPr>
        <w:t xml:space="preserve">2차년도에는 현장조사를 하지 않는다. 국립생태원 제5차 전국자연환경조사 자료로 생물다양성 지수 분석을 먼저 완성한다.</w:t>
      </w:r>
    </w:p>
    <w:p>
      <w:pPr>
        <w:pStyle w:val="ListParagraph"/>
        <w:numPr>
          <w:ilvl w:val="0"/>
          <w:numId w:val="2"/>
        </w:numPr>
        <w:spacing w:after="60"/>
      </w:pPr>
      <w:r>
        <w:rPr>
          <w:rFonts w:ascii="Malgun Gothic" w:cs="Malgun Gothic" w:eastAsia="맑은 고딕" w:hAnsi="Malgun Gothic"/>
          <w:b w:val="false"/>
          <w:bCs w:val="false"/>
        </w:rPr>
        <w:t xml:space="preserve">분석 결과는 한상훈 박사와 사례지를 한 차례 방문해 확인하는 수준으로 하고, 결론은 "추가 연구 필요"로 둔다.</w:t>
      </w:r>
    </w:p>
    <w:p>
      <w:pPr>
        <w:pStyle w:val="ListParagraph"/>
        <w:numPr>
          <w:ilvl w:val="0"/>
          <w:numId w:val="2"/>
        </w:numPr>
        <w:spacing w:after="60"/>
      </w:pPr>
      <w:r>
        <w:rPr>
          <w:rFonts w:ascii="Malgun Gothic" w:cs="Malgun Gothic" w:eastAsia="맑은 고딕" w:hAnsi="Malgun Gothic"/>
          <w:b w:val="false"/>
          <w:bCs w:val="false"/>
        </w:rPr>
        <w:t xml:space="preserve">야생동물 전문가 자문은 자연환경조사 자료의 활용 방안에 초점을 두며, 세부 내용은 자문 후 정리해 보고한다.</w:t>
      </w:r>
    </w:p>
    <w:p>
      <w:pPr>
        <w:pStyle w:val="ListParagraph"/>
        <w:numPr>
          <w:ilvl w:val="0"/>
          <w:numId w:val="2"/>
        </w:numPr>
        <w:spacing w:after="60"/>
      </w:pPr>
      <w:r>
        <w:rPr>
          <w:rFonts w:ascii="Malgun Gothic" w:cs="Malgun Gothic" w:eastAsia="맑은 고딕" w:hAnsi="Malgun Gothic"/>
          <w:b w:val="false"/>
          <w:bCs w:val="false"/>
        </w:rPr>
        <w:t xml:space="preserve">카메라 트랩 기반 심층 모니터링은 3차년도 과제로 제안하며, 야생동물 전문가의 의견을 구한다.</w:t>
      </w:r>
    </w:p>
    <w:p>
      <w:pPr>
        <w:pStyle w:val="Heading2"/>
      </w:pPr>
      <w:r>
        <w:rPr>
          <w:rFonts w:ascii="Malgun Gothic" w:cs="Malgun Gothic" w:eastAsia="맑은 고딕" w:hAnsi="Malgun Gothic"/>
          <w:b w:val="false"/>
          <w:bCs w:val="false"/>
        </w:rPr>
        <w:t xml:space="preserve">3.2 활용 자료</w:t>
      </w:r>
    </w:p>
    <w:p>
      <w:pPr>
        <w:spacing w:after="120"/>
      </w:pPr>
      <w:r>
        <w:rPr>
          <w:rFonts w:ascii="Malgun Gothic" w:cs="Malgun Gothic" w:eastAsia="맑은 고딕" w:hAnsi="Malgun Gothic"/>
          <w:b w:val="false"/>
          <w:bCs w:val="false"/>
        </w:rPr>
        <w:t xml:space="preserve">제5차 전국자연환경조사(2019~2023)는 식물, 조류, 포유류, 어류, 저서성대형무척추동물, 양서파충류, 곤충 7개 분류군의 출현 위치를 좌표가 있는 공간정보 파일로 제공한다. 착수보고서에서도 이 자료로 국내 여건에 맞는 값을 보완하도록 계획하였다. 사례지 벌채이력과 겹치는 조사지점을 이용하면 벌채 후 경과연수별 분류군 출현을 국내 자료로 비교할 수 있다.</w:t>
      </w:r>
    </w:p>
    <w:p>
      <w:pPr>
        <w:pStyle w:val="Heading2"/>
      </w:pPr>
      <w:r>
        <w:rPr>
          <w:rFonts w:ascii="Malgun Gothic" w:cs="Malgun Gothic" w:eastAsia="맑은 고딕" w:hAnsi="Malgun Gothic"/>
          <w:b w:val="false"/>
          <w:bCs w:val="false"/>
        </w:rPr>
        <w:t xml:space="preserve">3.3 분석 절차</w:t>
      </w:r>
    </w:p>
    <w:p>
      <w:pPr>
        <w:pStyle w:val="ListParagraph"/>
        <w:numPr>
          <w:ilvl w:val="0"/>
          <w:numId w:val="4"/>
        </w:numPr>
        <w:spacing w:after="60"/>
      </w:pPr>
      <w:r>
        <w:rPr>
          <w:rFonts w:ascii="Malgun Gothic" w:cs="Malgun Gothic" w:eastAsia="맑은 고딕" w:hAnsi="Malgun Gothic"/>
          <w:b/>
          <w:bCs/>
        </w:rPr>
        <w:t xml:space="preserve">조사지점 추출</w:t>
      </w:r>
      <w:r>
        <w:rPr>
          <w:rFonts w:ascii="Malgun Gothic" w:cs="Malgun Gothic" w:eastAsia="맑은 고딕" w:hAnsi="Malgun Gothic"/>
          <w:b w:val="false"/>
          <w:bCs w:val="false"/>
        </w:rPr>
        <w:t xml:space="preserve">: 사례지 관리소 범위 안의 자연환경조사 출현 지점을 추출한다.</w:t>
      </w:r>
    </w:p>
    <w:p>
      <w:pPr>
        <w:pStyle w:val="ListParagraph"/>
        <w:numPr>
          <w:ilvl w:val="0"/>
          <w:numId w:val="4"/>
        </w:numPr>
        <w:spacing w:after="60"/>
      </w:pPr>
      <w:r>
        <w:rPr>
          <w:rFonts w:ascii="Malgun Gothic" w:cs="Malgun Gothic" w:eastAsia="맑은 고딕" w:hAnsi="Malgun Gothic"/>
          <w:b/>
          <w:bCs/>
        </w:rPr>
        <w:t xml:space="preserve">벌채 정보 부여</w:t>
      </w:r>
      <w:r>
        <w:rPr>
          <w:rFonts w:ascii="Malgun Gothic" w:cs="Malgun Gothic" w:eastAsia="맑은 고딕" w:hAnsi="Malgun Gothic"/>
          <w:b w:val="false"/>
          <w:bCs w:val="false"/>
        </w:rPr>
        <w:t xml:space="preserve">: 정보공개 자료(4장)의 소반별 벌채이력과 임상도·구글어스 시계열 영상으로 지점마다 벌채 여부와 경과연수(조사 연도 기준)를 부여한다.</w:t>
      </w:r>
    </w:p>
    <w:p>
      <w:pPr>
        <w:pStyle w:val="ListParagraph"/>
        <w:numPr>
          <w:ilvl w:val="0"/>
          <w:numId w:val="4"/>
        </w:numPr>
        <w:spacing w:after="60"/>
      </w:pPr>
      <w:r>
        <w:rPr>
          <w:rFonts w:ascii="Malgun Gothic" w:cs="Malgun Gothic" w:eastAsia="맑은 고딕" w:hAnsi="Malgun Gothic"/>
          <w:b/>
          <w:bCs/>
        </w:rPr>
        <w:t xml:space="preserve">설명 변수 결합</w:t>
      </w:r>
      <w:r>
        <w:rPr>
          <w:rFonts w:ascii="Malgun Gothic" w:cs="Malgun Gothic" w:eastAsia="맑은 고딕" w:hAnsi="Malgun Gothic"/>
          <w:b w:val="false"/>
          <w:bCs w:val="false"/>
        </w:rPr>
        <w:t xml:space="preserve">: 기후, 입지조건(경사·토양), 벌채 전 임상, 임도와의 거리, 산불 이력을 결합한다.</w:t>
      </w:r>
    </w:p>
    <w:p>
      <w:pPr>
        <w:pStyle w:val="ListParagraph"/>
        <w:numPr>
          <w:ilvl w:val="0"/>
          <w:numId w:val="4"/>
        </w:numPr>
        <w:spacing w:after="60"/>
      </w:pPr>
      <w:r>
        <w:rPr>
          <w:rFonts w:ascii="Malgun Gothic" w:cs="Malgun Gothic" w:eastAsia="맑은 고딕" w:hAnsi="Malgun Gothic"/>
          <w:b/>
          <w:bCs/>
        </w:rPr>
        <w:t xml:space="preserve">비교와 관계식 추정</w:t>
      </w:r>
      <w:r>
        <w:rPr>
          <w:rFonts w:ascii="Malgun Gothic" w:cs="Malgun Gothic" w:eastAsia="맑은 고딕" w:hAnsi="Malgun Gothic"/>
          <w:b w:val="false"/>
          <w:bCs w:val="false"/>
        </w:rPr>
        <w:t xml:space="preserve">: 경과연수 구간(미벌채 대조 포함)별로 분류군별 출현 종수와 빈도를 비교하고, 지점 수가 충분하면 아래 관계식을 추정한다.</w:t>
      </w:r>
    </w:p>
    <w:p>
      <w:pPr>
        <w:pBdr>
          <w:top w:val="dashed" w:color="BFC6BC" w:sz="4" w:space="4"/>
          <w:bottom w:val="dashed" w:color="BFC6BC" w:sz="4" w:space="4"/>
        </w:pBdr>
        <w:shd w:fill="F1F3EE" w:color="auto" w:val="clear"/>
        <w:spacing w:after="120" w:before="80"/>
        <w:jc w:val="center"/>
      </w:pPr>
      <w:r>
        <w:rPr>
          <w:rFonts w:ascii="Malgun Gothic" w:cs="Malgun Gothic" w:eastAsia="맑은 고딕" w:hAnsi="Malgun Gothic"/>
          <w:b/>
          <w:bCs/>
        </w:rPr>
        <w:t xml:space="preserve">생물다양성 지표</w:t>
      </w:r>
      <w:r>
        <w:rPr>
          <w:rFonts w:ascii="Malgun Gothic" w:cs="Malgun Gothic" w:eastAsia="맑은 고딕" w:hAnsi="Malgun Gothic"/>
          <w:b w:val="false"/>
          <w:bCs w:val="false"/>
        </w:rPr>
        <w:t xml:space="preserve"> = f( 기후, 입지조건[토양·경사], 산림생태계 변수[벌채 전 임상], 인위적 조치[벌채·임도·산불] )</w:t>
      </w:r>
    </w:p>
    <w:p>
      <w:pPr>
        <w:spacing w:after="120"/>
      </w:pPr>
      <w:r>
        <w:rPr>
          <w:rFonts w:ascii="Malgun Gothic" w:cs="Malgun Gothic" w:eastAsia="맑은 고딕" w:hAnsi="Malgun Gothic"/>
          <w:b w:val="false"/>
          <w:bCs w:val="false"/>
        </w:rPr>
        <w:t xml:space="preserve">확인하려는 질문은 다음과 같다. 벌채 후 경과연수에 따라 분류군별 출현 종수가 어떻게 달라지는가. 임상 특성이 벌채로 어떻게 바뀌고, 그 변화가 생물다양성 지표와 어떤 관계인가. 참나무 벌채지에서 도토리를 주로 먹는 멧돼지의 출현이 달라지는가. 임도와의 거리에 따라 야생동물 출현이 달라지는가.</w:t>
      </w:r>
    </w:p>
    <w:p>
      <w:pPr>
        <w:pStyle w:val="Heading2"/>
      </w:pPr>
      <w:r>
        <w:rPr>
          <w:rFonts w:ascii="Malgun Gothic" w:cs="Malgun Gothic" w:eastAsia="맑은 고딕" w:hAnsi="Malgun Gothic"/>
          <w:b w:val="false"/>
          <w:bCs w:val="false"/>
        </w:rPr>
        <w:t xml:space="preserve">3.4 자료의 한계와 대응</w:t>
      </w:r>
    </w:p>
    <w:p>
      <w:pPr>
        <w:pStyle w:val="ListParagraph"/>
        <w:numPr>
          <w:ilvl w:val="0"/>
          <w:numId w:val="2"/>
        </w:numPr>
        <w:spacing w:after="60"/>
      </w:pPr>
      <w:r>
        <w:rPr>
          <w:rFonts w:ascii="Malgun Gothic" w:cs="Malgun Gothic" w:eastAsia="맑은 고딕" w:hAnsi="Malgun Gothic"/>
          <w:b w:val="false"/>
          <w:bCs w:val="false"/>
        </w:rPr>
        <w:t xml:space="preserve">출현 기록 위주의 자료이므로 기록이 없는 것을 부재로 해석하지 않고, 출현 종수와 빈도 비교로 한정한다.</w:t>
      </w:r>
    </w:p>
    <w:p>
      <w:pPr>
        <w:pStyle w:val="ListParagraph"/>
        <w:numPr>
          <w:ilvl w:val="0"/>
          <w:numId w:val="2"/>
        </w:numPr>
        <w:spacing w:after="60"/>
      </w:pPr>
      <w:r>
        <w:rPr>
          <w:rFonts w:ascii="Malgun Gothic" w:cs="Malgun Gothic" w:eastAsia="맑은 고딕" w:hAnsi="Malgun Gothic"/>
          <w:b w:val="false"/>
          <w:bCs w:val="false"/>
        </w:rPr>
        <w:t xml:space="preserve">벌채지와 조사지점의 중첩이 부족할 수 있으므로, 11월에 중첩 지점 수를 먼저 확인한다. 부족하면 정량 분석 대신 문헌 종합을 보완하는 정성 자료로 쓴다.</w:t>
      </w:r>
    </w:p>
    <w:p>
      <w:pPr>
        <w:pStyle w:val="ListParagraph"/>
        <w:numPr>
          <w:ilvl w:val="0"/>
          <w:numId w:val="2"/>
        </w:numPr>
        <w:spacing w:after="60"/>
      </w:pPr>
      <w:r>
        <w:rPr>
          <w:rFonts w:ascii="Malgun Gothic" w:cs="Malgun Gothic" w:eastAsia="맑은 고딕" w:hAnsi="Malgun Gothic"/>
          <w:b w:val="false"/>
          <w:bCs w:val="false"/>
        </w:rPr>
        <w:t xml:space="preserve">조사 연도와 벌채 연도의 시차는 경과연수를 조사 연도 기준으로 계산해 처리한다.</w:t>
      </w:r>
    </w:p>
    <w:p>
      <w:pPr>
        <w:pStyle w:val="ListParagraph"/>
        <w:numPr>
          <w:ilvl w:val="0"/>
          <w:numId w:val="2"/>
        </w:numPr>
        <w:spacing w:after="60"/>
      </w:pPr>
      <w:r>
        <w:rPr>
          <w:rFonts w:ascii="Malgun Gothic" w:cs="Malgun Gothic" w:eastAsia="맑은 고딕" w:hAnsi="Malgun Gothic"/>
          <w:b w:val="false"/>
          <w:bCs w:val="false"/>
        </w:rPr>
        <w:t xml:space="preserve">지점별 조사 노력 차이는 조사 단위당 값으로 비교해 줄인다.</w:t>
      </w:r>
    </w:p>
    <w:p>
      <w:pPr>
        <w:pStyle w:val="Heading1"/>
      </w:pPr>
      <w:r>
        <w:rPr>
          <w:rFonts w:ascii="Malgun Gothic" w:cs="Malgun Gothic" w:eastAsia="맑은 고딕" w:hAnsi="Malgun Gothic"/>
          <w:b w:val="false"/>
          <w:bCs w:val="false"/>
        </w:rPr>
        <w:t xml:space="preserve">4. 사례지 선정과 정보공개 청구</w:t>
      </w:r>
    </w:p>
    <w:p>
      <w:pPr>
        <w:pStyle w:val="Heading2"/>
      </w:pPr>
      <w:r>
        <w:rPr>
          <w:rFonts w:ascii="Malgun Gothic" w:cs="Malgun Gothic" w:eastAsia="맑은 고딕" w:hAnsi="Malgun Gothic"/>
          <w:b w:val="false"/>
          <w:bCs w:val="false"/>
        </w:rPr>
        <w:t xml:space="preserve">4.1 선정 원칙</w:t>
      </w:r>
    </w:p>
    <w:p>
      <w:pPr>
        <w:spacing w:after="120"/>
      </w:pPr>
      <w:r>
        <w:rPr>
          <w:rFonts w:ascii="Malgun Gothic" w:cs="Malgun Gothic" w:eastAsia="맑은 고딕" w:hAnsi="Malgun Gothic"/>
          <w:b w:val="false"/>
          <w:bCs w:val="false"/>
        </w:rPr>
        <w:t xml:space="preserve">벌채가 많은 곳에 임도가 많이 개설되고, 임도가 많은 곳에 토사유출과 산사태가 많이 발생하며, 산사태가 발생했거나 위험이 있는 곳에서 산지사방사업이 시행된다. 따라서 벌채 실적을 먼저 관찰하고, 국유림별로 벌채 실적이 많은 곳을 사례분석지역으로 정한다. 요청 정보는 산림경영정보시스템에 기록되는 항목을 기준으로 구체적으로 정리해 요구한다.</w:t>
      </w:r>
    </w:p>
    <w:p>
      <w:pPr>
        <w:pStyle w:val="Heading2"/>
      </w:pPr>
      <w:r>
        <w:rPr>
          <w:rFonts w:ascii="Malgun Gothic" w:cs="Malgun Gothic" w:eastAsia="맑은 고딕" w:hAnsi="Malgun Gothic"/>
          <w:b w:val="false"/>
          <w:bCs w:val="false"/>
        </w:rPr>
        <w:t xml:space="preserve">4.2 국유림 벌채 실적</w:t>
      </w:r>
    </w:p>
    <w:p>
      <w:pPr>
        <w:spacing w:after="120"/>
      </w:pPr>
      <w:r>
        <w:rPr>
          <w:rFonts w:ascii="Malgun Gothic" w:cs="Malgun Gothic" w:eastAsia="맑은 고딕" w:hAnsi="Malgun Gothic"/>
          <w:b w:val="false"/>
          <w:bCs w:val="false"/>
        </w:rPr>
        <w:t xml:space="preserve">표 6. 국유림 목재매각실적 추이(전국)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7"/>
        <w:gridCol w:w="1307"/>
        <w:gridCol w:w="1307"/>
        <w:gridCol w:w="1307"/>
        <w:gridCol w:w="1307"/>
        <w:gridCol w:w="1470"/>
        <w:gridCol w:w="1633"/>
      </w:tblGrid>
      <w:tr>
        <w:trPr>
          <w:tblHeader/>
        </w:trPr>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연도</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계약건수(건)</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벌채면적(ha)</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입목재적(㎥)</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생산재적(㎥)</w:t>
            </w:r>
          </w:p>
        </w:tc>
        <w:tc>
          <w:tcPr>
            <w:tcW w:type="dxa" w:w="147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매각금액(억 원)</w:t>
            </w:r>
          </w:p>
        </w:tc>
        <w:tc>
          <w:tcPr>
            <w:tcW w:type="dxa" w:w="163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㎥당 금액(천 원)</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10,540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542,171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447,309</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216.6</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967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13,684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722,043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575,358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243.9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792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9,438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582,046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476,792</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236.4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49.6</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2019</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8,381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635,241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487,087</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204.2</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41.9</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864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9,254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641,342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523,900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176.5</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33.7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6,620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541,241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445,996</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225.4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50.5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905</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464,813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406,250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5,653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543,341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471,728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177.0</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37.5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6,973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592,454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511,195</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158.9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31.1</w:t>
            </w:r>
          </w:p>
        </w:tc>
      </w:tr>
    </w:tbl>
    <w:p>
      <w:pPr>
        <w:spacing w:after="60"/>
      </w:pPr>
    </w:p>
    <w:p>
      <w:pPr>
        <w:spacing w:after="120"/>
      </w:pPr>
      <w:r>
        <w:rPr>
          <w:rFonts w:ascii="Malgun Gothic" w:cs="Malgun Gothic" w:eastAsia="맑은 고딕" w:hAnsi="Malgun Gothic"/>
          <w:b w:val="false"/>
          <w:bCs w:val="false"/>
          <w:color w:val="5D685F"/>
          <w:sz w:val="18"/>
          <w:szCs w:val="18"/>
        </w:rPr>
        <w:t xml:space="preserve">자료: 산림청 『임업통계연보』 Ⅵ-6 국유림 목재매각실적(2021~2025년판). ㎥당 금액은 매각금액 ÷ 생산재적이다.</w:t>
      </w:r>
    </w:p>
    <w:p>
      <w:pPr>
        <w:spacing w:after="120"/>
      </w:pPr>
      <w:r>
        <w:rPr>
          <w:rFonts w:ascii="Malgun Gothic" w:cs="Malgun Gothic" w:eastAsia="맑은 고딕" w:hAnsi="Malgun Gothic"/>
          <w:b w:val="false"/>
          <w:bCs w:val="false"/>
        </w:rPr>
        <w:t xml:space="preserve">국유림 벌채면적은 2017년 13,684ha를 정점으로 2022~2023년 5,700ha 안팎까지 줄었다가 2024년 6,973ha로 다시 늘었다. 계약건수는 늘어 건당 벌채면적이 2017년 14.2ha에서 2024년 6.1ha로 작아졌다. 2024년 매각금액(158.9억 원)과 ㎥당 금액(31.1천 원)은 9년 중 가장 낮다.</w:t>
      </w:r>
    </w:p>
    <w:p>
      <w:pPr>
        <w:spacing w:after="120"/>
      </w:pPr>
      <w:r>
        <w:rPr>
          <w:rFonts w:ascii="Malgun Gothic" w:cs="Malgun Gothic" w:eastAsia="맑은 고딕" w:hAnsi="Malgun Gothic"/>
          <w:b w:val="false"/>
          <w:bCs w:val="false"/>
        </w:rPr>
        <w:t xml:space="preserve">입목재적은 벌채 전 서 있는 나무의 재적이고, 생산재적은 굴삭기로 끌어내 집재장까지 운송·집재한 뒤 목상이 사 가는 재적이다. 그 차이는 초두부·잔가지처럼 재목으로 가치가 없는 부분이며, 위 기간 생산재적은 입목재적의 77~87% 수준이다. 가격은 목상이 산주에게 현장에서 지불하는 현장임목가와, 공장에서 쓰는 공장임목가(임목가+운송비+이윤)로 나뉜다. 현장임목가는 거의 보고되지 않으며, 일반적으로 보고되는 임목가는 공장임목가이다. 어느 가격에도 사회적 비용은 포함되지 않는다.</w:t>
      </w:r>
    </w:p>
    <w:p>
      <w:pPr>
        <w:spacing w:after="120"/>
      </w:pPr>
      <w:r>
        <w:rPr>
          <w:rFonts w:ascii="Malgun Gothic" w:cs="Malgun Gothic" w:eastAsia="맑은 고딕" w:hAnsi="Malgun Gothic"/>
          <w:b w:val="false"/>
          <w:bCs w:val="false"/>
        </w:rPr>
        <w:t xml:space="preserve">표 7. 지방산림청별 벌채면적(ha)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205"/>
        <w:gridCol w:w="1205"/>
        <w:gridCol w:w="1205"/>
        <w:gridCol w:w="1205"/>
        <w:gridCol w:w="1205"/>
        <w:gridCol w:w="1205"/>
        <w:gridCol w:w="1203"/>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지방산림청</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2020</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2021</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2022</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2023</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2024</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5년 합계</w:t>
            </w:r>
          </w:p>
        </w:tc>
        <w:tc>
          <w:tcPr>
            <w:tcW w:type="dxa" w:w="12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비중</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동부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3,035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1,968</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1,666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1,481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9,823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28.9%</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북부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1,889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1,691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1,871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9,201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27.0%</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남부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6,597</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19.4%</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서부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844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684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4,273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12.6%</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736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1,290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4,151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12.2%</w:t>
            </w:r>
          </w:p>
        </w:tc>
      </w:tr>
    </w:tbl>
    <w:p>
      <w:pPr>
        <w:spacing w:after="60"/>
      </w:pPr>
    </w:p>
    <w:p>
      <w:pPr>
        <w:spacing w:after="120"/>
      </w:pPr>
      <w:r>
        <w:rPr>
          <w:rFonts w:ascii="Malgun Gothic" w:cs="Malgun Gothic" w:eastAsia="맑은 고딕" w:hAnsi="Malgun Gothic"/>
          <w:b w:val="false"/>
          <w:bCs w:val="false"/>
          <w:color w:val="5D685F"/>
          <w:sz w:val="18"/>
          <w:szCs w:val="18"/>
        </w:rPr>
        <w:t xml:space="preserve">각 연보의 기관별 표는 직전 연도 실적이다. 비중은 5개 지방산림청 합계(34,044ha) 대비이다.</w:t>
      </w:r>
    </w:p>
    <w:p>
      <w:pPr>
        <w:pStyle w:val="Heading2"/>
      </w:pPr>
      <w:r>
        <w:rPr>
          <w:rFonts w:ascii="Malgun Gothic" w:cs="Malgun Gothic" w:eastAsia="맑은 고딕" w:hAnsi="Malgun Gothic"/>
          <w:b w:val="false"/>
          <w:bCs w:val="false"/>
        </w:rPr>
        <w:t xml:space="preserve">4.3 청구 대상 선정</w:t>
      </w:r>
    </w:p>
    <w:p>
      <w:pPr>
        <w:spacing w:after="120"/>
      </w:pPr>
      <w:r>
        <w:rPr>
          <w:rFonts w:ascii="Malgun Gothic" w:cs="Malgun Gothic" w:eastAsia="맑은 고딕" w:hAnsi="Malgun Gothic"/>
          <w:b w:val="false"/>
          <w:bCs w:val="false"/>
        </w:rPr>
        <w:t xml:space="preserve">동부·북부지방산림청은 5년 누적 벌채면적 1·2위이며, 2020~2024년 매년 1·2위를 유지하였다. 두 곳이 지방청 벌채면적의 55.9%를 차지하므로 두 기관을 정보공개 청구 대상으로 정한다. 통계연보는 지방청 단위까지만 제공하므로 관리소는 청구 자료로 고른다. 동부 산하 강릉국유림관리소의 실적이 많다는 의견이 있으며, 북부 산하에는 착수보고서 후보인 홍천·인제 관리소가 있다. 착수보고서 후보 중 김천·봉화는 남부지방산림청(3위) 소속이어서 예비 후보로 둔다.</w:t>
      </w:r>
    </w:p>
    <w:p>
      <w:pPr>
        <w:spacing w:after="120"/>
      </w:pPr>
      <w:r>
        <w:rPr>
          <w:rFonts w:ascii="Malgun Gothic" w:cs="Malgun Gothic" w:eastAsia="맑은 고딕" w:hAnsi="Malgun Gothic"/>
          <w:b w:val="false"/>
          <w:bCs w:val="false"/>
        </w:rPr>
        <w:t xml:space="preserve">관리소 선정 후에는 착수보고서의 세 요건(경과연수 10·20·30·40년 비교구, 미벌채 대조구, 특수용도기준벌기령 적용 수종 우점)을 확인한다. 소나무 우점 임분은 두 시나리오(S1·S2)의 벌기령이 같아 비교가 성립하지 않으므로 제외한다.</w:t>
      </w:r>
    </w:p>
    <w:p>
      <w:pPr>
        <w:pStyle w:val="Heading2"/>
      </w:pPr>
      <w:r>
        <w:rPr>
          <w:rFonts w:ascii="Malgun Gothic" w:cs="Malgun Gothic" w:eastAsia="맑은 고딕" w:hAnsi="Malgun Gothic"/>
          <w:b w:val="false"/>
          <w:bCs w:val="false"/>
        </w:rPr>
        <w:t xml:space="preserve">4.4 정보공개 청구 내용</w:t>
      </w:r>
    </w:p>
    <w:p>
      <w:pPr>
        <w:spacing w:after="120"/>
      </w:pPr>
      <w:r>
        <w:rPr>
          <w:rFonts w:ascii="Malgun Gothic" w:cs="Malgun Gothic" w:eastAsia="맑은 고딕" w:hAnsi="Malgun Gothic"/>
          <w:b w:val="false"/>
          <w:bCs w:val="false"/>
        </w:rPr>
        <w:t xml:space="preserve">10월 중순 동부·북부지방산림청에 같은 내용으로 각각 1회 청구한다. 처리 기간은 10일이며 최대 10일 연장될 수 있다. 사전 문의 없이 청구하므로 요청 항목은 산림경영계획서 기재요령의 항목명으로 적고, 보유하지 않은 항목은 부존재 처리 후 나머지를 제공해 달라고 명시한다. 대상 기간은 보유 전체이며 엑셀(공간자료 SHP)로 요청한다. 매수자 상호·계약 금액·개인정보·소득사업 자료는 요청하지 않는다.</w:t>
      </w:r>
    </w:p>
    <w:p>
      <w:pPr>
        <w:spacing w:after="120"/>
      </w:pPr>
      <w:r>
        <w:rPr>
          <w:rFonts w:ascii="Malgun Gothic" w:cs="Malgun Gothic" w:eastAsia="맑은 고딕" w:hAnsi="Malgun Gothic"/>
          <w:b w:val="false"/>
          <w:bCs w:val="false"/>
        </w:rPr>
        <w:t xml:space="preserve">표 8. 청구 항목과 활용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5"/>
        <w:gridCol w:w="5916"/>
        <w:gridCol w:w="2577"/>
      </w:tblGrid>
      <w:tr>
        <w:trPr>
          <w:tblHeader/>
        </w:trPr>
        <w:tc>
          <w:tcPr>
            <w:tcW w:type="dxa" w:w="114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청구 항목</w:t>
            </w:r>
          </w:p>
        </w:tc>
        <w:tc>
          <w:tcPr>
            <w:tcW w:type="dxa" w:w="591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세부 내용</w:t>
            </w:r>
          </w:p>
        </w:tc>
        <w:tc>
          <w:tcPr>
            <w:tcW w:type="dxa" w:w="257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활용</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 벌채 실적</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관리소별·연도별 계약건수, 벌채면적, 입목재적</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관리소 선정</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 임목생산 실적</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연도, 관리소, 임반·소반 번호, 사업종, 작업종, 면적, 수종, 재적, 집재 방법(기록된 경우)</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경과연수별 소반 선정, WEPP 시나리오</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 산림경영계획 자료</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주벌 실적 소반의 면적, 산지구분, 경사도, 수종, 임령, 수고, 경급, 총축적, 경영목표, 조림·숲가꾸기 실적</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설명, WEPP 입력, 벌채 전 임상 변수</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 시설 자료</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임도·운재로·작업로의 시설 연도, 개소수, 사업량(km), 임도 노선 SHP</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WEPP:Road 입력, 임도 거리 분석</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 재해·복구 이력</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산사태 발생, 산지사방사업 시행, 산불·병해충 피해 이력</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사방사업지–벌채지 공간통계분석</w:t>
            </w:r>
          </w:p>
        </w:tc>
      </w:tr>
    </w:tbl>
    <w:p>
      <w:pPr>
        <w:spacing w:after="60"/>
      </w:pPr>
    </w:p>
    <w:p>
      <w:pPr>
        <w:spacing w:after="120"/>
      </w:pPr>
      <w:r>
        <w:rPr>
          <w:rFonts w:ascii="Malgun Gothic" w:cs="Malgun Gothic" w:eastAsia="맑은 고딕" w:hAnsi="Malgun Gothic"/>
          <w:b w:val="false"/>
          <w:bCs w:val="false"/>
          <w:color w:val="5D685F"/>
          <w:sz w:val="18"/>
          <w:szCs w:val="18"/>
        </w:rPr>
        <w:t xml:space="preserve">기재요령에 집재 방법과 토양 항목이 없어, 집재 방법은 기록된 경우에만 요청하고 토양은 산림입지토양도로 보완한다. 미벌채 대조구는 청구 범위 밖이므로 임상도로 보완한다. 청구서 원문은 별도 「정보공개 청구서(안)」로 정리하였다.</w:t>
      </w:r>
    </w:p>
    <w:p>
      <w:pPr>
        <w:pStyle w:val="Heading2"/>
      </w:pPr>
      <w:r>
        <w:rPr>
          <w:rFonts w:ascii="Malgun Gothic" w:cs="Malgun Gothic" w:eastAsia="맑은 고딕" w:hAnsi="Malgun Gothic"/>
          <w:b w:val="false"/>
          <w:bCs w:val="false"/>
        </w:rPr>
        <w:t xml:space="preserve">4.5 표본 구성</w:t>
      </w:r>
    </w:p>
    <w:p>
      <w:pPr>
        <w:pStyle w:val="ListParagraph"/>
        <w:numPr>
          <w:ilvl w:val="0"/>
          <w:numId w:val="2"/>
        </w:numPr>
        <w:spacing w:after="60"/>
      </w:pPr>
      <w:r>
        <w:rPr>
          <w:rFonts w:ascii="Malgun Gothic" w:cs="Malgun Gothic" w:eastAsia="맑은 고딕" w:hAnsi="Malgun Gothic"/>
          <w:b w:val="false"/>
          <w:bCs w:val="false"/>
        </w:rPr>
        <w:t xml:space="preserve">표본 단위는 소반으로 한다. 임반은 100ha 내외로 구획되어 크고, 소반은 임상·임령·작업종 등이 다르면 따로 구획(최소 1ha)되므로 벌채 이력이 같은 단위이다.</w:t>
      </w:r>
    </w:p>
    <w:p>
      <w:pPr>
        <w:pStyle w:val="ListParagraph"/>
        <w:numPr>
          <w:ilvl w:val="0"/>
          <w:numId w:val="2"/>
        </w:numPr>
        <w:spacing w:after="60"/>
      </w:pPr>
      <w:r>
        <w:rPr>
          <w:rFonts w:ascii="Malgun Gothic" w:cs="Malgun Gothic" w:eastAsia="맑은 고딕" w:hAnsi="Malgun Gothic"/>
          <w:b w:val="false"/>
          <w:bCs w:val="false"/>
        </w:rPr>
        <w:t xml:space="preserve">한 사이트가 아니라 임도를 따라 벌채 후 경과연수가 다른 소반들을 고른다(예: 2017년 벌채 소반 약 9년 경과, 약 40년 전 벌채 소반).</w:t>
      </w:r>
    </w:p>
    <w:p>
      <w:pPr>
        <w:pStyle w:val="ListParagraph"/>
        <w:numPr>
          <w:ilvl w:val="0"/>
          <w:numId w:val="2"/>
        </w:numPr>
        <w:spacing w:after="60"/>
      </w:pPr>
      <w:r>
        <w:rPr>
          <w:rFonts w:ascii="Malgun Gothic" w:cs="Malgun Gothic" w:eastAsia="맑은 고딕" w:hAnsi="Malgun Gothic"/>
          <w:b w:val="false"/>
          <w:bCs w:val="false"/>
        </w:rPr>
        <w:t xml:space="preserve">전국자연환경조사 조사지점과 공간적으로 겹치는 소반을 우선 선정한다.</w:t>
      </w:r>
    </w:p>
    <w:p>
      <w:pPr>
        <w:pStyle w:val="ListParagraph"/>
        <w:numPr>
          <w:ilvl w:val="0"/>
          <w:numId w:val="2"/>
        </w:numPr>
        <w:spacing w:after="60"/>
      </w:pPr>
      <w:r>
        <w:rPr>
          <w:rFonts w:ascii="Malgun Gothic" w:cs="Malgun Gothic" w:eastAsia="맑은 고딕" w:hAnsi="Malgun Gothic"/>
          <w:b w:val="false"/>
          <w:bCs w:val="false"/>
        </w:rPr>
        <w:t xml:space="preserve">사례지 설명에는 입지 조건, 위치도, 소반별 경영이력, 측정 가능한 변수(경사·토양·임상·임도 거리 등)를 담는다.</w:t>
      </w:r>
    </w:p>
    <w:p>
      <w:pPr>
        <w:pStyle w:val="Heading1"/>
      </w:pPr>
      <w:r>
        <w:rPr>
          <w:rFonts w:ascii="Malgun Gothic" w:cs="Malgun Gothic" w:eastAsia="맑은 고딕" w:hAnsi="Malgun Gothic"/>
          <w:b w:val="false"/>
          <w:bCs w:val="false"/>
        </w:rPr>
        <w:t xml:space="preserve">5. 추진 현황과 향후 일정</w:t>
      </w:r>
    </w:p>
    <w:p>
      <w:pPr>
        <w:pStyle w:val="Heading2"/>
      </w:pPr>
      <w:r>
        <w:rPr>
          <w:rFonts w:ascii="Malgun Gothic" w:cs="Malgun Gothic" w:eastAsia="맑은 고딕" w:hAnsi="Malgun Gothic"/>
          <w:b w:val="false"/>
          <w:bCs w:val="false"/>
        </w:rPr>
        <w:t xml:space="preserve">5.1 착수보고서 대비 추진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9"/>
        <w:gridCol w:w="1186"/>
        <w:gridCol w:w="6673"/>
      </w:tblGrid>
      <w:tr>
        <w:trPr>
          <w:tblHeader/>
        </w:trPr>
        <w:tc>
          <w:tcPr>
            <w:tcW w:type="dxa" w:w="1779"/>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착수보고서 계획</w:t>
            </w:r>
          </w:p>
        </w:tc>
        <w:tc>
          <w:tcPr>
            <w:tcW w:type="dxa" w:w="118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667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현황</w:t>
            </w:r>
          </w:p>
        </w:tc>
      </w:tr>
      <w:tr>
        <w:trPr>
          <w:tblHeader w:val="false"/>
        </w:trPr>
        <w:tc>
          <w:tcPr>
            <w:tcW w:type="dxa" w:w="177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선정</w:t>
            </w:r>
          </w:p>
        </w:tc>
        <w:tc>
          <w:tcPr>
            <w:tcW w:type="dxa" w:w="11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6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청구 대상(동부·북부지방산림청) 선정, 청구서(안) 작성 완료</w:t>
            </w:r>
          </w:p>
        </w:tc>
      </w:tr>
      <w:tr>
        <w:trPr>
          <w:tblHeader w:val="false"/>
        </w:trPr>
        <w:tc>
          <w:tcPr>
            <w:tcW w:type="dxa" w:w="177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경제성 산출 자료 수집</w:t>
            </w:r>
          </w:p>
        </w:tc>
        <w:tc>
          <w:tcPr>
            <w:tcW w:type="dxa" w:w="11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6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국유림 경영비용·매각단가(홍석환·안미연, 2025), 목재매각실적 정리</w:t>
            </w:r>
          </w:p>
        </w:tc>
      </w:tr>
      <w:tr>
        <w:trPr>
          <w:tblHeader w:val="false"/>
        </w:trPr>
        <w:tc>
          <w:tcPr>
            <w:tcW w:type="dxa" w:w="177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전문가 자문</w:t>
            </w:r>
          </w:p>
        </w:tc>
        <w:tc>
          <w:tcPr>
            <w:tcW w:type="dxa" w:w="11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t>
            </w:r>
          </w:p>
        </w:tc>
        <w:tc>
          <w:tcPr>
            <w:tcW w:type="dxa" w:w="66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완료. 이학준 교수(집재 방식, 침식 모형)</w:t>
            </w:r>
          </w:p>
        </w:tc>
      </w:tr>
      <w:tr>
        <w:trPr>
          <w:tblHeader w:val="false"/>
        </w:trPr>
        <w:tc>
          <w:tcPr>
            <w:tcW w:type="dxa" w:w="177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현장조사</w:t>
            </w:r>
          </w:p>
        </w:tc>
        <w:tc>
          <w:tcPr>
            <w:tcW w:type="dxa" w:w="11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6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변경. 토사유출은 WEPP로 대체, 생물다양성은 2차년도 현장조사 없음</w:t>
            </w:r>
          </w:p>
        </w:tc>
      </w:tr>
      <w:tr>
        <w:trPr>
          <w:tblHeader w:val="false"/>
        </w:trPr>
        <w:tc>
          <w:tcPr>
            <w:tcW w:type="dxa" w:w="177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문헌 종합</w:t>
            </w:r>
          </w:p>
        </w:tc>
        <w:tc>
          <w:tcPr>
            <w:tcW w:type="dxa" w:w="11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6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토사유출 문헌을 집재 방법 기준으로 재분류</w:t>
            </w:r>
          </w:p>
        </w:tc>
      </w:tr>
    </w:tbl>
    <w:p>
      <w:pPr>
        <w:spacing w:after="60"/>
      </w:pPr>
    </w:p>
    <w:p>
      <w:pPr>
        <w:pStyle w:val="Heading2"/>
      </w:pPr>
      <w:r>
        <w:rPr>
          <w:rFonts w:ascii="Malgun Gothic" w:cs="Malgun Gothic" w:eastAsia="맑은 고딕" w:hAnsi="Malgun Gothic"/>
          <w:b w:val="false"/>
          <w:bCs w:val="false"/>
        </w:rPr>
        <w:t xml:space="preserve">5.2 착수보고서 대비 변경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6"/>
        <w:gridCol w:w="2548"/>
        <w:gridCol w:w="4431"/>
        <w:gridCol w:w="1773"/>
      </w:tblGrid>
      <w:tr>
        <w:trPr>
          <w:tblHeader/>
        </w:trPr>
        <w:tc>
          <w:tcPr>
            <w:tcW w:type="dxa" w:w="88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항목</w:t>
            </w:r>
          </w:p>
        </w:tc>
        <w:tc>
          <w:tcPr>
            <w:tcW w:type="dxa" w:w="254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착수보고서</w:t>
            </w:r>
          </w:p>
        </w:tc>
        <w:tc>
          <w:tcPr>
            <w:tcW w:type="dxa" w:w="443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변경</w:t>
            </w:r>
          </w:p>
        </w:tc>
        <w:tc>
          <w:tcPr>
            <w:tcW w:type="dxa" w:w="177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사유</w:t>
            </w:r>
          </w:p>
        </w:tc>
      </w:tr>
      <w:tr>
        <w:trPr>
          <w:tblHeader w:val="false"/>
        </w:trPr>
        <w:tc>
          <w:tcPr>
            <w:tcW w:type="dxa" w:w="8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검증</w:t>
            </w:r>
          </w:p>
        </w:tc>
        <w:tc>
          <w:tcPr>
            <w:tcW w:type="dxa" w:w="254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현장조사로 침식 흔적 확인 후 문헌값 보정</w:t>
            </w:r>
          </w:p>
        </w:tc>
        <w:tc>
          <w:tcPr>
            <w:tcW w:type="dxa" w:w="44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 모의, 국내 실측 문헌값으로 대조</w:t>
            </w:r>
          </w:p>
        </w:tc>
        <w:tc>
          <w:tcPr>
            <w:tcW w:type="dxa" w:w="17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우기 이후 연구기간, 예산</w:t>
            </w:r>
          </w:p>
        </w:tc>
      </w:tr>
      <w:tr>
        <w:trPr>
          <w:tblHeader w:val="false"/>
        </w:trPr>
        <w:tc>
          <w:tcPr>
            <w:tcW w:type="dxa" w:w="8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문헌</w:t>
            </w:r>
          </w:p>
        </w:tc>
        <w:tc>
          <w:tcPr>
            <w:tcW w:type="dxa" w:w="254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국외 문헌값 중심</w:t>
            </w:r>
          </w:p>
        </w:tc>
        <w:tc>
          <w:tcPr>
            <w:tcW w:type="dxa" w:w="44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집재 방법별 분류, 국내 조건 근접 문헌 우선</w:t>
            </w:r>
          </w:p>
        </w:tc>
        <w:tc>
          <w:tcPr>
            <w:tcW w:type="dxa" w:w="17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국내 현장 약 99% 우드그랩</w:t>
            </w:r>
          </w:p>
        </w:tc>
      </w:tr>
      <w:tr>
        <w:trPr>
          <w:tblHeader w:val="false"/>
        </w:trPr>
        <w:tc>
          <w:tcPr>
            <w:tcW w:type="dxa" w:w="8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w:t>
            </w:r>
          </w:p>
        </w:tc>
        <w:tc>
          <w:tcPr>
            <w:tcW w:type="dxa" w:w="254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1개소, 9월 확정</w:t>
            </w:r>
          </w:p>
        </w:tc>
        <w:tc>
          <w:tcPr>
            <w:tcW w:type="dxa" w:w="44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실적 상위 2개 지방청 청구 후 소반 단위 표본, 11월 확정</w:t>
            </w:r>
          </w:p>
        </w:tc>
        <w:tc>
          <w:tcPr>
            <w:tcW w:type="dxa" w:w="17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경과연수별 비교구 확보</w:t>
            </w:r>
          </w:p>
        </w:tc>
      </w:tr>
      <w:tr>
        <w:trPr>
          <w:tblHeader w:val="false"/>
        </w:trPr>
        <w:tc>
          <w:tcPr>
            <w:tcW w:type="dxa" w:w="88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생물다양성</w:t>
            </w:r>
          </w:p>
        </w:tc>
        <w:tc>
          <w:tcPr>
            <w:tcW w:type="dxa" w:w="254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임령대별 표준지 현장조사</w:t>
            </w:r>
          </w:p>
        </w:tc>
        <w:tc>
          <w:tcPr>
            <w:tcW w:type="dxa" w:w="44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현장조사 없이 자연환경조사 자료로 지수 분석, 전문가와 사례지 1회 확인</w:t>
            </w:r>
          </w:p>
        </w:tc>
        <w:tc>
          <w:tcPr>
            <w:tcW w:type="dxa" w:w="177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초기 단계, 예산 한정</w:t>
            </w:r>
          </w:p>
        </w:tc>
      </w:tr>
    </w:tbl>
    <w:p>
      <w:pPr>
        <w:spacing w:after="60"/>
      </w:pPr>
    </w:p>
    <w:p>
      <w:pPr>
        <w:pStyle w:val="Heading2"/>
      </w:pPr>
      <w:r>
        <w:rPr>
          <w:rFonts w:ascii="Malgun Gothic" w:cs="Malgun Gothic" w:eastAsia="맑은 고딕" w:hAnsi="Malgun Gothic"/>
          <w:b w:val="false"/>
          <w:bCs w:val="false"/>
        </w:rPr>
        <w:t xml:space="preserve">5.3 향후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7730"/>
        <w:gridCol w:w="1105"/>
      </w:tblGrid>
      <w:tr>
        <w:trPr>
          <w:tblHeader/>
        </w:trPr>
        <w:tc>
          <w:tcPr>
            <w:tcW w:type="dxa" w:w="8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773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내용</w:t>
            </w:r>
          </w:p>
        </w:tc>
        <w:tc>
          <w:tcPr>
            <w:tcW w:type="dxa" w:w="11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산출</w:t>
            </w:r>
          </w:p>
        </w:tc>
      </w:tr>
      <w:tr>
        <w:trPr>
          <w:tblHeader w:val="false"/>
        </w:trPr>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2026.10</w:t>
            </w:r>
          </w:p>
        </w:tc>
        <w:tc>
          <w:tcPr>
            <w:tcW w:type="dxa" w:w="773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청구, WEPP 공통 입력자료(기상·DEM·토양도·임상도) 구축, 문헌 재분류, 자연환경조사 자료 확보</w:t>
            </w:r>
          </w:p>
        </w:tc>
        <w:tc>
          <w:tcPr>
            <w:tcW w:type="dxa" w:w="11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청구서, 문헌 정리표</w:t>
            </w:r>
          </w:p>
        </w:tc>
      </w:tr>
      <w:tr>
        <w:trPr>
          <w:tblHeader w:val="false"/>
        </w:trPr>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2026.11</w:t>
            </w:r>
          </w:p>
        </w:tc>
        <w:tc>
          <w:tcPr>
            <w:tcW w:type="dxa" w:w="773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 수령, 관리소·소반 선정, 자연환경조사 지점 중첩 확인, WEPP 모의, 생물다양성 지수 분석, 경제적 최적벌기령 산출 착수</w:t>
            </w:r>
          </w:p>
        </w:tc>
        <w:tc>
          <w:tcPr>
            <w:tcW w:type="dxa" w:w="11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범위값 초안</w:t>
            </w:r>
          </w:p>
        </w:tc>
      </w:tr>
      <w:tr>
        <w:trPr>
          <w:tblHeader w:val="false"/>
        </w:trPr>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2026.12</w:t>
            </w:r>
          </w:p>
        </w:tc>
        <w:tc>
          <w:tcPr>
            <w:tcW w:type="dxa" w:w="773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경제적 최적벌기령 산출·민감도 분석, 변경 사항 정리</w:t>
            </w:r>
          </w:p>
        </w:tc>
        <w:tc>
          <w:tcPr>
            <w:tcW w:type="dxa" w:w="11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중간보고</w:t>
            </w:r>
          </w:p>
        </w:tc>
      </w:tr>
    </w:tbl>
    <w:p>
      <w:pPr>
        <w:spacing w:after="60"/>
      </w:pPr>
    </w:p>
    <w:p>
      <w:pPr>
        <w:spacing w:after="120"/>
      </w:pPr>
      <w:r>
        <w:rPr>
          <w:rFonts w:ascii="Malgun Gothic" w:cs="Malgun Gothic" w:eastAsia="맑은 고딕" w:hAnsi="Malgun Gothic"/>
          <w:b w:val="false"/>
          <w:bCs w:val="false"/>
        </w:rPr>
        <w:t xml:space="preserve">정보공개 자료 수령이 11월 초로 늦어지면 사례지 확정과 WEPP 모의가 함께 늦어진다. 이에 대비해 후보지 공통 자료를 10월에 먼저 구축한다.</w:t>
      </w:r>
    </w:p>
    <w:p>
      <w:pPr>
        <w:pStyle w:val="Heading1"/>
      </w:pPr>
      <w:r>
        <w:rPr>
          <w:rFonts w:ascii="Malgun Gothic" w:cs="Malgun Gothic" w:eastAsia="맑은 고딕" w:hAnsi="Malgun Gothic"/>
          <w:b w:val="false"/>
          <w:bCs w:val="false"/>
        </w:rPr>
        <w:t xml:space="preserve">6. 논의 사항</w:t>
      </w:r>
    </w:p>
    <w:p>
      <w:pPr>
        <w:pStyle w:val="ListParagraph"/>
        <w:numPr>
          <w:ilvl w:val="0"/>
          <w:numId w:val="5"/>
        </w:numPr>
        <w:spacing w:after="60"/>
      </w:pPr>
      <w:r>
        <w:rPr>
          <w:rFonts w:ascii="Malgun Gothic" w:cs="Malgun Gothic" w:eastAsia="맑은 고딕" w:hAnsi="Malgun Gothic"/>
          <w:b w:val="false"/>
          <w:bCs w:val="false"/>
        </w:rPr>
        <w:t xml:space="preserve">토사유출을 현장 실측 대신 WEPP 모형으로 추정하고 국내 실측 문헌값으로 대조하는 방안</w:t>
      </w:r>
    </w:p>
    <w:p>
      <w:pPr>
        <w:pStyle w:val="ListParagraph"/>
        <w:numPr>
          <w:ilvl w:val="0"/>
          <w:numId w:val="5"/>
        </w:numPr>
        <w:spacing w:after="60"/>
      </w:pPr>
      <w:r>
        <w:rPr>
          <w:rFonts w:ascii="Malgun Gothic" w:cs="Malgun Gothic" w:eastAsia="맑은 고딕" w:hAnsi="Malgun Gothic"/>
          <w:b w:val="false"/>
          <w:bCs w:val="false"/>
        </w:rPr>
        <w:t xml:space="preserve">정보공개 청구서(안): 동부·북부지방산림청 1회 청구, 상세 자료는 주벌 실적 소반으로 한정, 대상 기간(보유 전체 여부)</w:t>
      </w:r>
    </w:p>
    <w:p>
      <w:pPr>
        <w:pStyle w:val="ListParagraph"/>
        <w:numPr>
          <w:ilvl w:val="0"/>
          <w:numId w:val="5"/>
        </w:numPr>
        <w:spacing w:after="60"/>
      </w:pPr>
      <w:r>
        <w:rPr>
          <w:rFonts w:ascii="Malgun Gothic" w:cs="Malgun Gothic" w:eastAsia="맑은 고딕" w:hAnsi="Malgun Gothic"/>
          <w:b w:val="false"/>
          <w:bCs w:val="false"/>
        </w:rPr>
        <w:t xml:space="preserve">생물다양성 범위: 2차년도는 자연환경조사 자료 분석으로 한정하고, 카메라 트랩 모니터링은 3차년도 과제로 제안하는 방안</w:t>
      </w:r>
    </w:p>
    <w:p>
      <w:pPr>
        <w:pStyle w:val="Heading1"/>
      </w:pPr>
      <w:r>
        <w:rPr>
          <w:rFonts w:ascii="Malgun Gothic" w:cs="Malgun Gothic" w:eastAsia="맑은 고딕" w:hAnsi="Malgun Gothic"/>
        </w:rPr>
        <w:t xml:space="preserve">참고문헌</w:t>
      </w:r>
    </w:p>
    <w:p>
      <w:pPr>
        <w:pStyle w:val="ListParagraph"/>
        <w:numPr>
          <w:ilvl w:val="0"/>
          <w:numId w:val="2"/>
        </w:numPr>
        <w:spacing w:after="60"/>
      </w:pPr>
      <w:r>
        <w:rPr>
          <w:rFonts w:ascii="Malgun Gothic" w:cs="Malgun Gothic" w:eastAsia="맑은 고딕" w:hAnsi="Malgun Gothic"/>
        </w:rPr>
        <w:t xml:space="preserve">2차년도 착수보고서(RQ1, 이세음)</w:t>
      </w:r>
    </w:p>
    <w:p>
      <w:pPr>
        <w:pStyle w:val="ListParagraph"/>
        <w:numPr>
          <w:ilvl w:val="0"/>
          <w:numId w:val="2"/>
        </w:numPr>
        <w:spacing w:after="60"/>
      </w:pPr>
      <w:r>
        <w:rPr>
          <w:rFonts w:ascii="Malgun Gothic" w:cs="Malgun Gothic" w:eastAsia="맑은 고딕" w:hAnsi="Malgun Gothic"/>
        </w:rPr>
        <w:t xml:space="preserve">이학준(상지대) 「산지토사유출 모니터링 및 모델링 기법 연구」 자문 자료</w:t>
      </w:r>
    </w:p>
    <w:p>
      <w:pPr>
        <w:pStyle w:val="ListParagraph"/>
        <w:numPr>
          <w:ilvl w:val="0"/>
          <w:numId w:val="2"/>
        </w:numPr>
        <w:spacing w:after="60"/>
      </w:pPr>
      <w:r>
        <w:rPr>
          <w:rFonts w:ascii="Malgun Gothic" w:cs="Malgun Gothic" w:eastAsia="맑은 고딕" w:hAnsi="Malgun Gothic"/>
        </w:rPr>
        <w:t xml:space="preserve">홍석환·안미연(2025) 「국유림 산림경영의 경제성에 대한 실증 연구」, 한국환경생태학회지 39(1): 82–89</w:t>
      </w:r>
    </w:p>
    <w:p>
      <w:pPr>
        <w:pStyle w:val="ListParagraph"/>
        <w:numPr>
          <w:ilvl w:val="0"/>
          <w:numId w:val="2"/>
        </w:numPr>
        <w:spacing w:after="60"/>
      </w:pPr>
      <w:r>
        <w:rPr>
          <w:rFonts w:ascii="Malgun Gothic" w:cs="Malgun Gothic" w:eastAsia="맑은 고딕" w:hAnsi="Malgun Gothic"/>
        </w:rPr>
        <w:t xml:space="preserve">이은재(2018) 「우드그랩과 가선집재 작업방법이 산림토양환경에 미치는 영향 비교 분석」, 서울대학교 박사학위논문</w:t>
      </w:r>
    </w:p>
    <w:p>
      <w:pPr>
        <w:pStyle w:val="ListParagraph"/>
        <w:numPr>
          <w:ilvl w:val="0"/>
          <w:numId w:val="2"/>
        </w:numPr>
        <w:spacing w:after="60"/>
      </w:pPr>
      <w:r>
        <w:rPr>
          <w:rFonts w:ascii="Malgun Gothic" w:cs="Malgun Gothic" w:eastAsia="맑은 고딕" w:hAnsi="Malgun Gothic"/>
        </w:rPr>
        <w:t xml:space="preserve">이은재·Li·Eu·한상균·임상준(2017) 「임목생산방법에 따른 토양교란 영향 평가」, 한국산림과학회지 106(2): 204–212</w:t>
      </w:r>
    </w:p>
    <w:p>
      <w:pPr>
        <w:pStyle w:val="ListParagraph"/>
        <w:numPr>
          <w:ilvl w:val="0"/>
          <w:numId w:val="2"/>
        </w:numPr>
        <w:spacing w:after="60"/>
      </w:pPr>
      <w:r>
        <w:rPr>
          <w:rFonts w:ascii="Malgun Gothic" w:cs="Malgun Gothic" w:eastAsia="맑은 고딕" w:hAnsi="Malgun Gothic"/>
        </w:rPr>
        <w:t xml:space="preserve">산림청 『임업통계연보』 Ⅵ-6 국유림 목재매각실적(2021~2025년판)</w:t>
      </w:r>
    </w:p>
    <w:p>
      <w:pPr>
        <w:pStyle w:val="ListParagraph"/>
        <w:numPr>
          <w:ilvl w:val="0"/>
          <w:numId w:val="2"/>
        </w:numPr>
        <w:spacing w:after="60"/>
      </w:pPr>
      <w:r>
        <w:rPr>
          <w:rFonts w:ascii="Malgun Gothic" w:cs="Malgun Gothic" w:eastAsia="맑은 고딕" w:hAnsi="Malgun Gothic"/>
        </w:rPr>
        <w:t xml:space="preserve">Lee et al.(2020) Heliyon 6(3): e03544</w:t>
      </w:r>
    </w:p>
    <w:p>
      <w:pPr>
        <w:pStyle w:val="ListParagraph"/>
        <w:numPr>
          <w:ilvl w:val="0"/>
          <w:numId w:val="2"/>
        </w:numPr>
        <w:spacing w:after="60"/>
      </w:pPr>
      <w:r>
        <w:rPr>
          <w:rFonts w:ascii="Malgun Gothic" w:cs="Malgun Gothic" w:eastAsia="맑은 고딕" w:hAnsi="Malgun Gothic"/>
        </w:rPr>
        <w:t xml:space="preserve">Lee, Eu &amp; Li(2022) Frontiers in Environmental Science 10: 756848.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맑은 고딕" w:hAnsi="Malgun Gothic"/>
        <w:color w:val="5D685F"/>
        <w:sz w:val="16"/>
        <w:szCs w:val="16"/>
      </w:rPr>
      <w:t xml:space="preserve">RQ1 10월 월간 보고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20"/>
      </w:pPr>
      <w:rPr>
        <w:b/>
        <w:bCs/>
        <w:color w:val="9A4B1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맑은 고딕" w:hAnsi="Malgun Gothic"/>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Malgun Gothic" w:cs="Malgun Gothic" w:eastAsia="맑은 고딕" w:hAnsi="Malgun Gothic"/>
    </w:rPr>
  </w:style>
  <w:style w:type="paragraph" w:styleId="Heading1">
    <w:name w:val="Heading 1"/>
    <w:basedOn w:val="Normal"/>
    <w:next w:val="Normal"/>
    <w:qFormat/>
    <w:pPr>
      <w:pBdr>
        <w:bottom w:val="single" w:color="2F5D46" w:sz="8" w:space="4"/>
      </w:pBdr>
      <w:spacing w:after="160" w:before="360"/>
      <w:outlineLvl w:val="0"/>
    </w:pPr>
    <w:rPr>
      <w:rFonts w:ascii="Malgun Gothic" w:cs="Malgun Gothic" w:eastAsia="맑은 고딕" w:hAnsi="Malgun Gothic"/>
      <w:b/>
      <w:bCs/>
      <w:color w:val="1F2620"/>
      <w:sz w:val="28"/>
      <w:szCs w:val="28"/>
    </w:rPr>
  </w:style>
  <w:style w:type="paragraph" w:styleId="Heading2">
    <w:name w:val="Heading 2"/>
    <w:basedOn w:val="Normal"/>
    <w:next w:val="Normal"/>
    <w:qFormat/>
    <w:pPr>
      <w:spacing w:after="100" w:before="240"/>
      <w:outlineLvl w:val="1"/>
    </w:pPr>
    <w:rPr>
      <w:rFonts w:ascii="Malgun Gothic" w:cs="Malgun Gothic" w:eastAsia="맑은 고딕" w:hAnsi="Malgun Gothic"/>
      <w:b/>
      <w:bCs/>
      <w:color w:val="2F5D46"/>
      <w:sz w:val="23"/>
      <w:szCs w:val="23"/>
    </w:rPr>
  </w:style>
  <w:style w:type="paragraph" w:styleId="Heading3">
    <w:name w:val="Heading 3"/>
    <w:basedOn w:val="Normal"/>
    <w:next w:val="Normal"/>
    <w:qFormat/>
    <w:pPr>
      <w:spacing w:after="80" w:before="160"/>
      <w:outlineLvl w:val="2"/>
    </w:pPr>
    <w:rPr>
      <w:rFonts w:ascii="Malgun Gothic" w:cs="Malgun Gothic" w:eastAsia="맑은 고딕" w:hAnsi="Malgun Gothic"/>
      <w:b/>
      <w:bCs/>
      <w:color w:val="1F262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2026-10-07T13:26:10.925Z</dcterms:created>
  <dcterms:modified xsi:type="dcterms:W3CDTF">2026-10-07T13:26:10.941Z</dcterms:modified>
</cp:coreProperties>
</file>

<file path=docProps/custom.xml><?xml version="1.0" encoding="utf-8"?>
<Properties xmlns="http://schemas.openxmlformats.org/officeDocument/2006/custom-properties" xmlns:vt="http://schemas.openxmlformats.org/officeDocument/2006/docPropsVTypes"/>
</file>