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rFonts w:ascii="Calibri" w:hAnsi="Calibri" w:eastAsia="Calibri"/>
          <w:b/>
          <w:color w:val="2E74B5"/>
          <w:sz w:val="24"/>
        </w:rPr>
        <w:t>BUSINESS CASE</w:t>
      </w:r>
    </w:p>
    <w:p>
      <w:pPr>
        <w:spacing w:after="80"/>
        <w:jc w:val="center"/>
      </w:pPr>
      <w:r>
        <w:rPr>
          <w:rFonts w:ascii="Calibri" w:hAnsi="Calibri" w:eastAsia="Calibri"/>
          <w:b/>
          <w:color w:val="243447"/>
          <w:sz w:val="60"/>
        </w:rPr>
        <w:t>Drakkar ERP</w:t>
      </w:r>
    </w:p>
    <w:p>
      <w:pPr>
        <w:spacing w:after="400"/>
        <w:jc w:val="center"/>
      </w:pPr>
      <w:r>
        <w:rPr>
          <w:rFonts w:ascii="Calibri" w:hAnsi="Calibri" w:eastAsia="Calibri"/>
          <w:color w:val="6B7280"/>
          <w:sz w:val="30"/>
        </w:rPr>
        <w:t>Бизнес-обоснование проекта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6B7280"/>
                <w:sz w:val="17"/>
              </w:rPr>
              <w:t>ПРОЕКТ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447"/>
                <w:sz w:val="21"/>
              </w:rPr>
              <w:t>Drakkar ERP</w:t>
            </w:r>
          </w:p>
        </w:tc>
        <w:tc>
          <w:tcPr>
            <w:tcW w:type="dxa" w:w="46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6B7280"/>
                <w:sz w:val="17"/>
              </w:rPr>
              <w:t>ВЕРСИЯ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447"/>
                <w:sz w:val="21"/>
              </w:rPr>
              <w:t>1.0</w:t>
            </w:r>
          </w:p>
        </w:tc>
      </w:tr>
      <w:tr>
        <w:trPr>
          <w:cantSplit/>
        </w:trPr>
        <w:tc>
          <w:tcPr>
            <w:tcW w:type="dxa" w:w="46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6B7280"/>
                <w:sz w:val="17"/>
              </w:rPr>
              <w:t>ОСНОВА РАСЧЁТА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447"/>
                <w:sz w:val="21"/>
              </w:rPr>
              <w:t>SDP: 242 ч / 273 600 ₽</w:t>
            </w:r>
          </w:p>
        </w:tc>
        <w:tc>
          <w:tcPr>
            <w:tcW w:type="dxa" w:w="46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6B7280"/>
                <w:sz w:val="17"/>
              </w:rPr>
              <w:t>ДАТА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447"/>
                <w:sz w:val="21"/>
              </w:rPr>
              <w:t>01.09.2026</w:t>
            </w:r>
          </w:p>
        </w:tc>
      </w:tr>
    </w:tbl>
    <w:p>
      <w:pPr>
        <w:spacing w:after="1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  <w:shd w:fill="E7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/>
                <w:color w:val="1F6B4F"/>
                <w:sz w:val="30"/>
              </w:rPr>
              <w:t>273 600 ₽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6B7280"/>
                <w:sz w:val="17"/>
              </w:rPr>
              <w:t>Инвестиции</w:t>
            </w:r>
          </w:p>
        </w:tc>
        <w:tc>
          <w:tcPr>
            <w:tcW w:type="dxa" w:w="2340"/>
            <w:shd w:fill="E7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/>
                <w:color w:val="1F6B4F"/>
                <w:sz w:val="30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6B7280"/>
                <w:sz w:val="17"/>
              </w:rPr>
              <w:t>Клиента</w:t>
            </w:r>
          </w:p>
        </w:tc>
        <w:tc>
          <w:tcPr>
            <w:tcW w:type="dxa" w:w="2340"/>
            <w:shd w:fill="E7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/>
                <w:color w:val="1F6B4F"/>
                <w:sz w:val="30"/>
              </w:rPr>
              <w:t>M8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6B7280"/>
                <w:sz w:val="17"/>
              </w:rPr>
              <w:t>Окупаемость*</w:t>
            </w:r>
          </w:p>
        </w:tc>
        <w:tc>
          <w:tcPr>
            <w:tcW w:type="dxa" w:w="2340"/>
            <w:shd w:fill="E7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/>
                <w:color w:val="1F6B4F"/>
                <w:sz w:val="30"/>
              </w:rPr>
              <w:t>53,9%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6B7280"/>
                <w:sz w:val="17"/>
              </w:rPr>
              <w:t>ROI до налога</w:t>
            </w:r>
          </w:p>
        </w:tc>
      </w:tr>
    </w:tbl>
    <w:p>
      <w:pPr>
        <w:spacing w:after="1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Рекомендация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43447"/>
                <w:sz w:val="21"/>
              </w:rPr>
              <w:t>Продолжить проект как учебный MVP. Базовый сценарий с тремя последовательно подключаемыми клиентами даёт выручку 533 400 ₽ и прибыль до налога 147 600 ₽ в первый год. Экспертные допущения необходимо проверить на пилоте.</w:t>
            </w:r>
          </w:p>
        </w:tc>
      </w:tr>
    </w:tbl>
    <w:p>
      <w:pPr>
        <w:spacing w:after="60"/>
      </w:pPr>
    </w:p>
    <w:p>
      <w:pPr>
        <w:spacing w:before="200"/>
        <w:jc w:val="center"/>
      </w:pPr>
      <w:r>
        <w:rPr>
          <w:rFonts w:ascii="Calibri" w:hAnsi="Calibri" w:eastAsia="Calibri"/>
          <w:i/>
          <w:color w:val="6B7280"/>
          <w:sz w:val="17"/>
        </w:rPr>
        <w:t>* По модели начисления комиссии; денежная окупаемость ожидается в M11–M12.</w:t>
      </w: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Статус документа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43447"/>
                <w:sz w:val="21"/>
              </w:rPr>
              <w:t>Версия 1.0 подготовлена на основе Vision, SRS, SDP и Risk List. Бюджет разработки полностью соответствует SDP; финансовые допущения выделены отдельно.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1. Introduction (Введение)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1.1 Purpose (Назначение)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Настоящий документ обосновывает целесообразность разработки и внедрения Drakkar ERP — веб-системы управления морскими экспедициями, ресурсами поселения, составом команды, строительством кораблей и результатами походов.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Цель Business Case — показать связь между проблемами текущего процесса, функциями системы, измеримым эффектом для поселения и затратами на разработку. Финансовая часть построена на трудозатратах и ставках из Software Development Plan (SDP): 242 часа и 273 600 ₽.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1.2 Scope (Область применения)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Документ относится к проекту Drakkar ERP и предназначен для заказчика (ярла), команды разработки и преподавателей курса. Он охватывает: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бизнес-проблемы подготовки и учёта морских походов;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ценностное предложение продукта;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соответствие функций системы ожидаемым эффектам;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бюджет разработки и операционные расходы;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модель монетизации, сценарии окупаемости и ограничения.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Боевые действия в реальном времени, внешняя торговля и процессы поселения, не связанные с экспедициями и флотом, в Business Case не рассматриваются.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1.3 Definitions, Acronyms and Abbreviations (Определения и аббревиатуры)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Термин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Drakkar ERP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Интегрированная информационная система управления морскими экспедициями и связанными ресурсами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Ярл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Глава поселения, заказчик и основной пользователь системы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Поход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Морская экспедиция, проходящая этапы подготовки, запуска и фиксации итогов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Вергельд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Доля добычи, распределяемая между участниками похода по правилам поселения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Блот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Обязательное подтверждение благословения корабля перед присвоением статуса готовности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SDP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Software Development Plan — план разработки проекта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SRS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Software Requirements Specification — спецификация требований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ROI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Return on Investment — отношение накопленной прибыли к инвестициям в разработку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OPEX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Регулярные операционные расходы после запуска продукта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1.4 References (Ссылки)</w:t>
      </w:r>
    </w:p>
    <w:p>
      <w:pPr>
        <w:spacing w:after="16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243447"/>
          <w:sz w:val="22"/>
        </w:rPr>
        <w:t>Vision — концепция Drakkar ERP, внутренний документ проекта.</w:t>
      </w:r>
    </w:p>
    <w:p>
      <w:pPr>
        <w:spacing w:after="16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243447"/>
          <w:sz w:val="22"/>
        </w:rPr>
        <w:t>SRS — спецификация требований Drakkar ERP, внутренний документ проекта.</w:t>
      </w:r>
    </w:p>
    <w:p>
      <w:pPr>
        <w:spacing w:after="16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243447"/>
          <w:sz w:val="22"/>
        </w:rPr>
        <w:t>Software Development Plan — план разработки Drakkar ERP, внутренний документ проекта.</w:t>
      </w:r>
    </w:p>
    <w:p>
      <w:pPr>
        <w:spacing w:after="16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243447"/>
          <w:sz w:val="22"/>
        </w:rPr>
        <w:t>Risk List — реестр рисков Drakkar ERP, внутренний документ проекта.</w:t>
      </w:r>
    </w:p>
    <w:p>
      <w:pPr>
        <w:spacing w:after="16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243447"/>
          <w:sz w:val="22"/>
        </w:rPr>
        <w:t>Use Cases — описания пользовательских сценариев Drakkar ERP.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1.5 Overview (Обзор документа)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Раздел 2 описывает продукт и модель его использования. Раздел 3 фиксирует проблемы текущего процесса и их последствия. Раздел 4 связывает функции Drakkar ERP с измеримыми бизнес-эффектами. Раздел 5 содержит бюджет, исходные допущения, сценарии ценности, прогноз выручки и окупаемости. Раздел 6 описывает ограничения. Раздел 7 формулирует итоговую рекомендацию.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2. Product Description (Описание продукта)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Drakkar ERP — тиражируемое веб-приложение для подготовки морских экспедиций и фиксации их результатов. Система объединяет в одном информационном контуре: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создание и согласование похода;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контроль ресурсов поселения и их резервирование;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формирование команды и подтверждение участия;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планирование маршрута;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поэтапное строительство корабля;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контроль обязательных проверок, включая Блот;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фиксацию добычи, потерь и распределения Вергельда;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хранение истории завершённых походов.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Основная ценность продукта состоит не в автоматическом принятии решений, а в предоставлении ярлу полной и непротиворечивой картины готовности похода. Drakkar ERP переводит подготовку экспедиции из набора устных договорённостей и разрозненных записей в управляемый процесс с едиными статусами, проверками и историей.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Модель распространения — веб-доступ без установки программного обеспечения на устройства пользователей. В соответствии с Vision используется гибридная модель оплаты: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5460"/>
      </w:tblGrid>
      <w:tr>
        <w:trPr>
          <w:tblHeader w:val="true"/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Компонент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Стоимость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Первичное внедрение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50 000 ₽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Создание пространства поселения, первичная настройка и обучение ключевых ролей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Абонентская плата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10 000 ₽/мес.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Поддержка, исправление ошибок и доступ к обновлениям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Комиссия за успех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1,5%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Доля от оценочной стоимости добычи успешного похода, зафиксированной в системе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3. Business Context (Бизнес-контекст)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Целевой пользователь Drakkar ERP — поселение, регулярно организующее морские походы и располагающее ограниченными ресурсами, кораблями и числом участников. Ошибка подготовки затрагивает не только один поход: она уменьшает запасы поселения, задерживает следующие экспедиции и снижает доверие участников к решениям ярла.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3.1 Проблемы текущего процесса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000"/>
        <w:gridCol w:w="3860"/>
      </w:tblGrid>
      <w:tr>
        <w:trPr>
          <w:tblHeader w:val="true"/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Проблема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Текущее решение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Последствие для поселения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Нет единой картины готовности похода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Устные доклады навигатора, кораблестроителя, жителей и воинов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Ярл узнаёт о блокирующей проблеме непосредственно перед отплытием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Ресурсы учитываются приблизительно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Ручные записи и договорённости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Возникают дефицит, двойное резервирование и незапланированные задержки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Команда формируется без единого статуса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Личные обращения и решения на Тинге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Участники не понимают роли, подтверждения теряются, состав остаётся неполным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Строительство корабля не имеет формального контроля этапов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Ответственность держится на кораблестроителе и устных подтверждениях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Возможны пропуск проверки, несвоевременное списание ресурсов и ложный статус готовности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Итоги похода не фиксируются системно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Опыт и сведения передаются устно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Нельзя сравнить план с фактом; ошибки повторяются; возникают споры о добыче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Данные распределены между участниками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Каждый хранит собственный фрагмент информации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Решения зависят от доступности конкретного человека и не масштабируются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3.2 Ключевая потребность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Ключевая потребность заказчика — принять решение «поход готов / поход не готов» на основании одних актуальных данных. Из неё следуют три приоритетных эффекта:</w:t>
      </w:r>
    </w:p>
    <w:p>
      <w:pPr>
        <w:spacing w:after="160" w:line="280" w:lineRule="auto"/>
        <w:numPr>
          <w:ilvl w:val="0"/>
          <w:numId w:val="102"/>
        </w:numPr>
      </w:pPr>
      <w:r>
        <w:rPr>
          <w:rFonts w:ascii="Calibri" w:hAnsi="Calibri" w:eastAsia="Calibri"/>
          <w:color w:val="243447"/>
          <w:sz w:val="22"/>
        </w:rPr>
        <w:t>снижение вероятности выхода с дефицитом ресурсов или неполной командой;</w:t>
      </w:r>
    </w:p>
    <w:p>
      <w:pPr>
        <w:spacing w:after="160" w:line="280" w:lineRule="auto"/>
        <w:numPr>
          <w:ilvl w:val="0"/>
          <w:numId w:val="102"/>
        </w:numPr>
      </w:pPr>
      <w:r>
        <w:rPr>
          <w:rFonts w:ascii="Calibri" w:hAnsi="Calibri" w:eastAsia="Calibri"/>
          <w:color w:val="243447"/>
          <w:sz w:val="22"/>
        </w:rPr>
        <w:t>сокращение времени проверки готовности;</w:t>
      </w:r>
    </w:p>
    <w:p>
      <w:pPr>
        <w:spacing w:after="160" w:line="280" w:lineRule="auto"/>
        <w:numPr>
          <w:ilvl w:val="0"/>
          <w:numId w:val="102"/>
        </w:numPr>
      </w:pPr>
      <w:r>
        <w:rPr>
          <w:rFonts w:ascii="Calibri" w:hAnsi="Calibri" w:eastAsia="Calibri"/>
          <w:color w:val="243447"/>
          <w:sz w:val="22"/>
        </w:rPr>
        <w:t>сохранение достоверной истории затрат, результатов и распределения добычи.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4. Product Objectives (Цели продукта)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4.1 Связь функций и бизнес-эффектов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950"/>
        <w:gridCol w:w="3910"/>
      </w:tblGrid>
      <w:tr>
        <w:trPr>
          <w:tblHeader w:val="true"/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Функция Drakkar ERP</w:t>
            </w:r>
          </w:p>
        </w:tc>
        <w:tc>
          <w:tcPr>
            <w:tcW w:type="dxa" w:w="2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Решаемая проблема</w:t>
            </w:r>
          </w:p>
        </w:tc>
        <w:tc>
          <w:tcPr>
            <w:tcW w:type="dxa" w:w="3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Измеримый эффект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Сводка готовности похода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Ярл получает разрозненные устные сведения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Все блокеры видны на одном экране; решение «старт / не старт» принимается не более чем за 3 минуты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Склад и резервирование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Дефицит и двойное использование ресурсов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Расхождение план/факт по ресурсам — не более 15%; связанные списания выполняются транзакционно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Формирование команды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Нет единого статуса участия и ролей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Подтверждение выполняется одним действием; ярл видит полный состав без личного обхода участников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Маршрут похода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Маршрут хранится только у навигатора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Маршрут до 10 точек создаётся не более чем за 5 минут и доступен ярлу в карточке похода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Поэтапная верфь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Этапы и проверки контролируются вручную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100% этапов закрываются с подтверждённым списанием ресурсов; корабль не получает статус «готов» без обязательных проверок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Блот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Критическое подтверждение может быть пропущено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Подтверждение выполняется одним действием не более чем за 30 секунд; отсутствие подтверждения блокирует готовность корабля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Итоги и Вергельд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Добыча и потери передаются устно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100% завершённых походов имеют заполненные итоги; запись после завершения доступна только для чтения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История походов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Ошибки не используются для следующих решений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План и факт прошлого похода можно сравнить за одну рабочую сессию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4.2 Нефункциональные эффекты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SRS устанавливает следующие измеримые границы качества: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95% пользовательских запросов обрабатываются не более чем за 1 секунду;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все пользовательские запросы обрабатываются не более чем за 2 секунды;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списки до 100 походов или ресурсов загружаются не более чем за 2 секунды;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система поддерживает до 50 одновременных пользователей;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доступность составляет не менее 99% календарного месяца, кроме плановых работ;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операции с несколькими связанными сущностями выполняются транзакционно;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история походов, ресурсов и команды сохраняется и не удаляется пользователями.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4.3 Ключевые риски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Наиболее значимые риски для бизнес-ценности: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несвоевременный или ошибочный ввод остатков на складе;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отказ базовых пользователей регулярно обновлять данные;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недоступность учебного сервера Helios;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изменение требований заказчиком на поздних этапах;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нехватка времени у команды разработки;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потеря исторических данных;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нарушение транзакционности при списании ресурсов.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Меры снижения рисков зафиксированы в Risk List: проверки дефицита, журналирование, транзакции, резервное копирование, упрощённые интерфейсы базовых ролей, мониторинг доступности и регулярный пересмотр требований.</w:t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5. Financial Forecast (Финансовый прогноз)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Финансовая база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43447"/>
                <w:sz w:val="21"/>
              </w:rPr>
              <w:t>Разработка оценивается только по SDP: 242 часа и 273 600 ₽. Остальные показатели явно разделены на утверждённые данные и экспертные допущения.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5.1 Методика и границы расчёта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Инвестиции в разработку принимаются строго по SDP. Модель не использует коммерческую оценку 500–700 часов из Vision, поскольку она не соответствует утверждённому плану проекта.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Финансовая модель разделяет: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подтверждённые проектные данные — часы, ставки, бюджет и бесплатная инфраструктура;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утверждённую модель монетизации — внедрение, подписка и комиссия за успех;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экспертные допущения — частота походов, стоимость добычи и потерь;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переменные, которые должны быть уточнены после пилота — налоговый режим, фактическая нагрузка поддержки и сроки получения комиссии.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 xml:space="preserve">Все суммы приведены в рублях. Налог не включён в базовый денежный поток, так как юридическая и налоговая модель проекта не зафиксирована. Для пересчёта используется коэффициент </w:t>
      </w:r>
      <w:r>
        <w:rPr>
          <w:rFonts w:ascii="Consolas" w:hAnsi="Consolas" w:eastAsia="Consolas"/>
          <w:color w:val="1F4D78"/>
          <w:sz w:val="21"/>
        </w:rPr>
        <w:t>t</w:t>
      </w:r>
      <w:r>
        <w:rPr>
          <w:rFonts w:ascii="Calibri" w:hAnsi="Calibri" w:eastAsia="Calibri"/>
          <w:color w:val="243447"/>
          <w:sz w:val="22"/>
        </w:rPr>
        <w:t>, равный фактической ставке налога с выручки.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5.2 Бюджет разработки по SDP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1800"/>
        <w:gridCol w:w="1900"/>
        <w:gridCol w:w="2760"/>
      </w:tblGrid>
      <w:tr>
        <w:trPr>
          <w:tblHeader w:val="true"/>
          <w:cantSplit/>
        </w:trPr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Роль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Ставка, ₽/ч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Трудозатраты, ч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Стоимость, ₽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Project Manager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1 500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20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30 000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Analyst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1 000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28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28 000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Architect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1 400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34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47 600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Developer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1 100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120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132 000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Quality Assurance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900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40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36 000</w:t>
            </w:r>
          </w:p>
        </w:tc>
      </w:tr>
      <w:tr>
        <w:trPr>
          <w:cantSplit/>
        </w:trPr>
        <w:tc>
          <w:tcPr>
            <w:tcW w:type="dxa" w:w="2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43447"/>
                <w:sz w:val="17"/>
              </w:rPr>
              <w:t>Итого</w:t>
            </w:r>
          </w:p>
        </w:tc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—</w:t>
            </w:r>
          </w:p>
        </w:tc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43447"/>
                <w:sz w:val="17"/>
              </w:rPr>
              <w:t>242</w:t>
            </w:r>
          </w:p>
        </w:tc>
        <w:tc>
          <w:tcPr>
            <w:tcW w:type="dxa" w:w="27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43447"/>
                <w:sz w:val="17"/>
              </w:rPr>
              <w:t>273 600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5.3 Прочие затраты разработки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800"/>
        <w:gridCol w:w="4560"/>
      </w:tblGrid>
      <w:tr>
        <w:trPr>
          <w:tblHeader w:val="true"/>
          <w:cantSplit/>
        </w:trP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Статья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Стоимость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Сервер Helios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0 ₽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Предоставляется факультетом ПИиКТ ИТМО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SSL-сертификат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0 ₽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Let's Encrypt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JetBrains IDE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0 ₽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Студенческие лицензии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GitHub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0 ₽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Бесплатный план</w:t>
            </w:r>
          </w:p>
        </w:tc>
      </w:tr>
      <w:tr>
        <w:trPr>
          <w:cantSplit/>
        </w:trPr>
        <w:tc>
          <w:tcPr>
            <w:tcW w:type="dxa" w:w="30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Итого инвестиций</w:t>
            </w:r>
          </w:p>
        </w:tc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273 600 ₽</w:t>
            </w:r>
          </w:p>
        </w:tc>
        <w:tc>
          <w:tcPr>
            <w:tcW w:type="dxa" w:w="45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Бюджет SDP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5.4 Операционные расходы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В пилотной модели инфраструктура остаётся бесплатной. Регулярные расходы образуются трудозатратами на мониторинг, проверку резервных копий, обновления и обращения пользователей.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Формула месячной поддержки:</w:t>
      </w:r>
    </w:p>
    <w:p>
      <w:pPr>
        <w:spacing w:after="120" w:line="264" w:lineRule="auto"/>
      </w:pPr>
      <w:r>
        <w:rPr>
          <w:rFonts w:ascii="Consolas" w:hAnsi="Consolas" w:eastAsia="Consolas"/>
          <w:color w:val="1F4D78"/>
          <w:sz w:val="21"/>
        </w:rPr>
        <w:t>OPEXподдержка = (4 часа базового сопровождения + 2 часа × число активных клиентов) × 1 100 ₽/ч</w:t>
      </w:r>
      <w:r>
        <w:rPr>
          <w:rFonts w:ascii="Calibri" w:hAnsi="Calibri" w:eastAsia="Calibri"/>
          <w:color w:val="243447"/>
          <w:sz w:val="22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200"/>
        <w:gridCol w:w="4660"/>
      </w:tblGrid>
      <w:tr>
        <w:trPr>
          <w:tblHeader w:val="true"/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Активные клиенты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Поддержка, ч/мес.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OPEX, ₽/мес.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6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6 600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8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8 800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10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11 000</w:t>
            </w:r>
          </w:p>
        </w:tc>
      </w:tr>
    </w:tbl>
    <w:p>
      <w:pPr>
        <w:spacing w:before="80" w:after="80"/>
      </w:pP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 xml:space="preserve">Налог рассчитывается отдельно: </w:t>
      </w:r>
      <w:r>
        <w:rPr>
          <w:rFonts w:ascii="Consolas" w:hAnsi="Consolas" w:eastAsia="Consolas"/>
          <w:color w:val="1F4D78"/>
          <w:sz w:val="21"/>
        </w:rPr>
        <w:t>Налог = выручка × t</w:t>
      </w:r>
      <w:r>
        <w:rPr>
          <w:rFonts w:ascii="Calibri" w:hAnsi="Calibri" w:eastAsia="Calibri"/>
          <w:color w:val="243447"/>
          <w:sz w:val="22"/>
        </w:rPr>
        <w:t>. Если для анализа используется сценарный коэффициент 6%, он является допущением модели, а не утверждением применимого налогового режима.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5.5 Исходные показатели и сценарии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Поскольку фактической статистики эксплуатации нет, показатели задаются диапазонами. После запуска они должны заменяться данными Drakkar ERP.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020"/>
        <w:gridCol w:w="2020"/>
        <w:gridCol w:w="2020"/>
      </w:tblGrid>
      <w:tr>
        <w:trPr>
          <w:tblHeader w:val="true"/>
          <w:cantSplit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Показатель</w:t>
            </w:r>
          </w:p>
        </w:tc>
        <w:tc>
          <w:tcPr>
            <w:tcW w:type="dxa" w:w="2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Консервативный</w:t>
            </w:r>
          </w:p>
        </w:tc>
        <w:tc>
          <w:tcPr>
            <w:tcW w:type="dxa" w:w="2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Базовый</w:t>
            </w:r>
          </w:p>
        </w:tc>
        <w:tc>
          <w:tcPr>
            <w:tcW w:type="dxa" w:w="2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Оптимистичный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Средняя добыча успешного похода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500 000 ₽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800 000 ₽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1 200 000 ₽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Походов одного поселения за сезон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5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6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Успешность до внедрения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50%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50%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50%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Успешность после внедрения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60%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70%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75%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Прямые потери неудачного похода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150 000 ₽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250 000 ₽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400 000 ₽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Снижение потерь от дефицита и двойного резервирования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60 000 ₽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100 000 ₽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160 000 ₽</w:t>
            </w:r>
          </w:p>
        </w:tc>
      </w:tr>
    </w:tbl>
    <w:p>
      <w:pPr>
        <w:spacing w:before="80" w:after="80"/>
      </w:pP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Средняя добыча рассчитывается как стоимость добычи всех успешных походов, делённая на их количество. Стоимость неудачного похода включает фактически израсходованные ресурсы, ремонт, утраты и подготовку; не полученная добыча в неё не включается, чтобы не допустить двойного счёта.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5.6 Экономический эффект для поселения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Расчёт эффекта:</w:t>
      </w:r>
    </w:p>
    <w:p>
      <w:pPr>
        <w:spacing w:after="120" w:line="264" w:lineRule="auto"/>
      </w:pPr>
      <w:r>
        <w:rPr>
          <w:rFonts w:ascii="Consolas" w:hAnsi="Consolas" w:eastAsia="Consolas"/>
          <w:color w:val="1F4D78"/>
          <w:sz w:val="21"/>
        </w:rPr>
        <w:t>Эффект = дополнительные успешные походы × (средняя добыча + прямые потери неудачного похода) + снижение потерь от ресурсных инцидентов</w:t>
      </w:r>
      <w:r>
        <w:rPr>
          <w:rFonts w:ascii="Calibri" w:hAnsi="Calibri" w:eastAsia="Calibri"/>
          <w:color w:val="243447"/>
          <w:sz w:val="22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020"/>
        <w:gridCol w:w="2020"/>
        <w:gridCol w:w="2020"/>
      </w:tblGrid>
      <w:tr>
        <w:trPr>
          <w:tblHeader w:val="true"/>
          <w:cantSplit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Показатель</w:t>
            </w:r>
          </w:p>
        </w:tc>
        <w:tc>
          <w:tcPr>
            <w:tcW w:type="dxa" w:w="2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Консервативный</w:t>
            </w:r>
          </w:p>
        </w:tc>
        <w:tc>
          <w:tcPr>
            <w:tcW w:type="dxa" w:w="2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Базовый</w:t>
            </w:r>
          </w:p>
        </w:tc>
        <w:tc>
          <w:tcPr>
            <w:tcW w:type="dxa" w:w="2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Оптимистичный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Дополнительные успешные походы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0,5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1,2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2,0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Годовой эффект для поселения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385 000 ₽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1 360 000 ₽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3 360 000 ₽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Платёж клиента в первый полный год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192 500 ₽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220 400 ₽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278 000 ₽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Эффект / стоимость продукта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2,0×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6,2×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12,1×</w:t>
            </w:r>
          </w:p>
        </w:tc>
      </w:tr>
    </w:tbl>
    <w:p>
      <w:pPr>
        <w:spacing w:before="80" w:after="80"/>
      </w:pP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Платёж первого полного года включает 50 000 ₽ за внедрение, 120 000 ₽ подписки и комиссию 1,5% от добычи успешных походов. Даже консервативный сценарий показывает положительный эффект, однако вывод зависит от экспертных допущений и должен быть подтверждён пилотом.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5.7 Базовый сценарий продаж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Для базового сценария предполагается последовательное подключение трёх поселений: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клиент 1 — с первого месяца;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клиент 2 — с четвёртого месяца;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клиент 3 — с седьмого месяца.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Комиссия за успех для графика признаётся равномерно в течение активного периода клиента. Фактический денежный платёж возникает после успешного похода, поэтому календарная точка окупаемости может сместиться.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500"/>
        <w:gridCol w:w="2760"/>
      </w:tblGrid>
      <w:tr>
        <w:trPr>
          <w:tblHeader w:val="true"/>
          <w:cantSplit/>
        </w:trP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Источник выручки первого года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Расчёт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Сумма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Внедрение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3 × 50 000 ₽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150 000 ₽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Подписка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12 + 9 + 6 клиент-месяцев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270 000 ₽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Комиссия за успех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50 400 ₽ × (1 + 0,75 + 0,5)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113 400 ₽</w:t>
            </w:r>
          </w:p>
        </w:tc>
      </w:tr>
      <w:tr>
        <w:trPr>
          <w:cantSplit/>
        </w:trPr>
        <w:tc>
          <w:tcPr>
            <w:tcW w:type="dxa" w:w="31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Выручка первого года</w:t>
            </w:r>
          </w:p>
        </w:tc>
        <w:tc>
          <w:tcPr>
            <w:tcW w:type="dxa" w:w="3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—</w:t>
            </w:r>
          </w:p>
        </w:tc>
        <w:tc>
          <w:tcPr>
            <w:tcW w:type="dxa" w:w="27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533 400 ₽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Поддержка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102 ч × 1 100 ₽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112 200 ₽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Инвестиции в разработку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SDP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273 600 ₽</w:t>
            </w:r>
          </w:p>
        </w:tc>
      </w:tr>
      <w:tr>
        <w:trPr>
          <w:cantSplit/>
        </w:trPr>
        <w:tc>
          <w:tcPr>
            <w:tcW w:type="dxa" w:w="31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Прибыль до налога</w:t>
            </w:r>
          </w:p>
        </w:tc>
        <w:tc>
          <w:tcPr>
            <w:tcW w:type="dxa" w:w="3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533 400 − 112 200 − 273 600</w:t>
            </w:r>
          </w:p>
        </w:tc>
        <w:tc>
          <w:tcPr>
            <w:tcW w:type="dxa" w:w="27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147 600 ₽</w:t>
            </w:r>
          </w:p>
        </w:tc>
      </w:tr>
    </w:tbl>
    <w:p>
      <w:pPr>
        <w:spacing w:before="80" w:after="80"/>
      </w:pP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ROI первого года до налога:</w:t>
      </w:r>
    </w:p>
    <w:p>
      <w:pPr>
        <w:spacing w:after="120" w:line="264" w:lineRule="auto"/>
      </w:pPr>
      <w:r>
        <w:rPr>
          <w:rFonts w:ascii="Consolas" w:hAnsi="Consolas" w:eastAsia="Consolas"/>
          <w:color w:val="1F4D78"/>
          <w:sz w:val="21"/>
        </w:rPr>
        <w:t>147 600 / 273 600 × 100% = 53,9%</w:t>
      </w:r>
      <w:r>
        <w:rPr>
          <w:rFonts w:ascii="Calibri" w:hAnsi="Calibri" w:eastAsia="Calibri"/>
          <w:color w:val="243447"/>
          <w:sz w:val="22"/>
        </w:rPr>
        <w:t>.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 xml:space="preserve">При налоговом коэффициенте </w:t>
      </w:r>
      <w:r>
        <w:rPr>
          <w:rFonts w:ascii="Consolas" w:hAnsi="Consolas" w:eastAsia="Consolas"/>
          <w:color w:val="1F4D78"/>
          <w:sz w:val="21"/>
        </w:rPr>
        <w:t>t</w:t>
      </w:r>
      <w:r>
        <w:rPr>
          <w:rFonts w:ascii="Calibri" w:hAnsi="Calibri" w:eastAsia="Calibri"/>
          <w:color w:val="243447"/>
          <w:sz w:val="22"/>
        </w:rPr>
        <w:t xml:space="preserve"> прибыль определяется формулой:</w:t>
      </w:r>
    </w:p>
    <w:p>
      <w:pPr>
        <w:spacing w:after="120" w:line="264" w:lineRule="auto"/>
      </w:pPr>
      <w:r>
        <w:rPr>
          <w:rFonts w:ascii="Consolas" w:hAnsi="Consolas" w:eastAsia="Consolas"/>
          <w:color w:val="1F4D78"/>
          <w:sz w:val="21"/>
        </w:rPr>
        <w:t>Прибыль после налога = 147 600 − 533 400 × t</w:t>
      </w:r>
      <w:r>
        <w:rPr>
          <w:rFonts w:ascii="Calibri" w:hAnsi="Calibri" w:eastAsia="Calibri"/>
          <w:color w:val="243447"/>
          <w:sz w:val="22"/>
        </w:rPr>
        <w:t>.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Например, при сценарном коэффициенте 6% прибыль составит 115 596 ₽, а ROI — около 42,3%.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5.8 Помесячный денежный поток базового сценария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300"/>
        <w:gridCol w:w="1700"/>
        <w:gridCol w:w="1300"/>
        <w:gridCol w:w="1700"/>
        <w:gridCol w:w="256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Месяц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Активных клиентов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Выручка, тыс. ₽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OPEX, тыс. ₽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Чистый поток, тыс. ₽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Накопленный результат, тыс. ₽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M1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64,2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6,6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57,6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−216,0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M2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14,2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6,6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7,6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−208,4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M3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14,2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6,6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7,6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−200,8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M4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78,4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8,8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69,6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−131,2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M5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28,4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8,8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19,6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−111,6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M6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28,4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8,8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19,6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−92,0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M7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92,6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11,0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81,6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−10,4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M8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42,6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11,0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31,6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21,2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M9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42,6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11,0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31,6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52,8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M10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42,6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11,0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31,6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84,4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M11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42,6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11,0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31,6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116,0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M12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42,6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11,0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31,6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147,6</w:t>
            </w:r>
          </w:p>
        </w:tc>
      </w:tr>
    </w:tbl>
    <w:p>
      <w:pPr>
        <w:spacing w:before="80" w:after="80"/>
      </w:pP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По модели начисления точка безубыточности достигается на восьмом месяце. Если комиссия за успех поступает только по факту завершения походов, денежная окупаемость ожидается в диапазоне M11–M12. Налог и возможный переход с Helios на коммерческую инфраструктуру способны сдвинуть срок окупаемости.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01636"/>
            <wp:docPr id="1" name="Picture 1" title="График окупаемости Drakkar ERP" descr="Накопленный денежный результат базового сценария от стартовых инвестиций минус 273,6 тыс. рублей до прибыли 147,6 тыс. рублей в M12; точка безубыточности по начислению достигается в M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cash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i/>
          <w:color w:val="6B7280"/>
          <w:sz w:val="18"/>
        </w:rPr>
        <w:t>Рисунок 1 — Накопленный результат базового сценария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5.9 Ключевые финансовые показатели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инвестиции в разработку: 273 600 ₽;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выручка первого года базового сценария: 533 400 ₽;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операционные расходы первого года: 112 200 ₽;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прибыль до налога: 147 600 ₽;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ROI первого года до налога: 53,9%;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точка безубыточности по начислению: M8;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ожидаемая денежная точка безубыточности: M11–M12;</w:t>
      </w:r>
    </w:p>
    <w:p>
      <w:pPr>
        <w:spacing w:after="160" w:line="280" w:lineRule="auto"/>
        <w:numPr>
          <w:ilvl w:val="0"/>
          <w:numId w:val="100"/>
        </w:numPr>
      </w:pPr>
      <w:r>
        <w:rPr>
          <w:rFonts w:ascii="Calibri" w:hAnsi="Calibri" w:eastAsia="Calibri"/>
          <w:color w:val="243447"/>
          <w:sz w:val="22"/>
        </w:rPr>
        <w:t>минимально устойчивый масштаб базовой модели: три активных клиента.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5.10 План проверки допущений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После запуска система должна накапливать данные, позволяющие заменить экспертные оценки фактическими значениями: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4000"/>
        <w:gridCol w:w="2660"/>
      </w:tblGrid>
      <w:tr>
        <w:trPr>
          <w:tblHeader w:val="true"/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Показатель</w:t>
            </w:r>
          </w:p>
        </w:tc>
        <w:tc>
          <w:tcPr>
            <w:tcW w:type="dxa" w:w="4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Источник данных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Период пересмотра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Средняя стоимость добычи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Итоги завершённых походов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После каждого похода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Доля успешных походов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Статусы завершённых походов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Один раз за сезон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Прямые потери неудачного похода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Добыча, потери, списания и ремонт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После каждого неудачного похода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Ресурсные инциденты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Журнал операций склада и отклонение план/факт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Ежемесячно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Часы поддержки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Учёт обращений и фактически затраченного времени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Ежемесячно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Срок получения комиссии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Дата успешного похода и дата оплаты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Ежеквартально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6. Constraints (Ограничения)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Ограничение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3447"/>
                <w:sz w:val="18"/>
              </w:rPr>
              <w:t>Влияние на бизнес-обоснование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Учебная инфраструктура Helios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В SDP инфраструктура бесплатна, но для коммерческой эксплуатации может потребоваться отдельный хостинг и резервное копирование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Ручной ввод данных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Качество решений зависит от своевременности и достоверности сведений о складе, команде, маршруте и результатах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Отсутствие работы в море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Система используется до отплытия и после возвращения; оперативные изменения в походе не фиксируются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Система поддержки решений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Drakkar ERP не гарантирует успешность похода и не принимает решение вместо ярла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Условная предметная область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Финансовые значения добычи и потерь являются модельными и требуют подтверждения пилотом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Неопределённый налоговый режим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Налог отражается переменным коэффициентом и не включён в базовый OPEX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Комиссия зависит от оценки добычи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Необходимо согласовать способ оценки, момент фиксации стоимости и порядок разрешения разногласий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Два участника команды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Доступный объём поддержки и скорость исправления ошибок ограничены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Изменение требований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Поздние изменения способны увеличить трудозатраты сверх бюджета SDP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Бесплатные лицензии и сервисы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Сохранение нулевой стоимости зависит от условий учебных программ и доступности сервисов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7. Conclusion (Заключение)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Разработка Drakkar ERP экономически обоснована в рамках утверждённого SDP. Инвестиции составляют 273 600 ₽, а базовый сценарий с последовательным подключением трёх клиентов обеспечивает выручку 533 400 ₽ и прибыль до налога 147 600 ₽ в первый год. Окупаемость по начислению достигается на восьмом месяце, а при консервативном учёте фактических платежей — ориентировочно к концу первого года.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Главным условием достоверности модели является не увеличение прогнозных цифр, а проверка пяти показателей на пилоте: стоимости добычи, частоты походов, доли успешных походов, стоимости неудачи и потерь от ресурсных инцидентов. До получения статистики значения должны явно маркироваться как экспертные допущения.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  <w:sz w:val="22"/>
        </w:rPr>
        <w:t>Рекомендуется продолжить проект при выполнении следующих условий:</w:t>
      </w:r>
    </w:p>
    <w:p>
      <w:pPr>
        <w:spacing w:after="160" w:line="280" w:lineRule="auto"/>
        <w:numPr>
          <w:ilvl w:val="0"/>
          <w:numId w:val="103"/>
        </w:numPr>
      </w:pPr>
      <w:r>
        <w:rPr>
          <w:rFonts w:ascii="Calibri" w:hAnsi="Calibri" w:eastAsia="Calibri"/>
          <w:color w:val="243447"/>
          <w:sz w:val="22"/>
        </w:rPr>
        <w:t>использовать бюджет 273 600 ₽ из SDP как единственную базовую оценку разработки;</w:t>
      </w:r>
    </w:p>
    <w:p>
      <w:pPr>
        <w:spacing w:after="160" w:line="280" w:lineRule="auto"/>
        <w:numPr>
          <w:ilvl w:val="0"/>
          <w:numId w:val="103"/>
        </w:numPr>
      </w:pPr>
      <w:r>
        <w:rPr>
          <w:rFonts w:ascii="Calibri" w:hAnsi="Calibri" w:eastAsia="Calibri"/>
          <w:color w:val="243447"/>
          <w:sz w:val="22"/>
        </w:rPr>
        <w:t>обеспечить пилот не менее чем с тремя условными поселениями-клиентами;</w:t>
      </w:r>
    </w:p>
    <w:p>
      <w:pPr>
        <w:spacing w:after="160" w:line="280" w:lineRule="auto"/>
        <w:numPr>
          <w:ilvl w:val="0"/>
          <w:numId w:val="103"/>
        </w:numPr>
      </w:pPr>
      <w:r>
        <w:rPr>
          <w:rFonts w:ascii="Calibri" w:hAnsi="Calibri" w:eastAsia="Calibri"/>
          <w:color w:val="243447"/>
          <w:sz w:val="22"/>
        </w:rPr>
        <w:t>реализовать сбор показателей из раздела 5.10;</w:t>
      </w:r>
    </w:p>
    <w:p>
      <w:pPr>
        <w:spacing w:after="160" w:line="280" w:lineRule="auto"/>
        <w:numPr>
          <w:ilvl w:val="0"/>
          <w:numId w:val="103"/>
        </w:numPr>
      </w:pPr>
      <w:r>
        <w:rPr>
          <w:rFonts w:ascii="Calibri" w:hAnsi="Calibri" w:eastAsia="Calibri"/>
          <w:color w:val="243447"/>
          <w:sz w:val="22"/>
        </w:rPr>
        <w:t>пересчитать Business Case после первого полного сезона;</w:t>
      </w:r>
    </w:p>
    <w:p>
      <w:pPr>
        <w:spacing w:after="160" w:line="280" w:lineRule="auto"/>
        <w:numPr>
          <w:ilvl w:val="0"/>
          <w:numId w:val="103"/>
        </w:numPr>
      </w:pPr>
      <w:r>
        <w:rPr>
          <w:rFonts w:ascii="Calibri" w:hAnsi="Calibri" w:eastAsia="Calibri"/>
          <w:color w:val="243447"/>
          <w:sz w:val="22"/>
        </w:rPr>
        <w:t>отдельно согласовать налоговый режим и условия комиссии за успех до коммерческого запуска.</w:t>
      </w:r>
    </w:p>
    <w:p>
      <w:pPr>
        <w:spacing w:after="120" w:line="264" w:lineRule="auto"/>
      </w:pPr>
      <w:r>
        <w:rPr>
          <w:rFonts w:ascii="Calibri" w:hAnsi="Calibri" w:eastAsia="Calibri"/>
          <w:b/>
          <w:color w:val="243447"/>
          <w:sz w:val="22"/>
        </w:rPr>
        <w:t>Итоговая оценка:</w:t>
      </w:r>
      <w:r>
        <w:rPr>
          <w:rFonts w:ascii="Calibri" w:hAnsi="Calibri" w:eastAsia="Calibri"/>
          <w:color w:val="243447"/>
          <w:sz w:val="22"/>
        </w:rPr>
        <w:t xml:space="preserve"> проект целесообразен как учебный MVP и демонстрирует положительную экономику в базовом сценарии. Коммерческий вывод возможен после подтверждения экспертных допущений фактическими данными пилота.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44" w:val="left"/>
      </w:tabs>
      <w:spacing w:before="0"/>
      <w:jc w:val="left"/>
    </w:pPr>
    <w:r>
      <w:rPr>
        <w:rFonts w:ascii="Calibri" w:hAnsi="Calibri" w:eastAsia="Calibri"/>
        <w:color w:val="6B7280"/>
        <w:sz w:val="17"/>
      </w:rPr>
      <w:t>Drakkar ERP · Business Case</w:t>
    </w:r>
    <w:r>
      <w:tab/>
    </w:r>
    <w:r>
      <w:rPr>
        <w:rFonts w:ascii="Calibri" w:hAnsi="Calibri" w:eastAsia="Calibri"/>
        <w:color w:val="6B7280"/>
        <w:sz w:val="17"/>
      </w:rPr>
      <w:t xml:space="preserve">Стр.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 w:eastAsia="Calibri"/>
        <w:color w:val="6B7280"/>
        <w:sz w:val="17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B7280"/>
        <w:sz w:val="17"/>
      </w:rPr>
      <w:t>DRAKKAR ERP  |  BUSINESS 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00">
    <w:abstractNumId w:val="100"/>
  </w:num>
  <w:abstractNum w:abstractNumId="10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1">
    <w:abstractNumId w:val="101"/>
  </w:num>
  <w:num w:numId="102">
    <w:abstractNumId w:val="101"/>
    <w:lvlOverride w:ilvl="0">
      <w:startOverride w:val="1"/>
    </w:lvlOverride>
  </w:num>
  <w:num w:numId="103">
    <w:abstractNumId w:val="101"/>
    <w:lvlOverride w:ilvl="0">
      <w:startOverride w:val="1"/>
    </w:lvlOverride>
  </w:num>
  <w:num w:numId="104">
    <w:abstractNumId w:val="101"/>
    <w:lvlOverride w:ilvl="0">
      <w:startOverride w:val="1"/>
    </w:lvlOverride>
  </w:num>
  <w:num w:numId="105">
    <w:abstractNumId w:val="101"/>
    <w:lvlOverride w:ilvl="0">
      <w:startOverride w:val="1"/>
    </w:lvlOverride>
  </w:num>
  <w:num w:numId="106">
    <w:abstractNumId w:val="101"/>
    <w:lvlOverride w:ilvl="0">
      <w:startOverride w:val="1"/>
    </w:lvlOverride>
  </w:num>
  <w:num w:numId="107">
    <w:abstractNumId w:val="101"/>
    <w:lvlOverride w:ilvl="0">
      <w:startOverride w:val="1"/>
    </w:lvlOverride>
  </w:num>
  <w:num w:numId="108">
    <w:abstractNumId w:val="101"/>
    <w:lvlOverride w:ilvl="0">
      <w:startOverride w:val="1"/>
    </w:lvlOverride>
  </w:num>
  <w:num w:numId="109">
    <w:abstractNumId w:val="101"/>
    <w:lvlOverride w:ilvl="0">
      <w:startOverride w:val="1"/>
    </w:lvlOverride>
  </w:num>
  <w:num w:numId="110">
    <w:abstractNumId w:val="101"/>
    <w:lvlOverride w:ilvl="0">
      <w:startOverride w:val="1"/>
    </w:lvlOverride>
  </w:num>
  <w:num w:numId="111">
    <w:abstractNumId w:val="101"/>
    <w:lvlOverride w:ilvl="0">
      <w:startOverride w:val="1"/>
    </w:lvlOverride>
  </w:num>
  <w:num w:numId="112">
    <w:abstractNumId w:val="101"/>
    <w:lvlOverride w:ilvl="0">
      <w:startOverride w:val="1"/>
    </w:lvlOverride>
  </w:num>
  <w:num w:numId="113">
    <w:abstractNumId w:val="101"/>
    <w:lvlOverride w:ilvl="0">
      <w:startOverride w:val="1"/>
    </w:lvlOverride>
  </w:num>
  <w:num w:numId="114">
    <w:abstractNumId w:val="101"/>
    <w:lvlOverride w:ilvl="0">
      <w:startOverride w:val="1"/>
    </w:lvlOverride>
  </w:num>
  <w:num w:numId="115">
    <w:abstractNumId w:val="101"/>
    <w:lvlOverride w:ilvl="0">
      <w:startOverride w:val="1"/>
    </w:lvlOverride>
  </w:num>
  <w:num w:numId="116">
    <w:abstractNumId w:val="101"/>
    <w:lvlOverride w:ilvl="0">
      <w:startOverride w:val="1"/>
    </w:lvlOverride>
  </w:num>
  <w:num w:numId="117">
    <w:abstractNumId w:val="101"/>
    <w:lvlOverride w:ilvl="0">
      <w:startOverride w:val="1"/>
    </w:lvlOverride>
  </w:num>
  <w:num w:numId="118">
    <w:abstractNumId w:val="101"/>
    <w:lvlOverride w:ilvl="0">
      <w:startOverride w:val="1"/>
    </w:lvlOverride>
  </w:num>
  <w:num w:numId="119">
    <w:abstractNumId w:val="101"/>
    <w:lvlOverride w:ilvl="0">
      <w:startOverride w:val="1"/>
    </w:lvlOverride>
  </w:num>
  <w:num w:numId="120">
    <w:abstractNumId w:val="10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Case — Drakkar ERP</dc:title>
  <dc:subject>Бизнес-обоснование проекта Drakkar ERP</dc:subject>
  <dc:creator>Рахматулин Р. Б.; Дементьев Н. А.</dc:creator>
  <cp:keywords>Drakkar ERP, Business Case, SDP, ROI, окупаемость</cp:keywords>
  <dc:description>Финансовая модель основана на бюджете SDP: 242 часа, 273 600 ₽.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