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Risk List (Список рисков)</w:t>
      </w:r>
    </w:p>
    <w:p>
      <w:pPr>
        <w:pStyle w:val="Subtitle"/>
      </w:pPr>
      <w:r>
        <w:t>Drakkar ERP - реестр проектных, технических и операционных рисков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cantSplit w:val="true"/>
        </w:trPr>
        <w:tc>
          <w:tcPr>
            <w:tcW w:type="dxa" w:w="270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20"/>
              </w:rPr>
              <w:t>Статус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Базовая версия для согласования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20"/>
              </w:rPr>
              <w:t>Версия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1.0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20"/>
              </w:rPr>
              <w:t>Дата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01.09.2026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20"/>
              </w:rPr>
              <w:t>Ответственный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Project Manager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20"/>
              </w:rPr>
              <w:t>Периодичность пересмотра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По завершении каждой итерации</w:t>
            </w:r>
          </w:p>
        </w:tc>
      </w:tr>
    </w:tbl>
    <w:p>
      <w:pPr>
        <w:spacing w:before="280" w:after="100"/>
      </w:pPr>
      <w:r>
        <w:rPr>
          <w:rFonts w:ascii="Calibri" w:hAnsi="Calibri" w:eastAsia="Calibri"/>
          <w:b/>
          <w:color w:val="1F4D78"/>
          <w:sz w:val="24"/>
        </w:rPr>
        <w:t>История изменений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00"/>
        <w:gridCol w:w="1800"/>
        <w:gridCol w:w="4960"/>
        <w:gridCol w:w="1600"/>
      </w:tblGrid>
      <w:tr>
        <w:trPr>
          <w:tblHeader w:val="true"/>
        </w:trPr>
        <w:tc>
          <w:tcPr>
            <w:tcW w:type="dxa" w:w="100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Версия</w:t>
            </w:r>
          </w:p>
        </w:tc>
        <w:tc>
          <w:tcPr>
            <w:tcW w:type="dxa" w:w="180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Автор</w:t>
            </w:r>
          </w:p>
        </w:tc>
        <w:tc>
          <w:tcPr>
            <w:tcW w:type="dxa" w:w="496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Изменение</w:t>
            </w:r>
          </w:p>
        </w:tc>
        <w:tc>
          <w:tcPr>
            <w:tcW w:type="dxa" w:w="160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Дата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0.1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Дементьев Н.А.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Создан скелет документа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22.06.2026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0.2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Рахматуллин Р.Б.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Заполнена первая итерация Risk List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23.06.2026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1.0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Рахматуллин Р.Б.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Пересмотрен портфель рисков, унифицированы оценки, индикаторы и планы реагирования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01.09.2026</w:t>
            </w:r>
          </w:p>
        </w:tc>
      </w:tr>
    </w:tbl>
    <w:p>
      <w:pPr>
        <w:spacing w:before="240" w:after="0"/>
      </w:pPr>
      <w:r>
        <w:rPr>
          <w:rFonts w:ascii="Calibri" w:hAnsi="Calibri" w:eastAsia="Calibri"/>
          <w:color w:val="222222"/>
          <w:sz w:val="21"/>
        </w:rPr>
        <w:t>Назначение документа: поддерживать приоритизированный и измеримый перечень рисков, которые могут повлиять на сроки, качество, безопасность и успешное внедрение Drakkar ERP.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pStyle w:val="Heading2"/>
      </w:pPr>
      <w:r>
        <w:t>Назначение</w:t>
      </w:r>
    </w:p>
    <w:p>
      <w:r>
        <w:rPr>
          <w:rFonts w:ascii="Calibri" w:hAnsi="Calibri" w:eastAsia="Calibri"/>
          <w:color w:val="222222"/>
          <w:sz w:val="21"/>
        </w:rPr>
        <w:t>Документ содержит приоритизированный реестр рисков Drakkar ERP. Его цель - выявлять угрозы срокам, качеству, безопасности и успешному внедрению системы, назначать владельцев, контролировать измеримые индикаторы и заранее определять меры реагирования.</w:t>
      </w:r>
    </w:p>
    <w:p>
      <w:pPr>
        <w:pStyle w:val="Heading2"/>
      </w:pPr>
      <w:r>
        <w:t>Область применения</w:t>
      </w:r>
    </w:p>
    <w:p>
      <w:r>
        <w:rPr>
          <w:rFonts w:ascii="Calibri" w:hAnsi="Calibri" w:eastAsia="Calibri"/>
          <w:color w:val="222222"/>
          <w:sz w:val="21"/>
        </w:rPr>
        <w:t>Реестр применяется на всех фазах жизненного цикла проекта: Inception, Elaboration, Construction и Transition. Документ используется Project Manager, аналитиком, архитектором, разработчиками, Quality Assurance и заказчиком. Предметные сценарии Drakkar ERP используются как контекст, но риски сгруппированы по влиянию на проект и продукт.</w:t>
      </w:r>
    </w:p>
    <w:p>
      <w:pPr>
        <w:pStyle w:val="Heading2"/>
      </w:pPr>
      <w:r>
        <w:t>Термины и сокращения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cantSplit w:val="true"/>
        </w:trPr>
        <w:tc>
          <w:tcPr>
            <w:tcW w:type="dxa" w:w="180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RE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9"/>
              </w:rPr>
              <w:t>Risk Exposure - экспозиция риска: вероятность * влияние.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MVP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9"/>
              </w:rPr>
              <w:t>Минимально жизнеспособная версия продукта с обязательными функциями.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Индикатор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9"/>
              </w:rPr>
              <w:t>Измеримый признак приближения или наступления риска.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Стратегия смягчения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9"/>
              </w:rPr>
              <w:t>Меры, снижающие вероятность или влияние риска до его наступления.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План реагирования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9"/>
              </w:rPr>
              <w:t>Действия после срабатывания красного индикатора или наступления события.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Остаточный риск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9"/>
              </w:rPr>
              <w:t>Оценка риска после выполнения запланированных мер смягчения.</w:t>
            </w:r>
          </w:p>
        </w:tc>
      </w:tr>
    </w:tbl>
    <w:p>
      <w:pPr>
        <w:pStyle w:val="Heading2"/>
      </w:pPr>
      <w:r>
        <w:t>Ссылочные документы</w:t>
      </w:r>
    </w:p>
    <w:p>
      <w:pPr>
        <w:pStyle w:val="ListBullet"/>
      </w:pPr>
      <w:r>
        <w:rPr>
          <w:rFonts w:ascii="Calibri" w:hAnsi="Calibri" w:eastAsia="Calibri"/>
          <w:color w:val="222222"/>
          <w:sz w:val="21"/>
        </w:rPr>
        <w:t xml:space="preserve"> Vision - концепция, границы продукта, пользователи и приоритеты функций.</w:t>
      </w:r>
    </w:p>
    <w:p>
      <w:pPr>
        <w:pStyle w:val="ListBullet"/>
      </w:pPr>
      <w:r>
        <w:rPr>
          <w:rFonts w:ascii="Calibri" w:hAnsi="Calibri" w:eastAsia="Calibri"/>
          <w:color w:val="222222"/>
          <w:sz w:val="21"/>
        </w:rPr>
        <w:t xml:space="preserve"> Software Requirements Specification (SRS) - функциональные и нефункциональные требования.</w:t>
      </w:r>
    </w:p>
    <w:p>
      <w:pPr>
        <w:pStyle w:val="ListBullet"/>
      </w:pPr>
      <w:r>
        <w:rPr>
          <w:rFonts w:ascii="Calibri" w:hAnsi="Calibri" w:eastAsia="Calibri"/>
          <w:color w:val="222222"/>
          <w:sz w:val="21"/>
        </w:rPr>
        <w:t xml:space="preserve"> Use Case Specification - критические сценарии UC3, UC4, UC7 и UC11 и остальные варианты использования.</w:t>
      </w:r>
    </w:p>
    <w:p>
      <w:pPr>
        <w:pStyle w:val="ListBullet"/>
      </w:pPr>
      <w:r>
        <w:rPr>
          <w:rFonts w:ascii="Calibri" w:hAnsi="Calibri" w:eastAsia="Calibri"/>
          <w:color w:val="222222"/>
          <w:sz w:val="21"/>
        </w:rPr>
        <w:t xml:space="preserve"> Software Development Plan (SDP) - итерации, ресурсы, сроки, качество и управление проектом.</w:t>
      </w:r>
    </w:p>
    <w:p>
      <w:pPr>
        <w:pStyle w:val="Heading2"/>
      </w:pPr>
      <w:r>
        <w:t>Обзор документа</w:t>
      </w:r>
    </w:p>
    <w:p>
      <w:r>
        <w:rPr>
          <w:rFonts w:ascii="Calibri" w:hAnsi="Calibri" w:eastAsia="Calibri"/>
          <w:color w:val="222222"/>
          <w:sz w:val="21"/>
        </w:rPr>
        <w:t>Раздел 2 определяет шкалы и правила оценки. Раздел 3 содержит сводный реестр, отсортированный по экспозиции. Раздел 4 подробно описывает десять рисков, их владельцев, индикаторы, меры смягчения, планы реагирования и остаточную оценку.</w:t>
      </w:r>
    </w:p>
    <w:p>
      <w:pPr>
        <w:sectPr>
          <w:headerReference w:type="default" r:id="rId9"/>
          <w:footerReference w:type="default" r:id="rId10"/>
          <w:pgSz w:w="12240" w:h="15840"/>
          <w:pgMar w:top="1152" w:right="1440" w:bottom="1152" w:left="1440" w:header="504" w:footer="504" w:gutter="0"/>
          <w:cols w:space="720"/>
          <w:docGrid w:linePitch="360"/>
        </w:sectPr>
      </w:pPr>
    </w:p>
    <w:p>
      <w:pPr>
        <w:pStyle w:val="Heading1"/>
      </w:pPr>
      <w:r>
        <w:t>Модель оценки и управления рисками</w:t>
      </w:r>
    </w:p>
    <w:p>
      <w:r>
        <w:rPr>
          <w:rFonts w:ascii="Calibri" w:hAnsi="Calibri" w:eastAsia="Calibri"/>
          <w:color w:val="222222"/>
          <w:sz w:val="21"/>
        </w:rPr>
        <w:t>Для всех рисков используется единая оценка: RE = вероятность * влияние. Вероятность и влияние пересматриваются владельцем риска по завершении каждой итерации.</w:t>
      </w:r>
    </w:p>
    <w:p>
      <w:pPr>
        <w:pStyle w:val="Heading2"/>
      </w:pPr>
      <w:r>
        <w:t>Шкала вероятности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5760"/>
        <w:gridCol w:w="1800"/>
      </w:tblGrid>
      <w:tr>
        <w:trPr>
          <w:tblHeader w:val="true"/>
        </w:trPr>
        <w:tc>
          <w:tcPr>
            <w:tcW w:type="dxa" w:w="180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Уровень</w:t>
            </w:r>
          </w:p>
        </w:tc>
        <w:tc>
          <w:tcPr>
            <w:tcW w:type="dxa" w:w="576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Критерий</w:t>
            </w:r>
          </w:p>
        </w:tc>
        <w:tc>
          <w:tcPr>
            <w:tcW w:type="dxa" w:w="180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Коэффициент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9"/>
              </w:rPr>
              <w:t>Низкая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9"/>
              </w:rPr>
              <w:t>Событие маловероятно; шанс менее 20%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9"/>
              </w:rPr>
              <w:t>0.2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9"/>
              </w:rPr>
              <w:t>Средняя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9"/>
              </w:rPr>
              <w:t>Событие может произойти; шанс от 20% до 60%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9"/>
              </w:rPr>
              <w:t>0.5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9"/>
              </w:rPr>
              <w:t>Высокая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9"/>
              </w:rPr>
              <w:t>Событие вероятно; шанс более 60%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9"/>
              </w:rPr>
              <w:t>0.8</w:t>
            </w:r>
          </w:p>
        </w:tc>
      </w:tr>
    </w:tbl>
    <w:p>
      <w:pPr>
        <w:pStyle w:val="Heading2"/>
      </w:pPr>
      <w:r>
        <w:t>Шкала влияния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5760"/>
        <w:gridCol w:w="1800"/>
      </w:tblGrid>
      <w:tr>
        <w:trPr>
          <w:tblHeader w:val="true"/>
        </w:trPr>
        <w:tc>
          <w:tcPr>
            <w:tcW w:type="dxa" w:w="180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Уровень</w:t>
            </w:r>
          </w:p>
        </w:tc>
        <w:tc>
          <w:tcPr>
            <w:tcW w:type="dxa" w:w="576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Критерий</w:t>
            </w:r>
          </w:p>
        </w:tc>
        <w:tc>
          <w:tcPr>
            <w:tcW w:type="dxa" w:w="180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Значение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9"/>
              </w:rPr>
              <w:t>Низкое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9"/>
              </w:rPr>
              <w:t>Локальное отклонение без влияния на ключевые требования или вехи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9"/>
              </w:rPr>
              <w:t>1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9"/>
              </w:rPr>
              <w:t>Среднее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9"/>
              </w:rPr>
              <w:t>Перепланирование итерации, заметное снижение качества или задержка вехи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9"/>
              </w:rPr>
              <w:t>3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9"/>
              </w:rPr>
              <w:t>Высокое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9"/>
              </w:rPr>
              <w:t>Угроза MVP, критическим данным, безопасности или завершению проекта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9"/>
              </w:rPr>
              <w:t>9</w:t>
            </w:r>
          </w:p>
        </w:tc>
      </w:tr>
    </w:tbl>
    <w:p>
      <w:pPr>
        <w:pStyle w:val="Heading2"/>
      </w:pPr>
      <w:r>
        <w:t>Интерпретация экспозиции риска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1500"/>
        <w:gridCol w:w="6060"/>
      </w:tblGrid>
      <w:tr>
        <w:trPr>
          <w:tblHeader w:val="true"/>
        </w:trPr>
        <w:tc>
          <w:tcPr>
            <w:tcW w:type="dxa" w:w="180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Уровень</w:t>
            </w:r>
          </w:p>
        </w:tc>
        <w:tc>
          <w:tcPr>
            <w:tcW w:type="dxa" w:w="150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RE</w:t>
            </w:r>
          </w:p>
        </w:tc>
        <w:tc>
          <w:tcPr>
            <w:tcW w:type="dxa" w:w="606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Правило управления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E2F0D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222222"/>
                <w:sz w:val="19"/>
              </w:rPr>
              <w:t>Низкий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9"/>
              </w:rPr>
              <w:t>0.2-0.8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9"/>
              </w:rPr>
              <w:t>Наблюдение; проверка на плановом пересмотре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FF2C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222222"/>
                <w:sz w:val="19"/>
              </w:rPr>
              <w:t>Средний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9"/>
              </w:rPr>
              <w:t>1.5-1.8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9"/>
              </w:rPr>
              <w:t>Назначенная мера смягчения и контроль индикаторов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CE4D6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222222"/>
                <w:sz w:val="19"/>
              </w:rPr>
              <w:t>Высокий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9"/>
              </w:rPr>
              <w:t>2.4-4.5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9"/>
              </w:rPr>
              <w:t>Приоритетная мера смягчения; контроль на каждой итерации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4CCC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222222"/>
                <w:sz w:val="19"/>
              </w:rPr>
              <w:t>Критический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9"/>
              </w:rPr>
              <w:t>7.2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9"/>
              </w:rPr>
              <w:t>Немедленная эскалация и отдельный план действий</w:t>
            </w:r>
          </w:p>
        </w:tc>
      </w:tr>
    </w:tbl>
    <w:p>
      <w:pPr>
        <w:pStyle w:val="Heading2"/>
      </w:pPr>
      <w:r>
        <w:t>Правила ведения реестра</w:t>
      </w:r>
    </w:p>
    <w:p>
      <w:pPr>
        <w:pStyle w:val="ListBullet"/>
      </w:pPr>
      <w:r>
        <w:rPr>
          <w:rFonts w:ascii="Calibri" w:hAnsi="Calibri" w:eastAsia="Calibri"/>
          <w:color w:val="222222"/>
          <w:sz w:val="21"/>
        </w:rPr>
        <w:t xml:space="preserve"> Владелец риска контролирует индикаторы и актуальность оценок.</w:t>
      </w:r>
    </w:p>
    <w:p>
      <w:pPr>
        <w:pStyle w:val="ListBullet"/>
      </w:pPr>
      <w:r>
        <w:rPr>
          <w:rFonts w:ascii="Calibri" w:hAnsi="Calibri" w:eastAsia="Calibri"/>
          <w:color w:val="222222"/>
          <w:sz w:val="21"/>
        </w:rPr>
        <w:t xml:space="preserve"> Статус и экспозиция пересматриваются по завершении каждой итерации и при срабатывании красного индикатора.</w:t>
      </w:r>
    </w:p>
    <w:p>
      <w:pPr>
        <w:pStyle w:val="ListBullet"/>
      </w:pPr>
      <w:r>
        <w:rPr>
          <w:rFonts w:ascii="Calibri" w:hAnsi="Calibri" w:eastAsia="Calibri"/>
          <w:color w:val="222222"/>
          <w:sz w:val="21"/>
        </w:rPr>
        <w:t xml:space="preserve"> Сводный реестр сортируется по RE; при равном RE выше располагается риск с большим влиянием.</w:t>
      </w:r>
    </w:p>
    <w:p>
      <w:pPr>
        <w:pStyle w:val="ListBullet"/>
      </w:pPr>
      <w:r>
        <w:rPr>
          <w:rFonts w:ascii="Calibri" w:hAnsi="Calibri" w:eastAsia="Calibri"/>
          <w:color w:val="222222"/>
          <w:sz w:val="21"/>
        </w:rPr>
        <w:t xml:space="preserve"> После выполнения мер смягчения фиксируется остаточный риск; исходная оценка не удаляется.</w:t>
      </w:r>
    </w:p>
    <w:p>
      <w:pPr>
        <w:sectPr>
          <w:headerReference w:type="default" r:id="rId11"/>
          <w:footerReference w:type="default" r:id="rId12"/>
          <w:pgSz w:w="12240" w:h="15840"/>
          <w:pgMar w:top="1152" w:right="1440" w:bottom="1152" w:left="1440" w:header="504" w:footer="504" w:gutter="0"/>
          <w:cols w:space="720"/>
          <w:docGrid w:linePitch="360"/>
        </w:sectPr>
      </w:pPr>
    </w:p>
    <w:p>
      <w:pPr>
        <w:pStyle w:val="Heading1"/>
      </w:pPr>
      <w:r>
        <w:t>Сводный реестр рисков</w:t>
      </w:r>
    </w:p>
    <w:tbl>
      <w:tblPr>
        <w:tblStyle w:val="TableGrid"/>
        <w:tblW w:type="dxa" w:w="1164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3000"/>
        <w:gridCol w:w="1800"/>
        <w:gridCol w:w="600"/>
        <w:gridCol w:w="600"/>
        <w:gridCol w:w="660"/>
        <w:gridCol w:w="1260"/>
        <w:gridCol w:w="1680"/>
        <w:gridCol w:w="1320"/>
      </w:tblGrid>
      <w:tr>
        <w:trPr>
          <w:tblHeader w:val="true"/>
        </w:trPr>
        <w:tc>
          <w:tcPr>
            <w:tcW w:type="dxa" w:w="72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ID</w:t>
            </w:r>
          </w:p>
        </w:tc>
        <w:tc>
          <w:tcPr>
            <w:tcW w:type="dxa" w:w="300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Риск</w:t>
            </w:r>
          </w:p>
        </w:tc>
        <w:tc>
          <w:tcPr>
            <w:tcW w:type="dxa" w:w="180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Категория</w:t>
            </w:r>
          </w:p>
        </w:tc>
        <w:tc>
          <w:tcPr>
            <w:tcW w:type="dxa" w:w="60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P</w:t>
            </w:r>
          </w:p>
        </w:tc>
        <w:tc>
          <w:tcPr>
            <w:tcW w:type="dxa" w:w="60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I</w:t>
            </w:r>
          </w:p>
        </w:tc>
        <w:tc>
          <w:tcPr>
            <w:tcW w:type="dxa" w:w="66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RE</w:t>
            </w:r>
          </w:p>
        </w:tc>
        <w:tc>
          <w:tcPr>
            <w:tcW w:type="dxa" w:w="126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Уровень</w:t>
            </w:r>
          </w:p>
        </w:tc>
        <w:tc>
          <w:tcPr>
            <w:tcW w:type="dxa" w:w="168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Владелец</w:t>
            </w:r>
          </w:p>
        </w:tc>
        <w:tc>
          <w:tcPr>
            <w:tcW w:type="dxa" w:w="132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Статус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222222"/>
                <w:sz w:val="17"/>
              </w:rPr>
              <w:t>R-03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Недоступность участника команды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Команда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0.5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9</w:t>
            </w:r>
          </w:p>
        </w:tc>
        <w:tc>
          <w:tcPr>
            <w:tcW w:type="dxa" w:w="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4.5</w:t>
            </w:r>
          </w:p>
        </w:tc>
        <w:tc>
          <w:tcPr>
            <w:tcW w:type="dxa" w:w="1260"/>
            <w:vAlign w:val="center"/>
            <w:shd w:fill="FCE4D6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Высокий</w:t>
            </w:r>
          </w:p>
        </w:tc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Project Manager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Открыт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222222"/>
                <w:sz w:val="17"/>
              </w:rPr>
              <w:t>R-05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Ошибки архитектуры и интеграции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Технический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0.5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9</w:t>
            </w:r>
          </w:p>
        </w:tc>
        <w:tc>
          <w:tcPr>
            <w:tcW w:type="dxa" w:w="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4.5</w:t>
            </w:r>
          </w:p>
        </w:tc>
        <w:tc>
          <w:tcPr>
            <w:tcW w:type="dxa" w:w="1260"/>
            <w:vAlign w:val="center"/>
            <w:shd w:fill="FCE4D6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Высокий</w:t>
            </w:r>
          </w:p>
        </w:tc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Architect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Открыт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222222"/>
                <w:sz w:val="17"/>
              </w:rPr>
              <w:t>R-06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Недостаточное тестирование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Качество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0.5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9</w:t>
            </w:r>
          </w:p>
        </w:tc>
        <w:tc>
          <w:tcPr>
            <w:tcW w:type="dxa" w:w="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4.5</w:t>
            </w:r>
          </w:p>
        </w:tc>
        <w:tc>
          <w:tcPr>
            <w:tcW w:type="dxa" w:w="1260"/>
            <w:vAlign w:val="center"/>
            <w:shd w:fill="FCE4D6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Высокий</w:t>
            </w:r>
          </w:p>
        </w:tc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Quality Assurance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Открыт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222222"/>
                <w:sz w:val="17"/>
              </w:rPr>
              <w:t>R-01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Изменение требований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Управление проектом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0.8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2.4</w:t>
            </w:r>
          </w:p>
        </w:tc>
        <w:tc>
          <w:tcPr>
            <w:tcW w:type="dxa" w:w="1260"/>
            <w:vAlign w:val="center"/>
            <w:shd w:fill="FCE4D6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Высокий</w:t>
            </w:r>
          </w:p>
        </w:tc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Project Manager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Открыт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222222"/>
                <w:sz w:val="17"/>
              </w:rPr>
              <w:t>R-02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Отставание от графика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Сроки и ресурсы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0.8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2.4</w:t>
            </w:r>
          </w:p>
        </w:tc>
        <w:tc>
          <w:tcPr>
            <w:tcW w:type="dxa" w:w="1260"/>
            <w:vAlign w:val="center"/>
            <w:shd w:fill="FCE4D6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Высокий</w:t>
            </w:r>
          </w:p>
        </w:tc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Project Manager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Открыт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222222"/>
                <w:sz w:val="17"/>
              </w:rPr>
              <w:t>R-07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Несанкционированный доступ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Информационная безопасность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0.2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9</w:t>
            </w:r>
          </w:p>
        </w:tc>
        <w:tc>
          <w:tcPr>
            <w:tcW w:type="dxa" w:w="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1.8</w:t>
            </w:r>
          </w:p>
        </w:tc>
        <w:tc>
          <w:tcPr>
            <w:tcW w:type="dxa" w:w="1260"/>
            <w:vAlign w:val="center"/>
            <w:shd w:fill="FFF2C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Средний</w:t>
            </w:r>
          </w:p>
        </w:tc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Architect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Открыт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222222"/>
                <w:sz w:val="17"/>
              </w:rPr>
              <w:t>R-08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Потеря или повреждение данных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Данные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0.2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9</w:t>
            </w:r>
          </w:p>
        </w:tc>
        <w:tc>
          <w:tcPr>
            <w:tcW w:type="dxa" w:w="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1.8</w:t>
            </w:r>
          </w:p>
        </w:tc>
        <w:tc>
          <w:tcPr>
            <w:tcW w:type="dxa" w:w="1260"/>
            <w:vAlign w:val="center"/>
            <w:shd w:fill="FFF2C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Средний</w:t>
            </w:r>
          </w:p>
        </w:tc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Architect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Открыт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222222"/>
                <w:sz w:val="17"/>
              </w:rPr>
              <w:t>R-04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Недоступность Helios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Инфраструктура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0.5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1.5</w:t>
            </w:r>
          </w:p>
        </w:tc>
        <w:tc>
          <w:tcPr>
            <w:tcW w:type="dxa" w:w="1260"/>
            <w:vAlign w:val="center"/>
            <w:shd w:fill="FFF2C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Средний</w:t>
            </w:r>
          </w:p>
        </w:tc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Architect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Открыт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222222"/>
                <w:sz w:val="17"/>
              </w:rPr>
              <w:t>R-09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Недостаточная производительность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Производительность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0.5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1.5</w:t>
            </w:r>
          </w:p>
        </w:tc>
        <w:tc>
          <w:tcPr>
            <w:tcW w:type="dxa" w:w="1260"/>
            <w:vAlign w:val="center"/>
            <w:shd w:fill="FFF2C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Средний</w:t>
            </w:r>
          </w:p>
        </w:tc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Architect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Открыт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222222"/>
                <w:sz w:val="17"/>
              </w:rPr>
              <w:t>R-10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Низкая дисциплина ввода данных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Внедрение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0.5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1.5</w:t>
            </w:r>
          </w:p>
        </w:tc>
        <w:tc>
          <w:tcPr>
            <w:tcW w:type="dxa" w:w="1260"/>
            <w:vAlign w:val="center"/>
            <w:shd w:fill="FFF2C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Средний</w:t>
            </w:r>
          </w:p>
        </w:tc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Analyst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Открыт</w:t>
            </w:r>
          </w:p>
        </w:tc>
      </w:tr>
    </w:tbl>
    <w:p>
      <w:pPr>
        <w:spacing w:before="120" w:after="0"/>
      </w:pPr>
      <w:r>
        <w:rPr>
          <w:rFonts w:ascii="Calibri" w:hAnsi="Calibri" w:eastAsia="Calibri"/>
          <w:i/>
          <w:color w:val="666666"/>
          <w:sz w:val="19"/>
        </w:rPr>
        <w:t>Примечание: таблица отсортирована по исходной экспозиции RE. Остаточные оценки приведены в подробном описании каждого риска.</w:t>
      </w:r>
    </w:p>
    <w:p>
      <w:pPr>
        <w:sectPr>
          <w:headerReference w:type="default" r:id="rId13"/>
          <w:footerReference w:type="default" r:id="rId14"/>
          <w:pgSz w:w="15840" w:h="12240" w:orient="landscape"/>
          <w:pgMar w:top="1152" w:right="1440" w:bottom="1152" w:left="1440" w:header="504" w:footer="504" w:gutter="0"/>
          <w:cols w:space="720"/>
          <w:docGrid w:linePitch="360"/>
        </w:sectPr>
      </w:pPr>
    </w:p>
    <w:p>
      <w:pPr>
        <w:pStyle w:val="Heading1"/>
      </w:pPr>
      <w:r>
        <w:t>Подробное описание рисков</w:t>
      </w:r>
    </w:p>
    <w:p>
      <w:pPr>
        <w:pStyle w:val="Heading2"/>
      </w:pPr>
      <w:r>
        <w:t>R-01: Изменение требований и расширение границ проекта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50"/>
        <w:gridCol w:w="3330"/>
        <w:gridCol w:w="1350"/>
        <w:gridCol w:w="3330"/>
      </w:tblGrid>
      <w:tr>
        <w:trPr>
          <w:cantSplit w:val="true"/>
        </w:trPr>
        <w:tc>
          <w:tcPr>
            <w:tcW w:type="dxa" w:w="13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Категория</w:t>
            </w:r>
          </w:p>
        </w:tc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Управление проектом</w:t>
            </w:r>
          </w:p>
        </w:tc>
        <w:tc>
          <w:tcPr>
            <w:tcW w:type="dxa" w:w="13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Владелец</w:t>
            </w:r>
          </w:p>
        </w:tc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Project Manager</w:t>
            </w:r>
          </w:p>
        </w:tc>
      </w:tr>
      <w:tr>
        <w:trPr>
          <w:cantSplit w:val="true"/>
        </w:trPr>
        <w:tc>
          <w:tcPr>
            <w:tcW w:type="dxa" w:w="13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Вероятность</w:t>
            </w:r>
          </w:p>
        </w:tc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Высокая (0.8)</w:t>
            </w:r>
          </w:p>
        </w:tc>
        <w:tc>
          <w:tcPr>
            <w:tcW w:type="dxa" w:w="13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Влияние</w:t>
            </w:r>
          </w:p>
        </w:tc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Среднее (3)</w:t>
            </w:r>
          </w:p>
        </w:tc>
      </w:tr>
      <w:tr>
        <w:trPr>
          <w:cantSplit w:val="true"/>
        </w:trPr>
        <w:tc>
          <w:tcPr>
            <w:tcW w:type="dxa" w:w="13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RE</w:t>
            </w:r>
          </w:p>
        </w:tc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2.4</w:t>
            </w:r>
          </w:p>
        </w:tc>
        <w:tc>
          <w:tcPr>
            <w:tcW w:type="dxa" w:w="13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Уровень</w:t>
            </w:r>
          </w:p>
        </w:tc>
        <w:tc>
          <w:tcPr>
            <w:tcW w:type="dxa" w:w="3330"/>
            <w:vAlign w:val="center"/>
            <w:shd w:fill="FCE4D6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Высокий</w:t>
            </w:r>
          </w:p>
        </w:tc>
      </w:tr>
      <w:tr>
        <w:trPr>
          <w:cantSplit w:val="true"/>
        </w:trPr>
        <w:tc>
          <w:tcPr>
            <w:tcW w:type="dxa" w:w="13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Статус</w:t>
            </w:r>
          </w:p>
        </w:tc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Открыт</w:t>
            </w:r>
          </w:p>
        </w:tc>
        <w:tc>
          <w:tcPr>
            <w:tcW w:type="dxa" w:w="13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Пересмотр</w:t>
            </w:r>
          </w:p>
        </w:tc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Конец каждой итерации</w:t>
            </w:r>
          </w:p>
        </w:tc>
      </w:tr>
    </w:tbl>
    <w:p>
      <w:pPr>
        <w:pStyle w:val="Heading3"/>
      </w:pPr>
      <w:r>
        <w:t>Описание и влияние</w:t>
      </w:r>
    </w:p>
    <w:p>
      <w:pPr>
        <w:spacing w:after="60" w:line="259" w:lineRule="auto"/>
      </w:pPr>
      <w:r>
        <w:rPr>
          <w:rFonts w:ascii="Calibri" w:hAnsi="Calibri" w:eastAsia="Calibri"/>
          <w:color w:val="222222"/>
          <w:sz w:val="20"/>
        </w:rPr>
        <w:t>После фиксации Vision и SRS заказчик может запросить новые функции или изменить правила ключевых сценариев. Изменения, затрагивающие UC3, UC4, UC7 или UC11, способны изменить транзакционные границы, модель состояний и план итераций.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Сдвиг сроков MVP и повторная работа по требованиям, архитектуре и тестам.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Рост трудозатрат сверх базовой линии 242 человеко-часа из SDP.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Снижение качества при попытке включить новый объём без перепланирования.</w:t>
      </w:r>
    </w:p>
    <w:p>
      <w:pPr>
        <w:pStyle w:val="Heading3"/>
      </w:pPr>
      <w:r>
        <w:t>Индикаторы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00"/>
        <w:gridCol w:w="1740"/>
        <w:gridCol w:w="1440"/>
        <w:gridCol w:w="1440"/>
        <w:gridCol w:w="1440"/>
      </w:tblGrid>
      <w:tr>
        <w:trPr>
          <w:tblHeader w:val="true"/>
        </w:trPr>
        <w:tc>
          <w:tcPr>
            <w:tcW w:type="dxa" w:w="330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Метрика</w:t>
            </w:r>
          </w:p>
        </w:tc>
        <w:tc>
          <w:tcPr>
            <w:tcW w:type="dxa" w:w="174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Источник / частота</w:t>
            </w:r>
          </w:p>
        </w:tc>
        <w:tc>
          <w:tcPr>
            <w:tcW w:type="dxa" w:w="1440"/>
            <w:vAlign w:val="center"/>
            <w:shd w:fill="E2F0D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Зелёная зона</w:t>
            </w:r>
          </w:p>
        </w:tc>
        <w:tc>
          <w:tcPr>
            <w:tcW w:type="dxa" w:w="1440"/>
            <w:vAlign w:val="center"/>
            <w:shd w:fill="FFF2C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Жёлтая зона</w:t>
            </w:r>
          </w:p>
        </w:tc>
        <w:tc>
          <w:tcPr>
            <w:tcW w:type="dxa" w:w="1440"/>
            <w:vAlign w:val="center"/>
            <w:shd w:fill="FCE4D6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Красная зона</w:t>
            </w:r>
          </w:p>
        </w:tc>
      </w:tr>
      <w:tr>
        <w:trPr>
          <w:cantSplit w:val="true"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Одобренные Change Requests после базовой версии SRS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Git / конец итерации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0-1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2-3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&gt; 3</w:t>
            </w:r>
          </w:p>
        </w:tc>
      </w:tr>
      <w:tr>
        <w:trPr>
          <w:cantSplit w:val="true"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Дополнительная оценка работ относительно плана итерации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Tracker / еженедельно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&lt;= 10%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11-20%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&gt; 20%</w:t>
            </w:r>
          </w:p>
        </w:tc>
      </w:tr>
    </w:tbl>
    <w:p>
      <w:pPr>
        <w:pStyle w:val="Heading3"/>
      </w:pPr>
      <w:r>
        <w:t>Стратегия смягчения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Фиксировать границы MVP в Vision и SRS; каждое изменение оформлять отдельным Change Request.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До одобрения изменения оценивать влияние на требования, архитектуру, тесты, сроки и документацию.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Демонстрировать прототипы до начала дорогой реализации и поддерживать приоритеты Must/Should/Could.</w:t>
      </w:r>
    </w:p>
    <w:p>
      <w:pPr>
        <w:pStyle w:val="Heading3"/>
      </w:pPr>
      <w:r>
        <w:t>План реагирования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Project Manager проводит анализ критического пути и готовит варианты: замена функции, перенос или исключение из MVP.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Изменения, не относящиеся к Must have, переносятся в следующую версию после согласования с заказчиком.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Обновляются SRS, SDP, Use Case и календарный план; решение фиксируется в истории изменений.</w:t>
      </w:r>
    </w:p>
    <w:p>
      <w:pPr>
        <w:pStyle w:val="Heading3"/>
      </w:pPr>
      <w:r>
        <w:t>Остаточный риск и трассировка</w:t>
      </w:r>
    </w:p>
    <w:p>
      <w:pPr>
        <w:spacing w:after="60" w:line="259" w:lineRule="auto"/>
      </w:pPr>
      <w:r>
        <w:rPr>
          <w:rFonts w:ascii="Calibri" w:hAnsi="Calibri" w:eastAsia="Calibri"/>
          <w:b/>
          <w:color w:val="222222"/>
          <w:sz w:val="20"/>
        </w:rPr>
        <w:t>Остаточный риск:</w:t>
      </w:r>
      <w:r>
        <w:rPr>
          <w:rFonts w:ascii="Calibri" w:hAnsi="Calibri" w:eastAsia="Calibri"/>
          <w:color w:val="222222"/>
          <w:sz w:val="20"/>
        </w:rPr>
        <w:t xml:space="preserve"> Средний, RE = 1.5 (средняя вероятность 0.5 * среднее влияние 3).</w:t>
      </w:r>
    </w:p>
    <w:p>
      <w:pPr>
        <w:spacing w:after="60" w:line="259" w:lineRule="auto"/>
      </w:pPr>
      <w:r>
        <w:rPr>
          <w:rFonts w:ascii="Calibri" w:hAnsi="Calibri" w:eastAsia="Calibri"/>
          <w:b/>
          <w:color w:val="222222"/>
          <w:sz w:val="20"/>
        </w:rPr>
        <w:t>Связанные документы и требования:</w:t>
      </w:r>
      <w:r>
        <w:rPr>
          <w:rFonts w:ascii="Calibri" w:hAnsi="Calibri" w:eastAsia="Calibri"/>
          <w:color w:val="222222"/>
          <w:sz w:val="20"/>
        </w:rPr>
        <w:t xml:space="preserve"> Vision; SRS; SDP, разделы 4.3.1 и 4.3.2.</w:t>
      </w:r>
    </w:p>
    <w:p>
      <w:pPr>
        <w:sectPr>
          <w:headerReference w:type="default" r:id="rId15"/>
          <w:footerReference w:type="default" r:id="rId16"/>
          <w:pgSz w:w="12240" w:h="15840"/>
          <w:pgMar w:top="936" w:right="1440" w:bottom="936" w:left="1440" w:header="504" w:footer="504" w:gutter="0"/>
          <w:cols w:space="720"/>
          <w:docGrid w:linePitch="360"/>
        </w:sectPr>
      </w:pPr>
    </w:p>
    <w:p>
      <w:pPr>
        <w:pStyle w:val="Heading2"/>
      </w:pPr>
      <w:r>
        <w:t>R-02: Отставание от графика из-за совмещения разработки с учёбой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50"/>
        <w:gridCol w:w="3330"/>
        <w:gridCol w:w="1350"/>
        <w:gridCol w:w="3330"/>
      </w:tblGrid>
      <w:tr>
        <w:trPr>
          <w:cantSplit w:val="true"/>
        </w:trPr>
        <w:tc>
          <w:tcPr>
            <w:tcW w:type="dxa" w:w="13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Категория</w:t>
            </w:r>
          </w:p>
        </w:tc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Сроки и ресурсы</w:t>
            </w:r>
          </w:p>
        </w:tc>
        <w:tc>
          <w:tcPr>
            <w:tcW w:type="dxa" w:w="13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Владелец</w:t>
            </w:r>
          </w:p>
        </w:tc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Project Manager</w:t>
            </w:r>
          </w:p>
        </w:tc>
      </w:tr>
      <w:tr>
        <w:trPr>
          <w:cantSplit w:val="true"/>
        </w:trPr>
        <w:tc>
          <w:tcPr>
            <w:tcW w:type="dxa" w:w="13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Вероятность</w:t>
            </w:r>
          </w:p>
        </w:tc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Высокая (0.8)</w:t>
            </w:r>
          </w:p>
        </w:tc>
        <w:tc>
          <w:tcPr>
            <w:tcW w:type="dxa" w:w="13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Влияние</w:t>
            </w:r>
          </w:p>
        </w:tc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Среднее (3)</w:t>
            </w:r>
          </w:p>
        </w:tc>
      </w:tr>
      <w:tr>
        <w:trPr>
          <w:cantSplit w:val="true"/>
        </w:trPr>
        <w:tc>
          <w:tcPr>
            <w:tcW w:type="dxa" w:w="13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RE</w:t>
            </w:r>
          </w:p>
        </w:tc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2.4</w:t>
            </w:r>
          </w:p>
        </w:tc>
        <w:tc>
          <w:tcPr>
            <w:tcW w:type="dxa" w:w="13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Уровень</w:t>
            </w:r>
          </w:p>
        </w:tc>
        <w:tc>
          <w:tcPr>
            <w:tcW w:type="dxa" w:w="3330"/>
            <w:vAlign w:val="center"/>
            <w:shd w:fill="FCE4D6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Высокий</w:t>
            </w:r>
          </w:p>
        </w:tc>
      </w:tr>
      <w:tr>
        <w:trPr>
          <w:cantSplit w:val="true"/>
        </w:trPr>
        <w:tc>
          <w:tcPr>
            <w:tcW w:type="dxa" w:w="13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Статус</w:t>
            </w:r>
          </w:p>
        </w:tc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Открыт</w:t>
            </w:r>
          </w:p>
        </w:tc>
        <w:tc>
          <w:tcPr>
            <w:tcW w:type="dxa" w:w="13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Пересмотр</w:t>
            </w:r>
          </w:p>
        </w:tc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Конец каждой итерации</w:t>
            </w:r>
          </w:p>
        </w:tc>
      </w:tr>
    </w:tbl>
    <w:p>
      <w:pPr>
        <w:pStyle w:val="Heading3"/>
      </w:pPr>
      <w:r>
        <w:t>Описание и влияние</w:t>
      </w:r>
    </w:p>
    <w:p>
      <w:pPr>
        <w:spacing w:after="60" w:line="259" w:lineRule="auto"/>
      </w:pPr>
      <w:r>
        <w:rPr>
          <w:rFonts w:ascii="Calibri" w:hAnsi="Calibri" w:eastAsia="Calibri"/>
          <w:color w:val="222222"/>
          <w:sz w:val="20"/>
        </w:rPr>
        <w:t>Проект выполняется двумя участниками параллельно с учебной нагрузкой. Сессия, другие дисциплины и непредвиденные обстоятельства могут уменьшить доступное время и нарушить календарно-ресурсный план итераций.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Перенос вех Construction или Transition и несвоевременная готовность MVP.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Сжатие времени на интеграционное и нагрузочное тестирование.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Накопление незавершённых задач и рост числа дефектов из-за спешки.</w:t>
      </w:r>
    </w:p>
    <w:p>
      <w:pPr>
        <w:pStyle w:val="Heading3"/>
      </w:pPr>
      <w:r>
        <w:t>Индикаторы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00"/>
        <w:gridCol w:w="1740"/>
        <w:gridCol w:w="1440"/>
        <w:gridCol w:w="1440"/>
        <w:gridCol w:w="1440"/>
      </w:tblGrid>
      <w:tr>
        <w:trPr>
          <w:tblHeader w:val="true"/>
        </w:trPr>
        <w:tc>
          <w:tcPr>
            <w:tcW w:type="dxa" w:w="330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Метрика</w:t>
            </w:r>
          </w:p>
        </w:tc>
        <w:tc>
          <w:tcPr>
            <w:tcW w:type="dxa" w:w="174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Источник / частота</w:t>
            </w:r>
          </w:p>
        </w:tc>
        <w:tc>
          <w:tcPr>
            <w:tcW w:type="dxa" w:w="1440"/>
            <w:vAlign w:val="center"/>
            <w:shd w:fill="E2F0D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Зелёная зона</w:t>
            </w:r>
          </w:p>
        </w:tc>
        <w:tc>
          <w:tcPr>
            <w:tcW w:type="dxa" w:w="1440"/>
            <w:vAlign w:val="center"/>
            <w:shd w:fill="FFF2C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Жёлтая зона</w:t>
            </w:r>
          </w:p>
        </w:tc>
        <w:tc>
          <w:tcPr>
            <w:tcW w:type="dxa" w:w="1440"/>
            <w:vAlign w:val="center"/>
            <w:shd w:fill="FCE4D6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Красная зона</w:t>
            </w:r>
          </w:p>
        </w:tc>
      </w:tr>
      <w:tr>
        <w:trPr>
          <w:cantSplit w:val="true"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Невыполненный объём текущей итерации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Tracker / еженедельно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&lt;= 10%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11-20%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&gt; 20%</w:t>
            </w:r>
          </w:p>
        </w:tc>
      </w:tr>
      <w:tr>
        <w:trPr>
          <w:cantSplit w:val="true"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Отклонение критического пути от плана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Гант / конец недели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0 дней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1-3 дня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&gt; 3 дней</w:t>
            </w:r>
          </w:p>
        </w:tc>
      </w:tr>
    </w:tbl>
    <w:p>
      <w:pPr>
        <w:pStyle w:val="Heading3"/>
      </w:pPr>
      <w:r>
        <w:t>Стратегия смягчения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Планировать загрузку по фактическим часам и сверять её с базовой линией SDP в конце каждой недели.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Сначала выполнять Must have и архитектурно значимые UC3, UC4, UC7 и UC11.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Сохранять резерв времени на интеграцию, исправление дефектов и финальную документацию.</w:t>
      </w:r>
    </w:p>
    <w:p>
      <w:pPr>
        <w:pStyle w:val="Heading3"/>
      </w:pPr>
      <w:r>
        <w:t>План реагирования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При отклонении более 20% Project Manager перепланирует итерацию и уведомляет заказчика.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Could have и часть Should have переносятся без сокращения обязательных тестов.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Критические работы перераспределяются между участниками с учётом их текущей доступности.</w:t>
      </w:r>
    </w:p>
    <w:p>
      <w:pPr>
        <w:pStyle w:val="Heading3"/>
      </w:pPr>
      <w:r>
        <w:t>Остаточный риск и трассировка</w:t>
      </w:r>
    </w:p>
    <w:p>
      <w:pPr>
        <w:spacing w:after="60" w:line="259" w:lineRule="auto"/>
      </w:pPr>
      <w:r>
        <w:rPr>
          <w:rFonts w:ascii="Calibri" w:hAnsi="Calibri" w:eastAsia="Calibri"/>
          <w:b/>
          <w:color w:val="222222"/>
          <w:sz w:val="20"/>
        </w:rPr>
        <w:t>Остаточный риск:</w:t>
      </w:r>
      <w:r>
        <w:rPr>
          <w:rFonts w:ascii="Calibri" w:hAnsi="Calibri" w:eastAsia="Calibri"/>
          <w:color w:val="222222"/>
          <w:sz w:val="20"/>
        </w:rPr>
        <w:t xml:space="preserve"> Средний, RE = 1.5 (средняя вероятность 0.5 * среднее влияние 3).</w:t>
      </w:r>
    </w:p>
    <w:p>
      <w:pPr>
        <w:spacing w:after="60" w:line="259" w:lineRule="auto"/>
      </w:pPr>
      <w:r>
        <w:rPr>
          <w:rFonts w:ascii="Calibri" w:hAnsi="Calibri" w:eastAsia="Calibri"/>
          <w:b/>
          <w:color w:val="222222"/>
          <w:sz w:val="20"/>
        </w:rPr>
        <w:t>Связанные документы и требования:</w:t>
      </w:r>
      <w:r>
        <w:rPr>
          <w:rFonts w:ascii="Calibri" w:hAnsi="Calibri" w:eastAsia="Calibri"/>
          <w:color w:val="222222"/>
          <w:sz w:val="20"/>
        </w:rPr>
        <w:t xml:space="preserve"> SDP, разделы 4.2.4, 4.3.2 и календарный план итераций.</w:t>
      </w:r>
    </w:p>
    <w:p>
      <w:pPr>
        <w:sectPr>
          <w:headerReference w:type="default" r:id="rId17"/>
          <w:footerReference w:type="default" r:id="rId18"/>
          <w:pgSz w:w="12240" w:h="15840"/>
          <w:pgMar w:top="936" w:right="1440" w:bottom="936" w:left="1440" w:header="504" w:footer="504" w:gutter="0"/>
          <w:cols w:space="720"/>
          <w:docGrid w:linePitch="360"/>
        </w:sectPr>
      </w:pPr>
    </w:p>
    <w:p>
      <w:pPr>
        <w:pStyle w:val="Heading2"/>
      </w:pPr>
      <w:r>
        <w:t>R-03: Недоступность участника команды и концентрация знаний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50"/>
        <w:gridCol w:w="3330"/>
        <w:gridCol w:w="1350"/>
        <w:gridCol w:w="3330"/>
      </w:tblGrid>
      <w:tr>
        <w:trPr>
          <w:cantSplit w:val="true"/>
        </w:trPr>
        <w:tc>
          <w:tcPr>
            <w:tcW w:type="dxa" w:w="13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Категория</w:t>
            </w:r>
          </w:p>
        </w:tc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Команда</w:t>
            </w:r>
          </w:p>
        </w:tc>
        <w:tc>
          <w:tcPr>
            <w:tcW w:type="dxa" w:w="13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Владелец</w:t>
            </w:r>
          </w:p>
        </w:tc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Project Manager</w:t>
            </w:r>
          </w:p>
        </w:tc>
      </w:tr>
      <w:tr>
        <w:trPr>
          <w:cantSplit w:val="true"/>
        </w:trPr>
        <w:tc>
          <w:tcPr>
            <w:tcW w:type="dxa" w:w="13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Вероятность</w:t>
            </w:r>
          </w:p>
        </w:tc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Средняя (0.5)</w:t>
            </w:r>
          </w:p>
        </w:tc>
        <w:tc>
          <w:tcPr>
            <w:tcW w:type="dxa" w:w="13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Влияние</w:t>
            </w:r>
          </w:p>
        </w:tc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Высокое (9)</w:t>
            </w:r>
          </w:p>
        </w:tc>
      </w:tr>
      <w:tr>
        <w:trPr>
          <w:cantSplit w:val="true"/>
        </w:trPr>
        <w:tc>
          <w:tcPr>
            <w:tcW w:type="dxa" w:w="13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RE</w:t>
            </w:r>
          </w:p>
        </w:tc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4.5</w:t>
            </w:r>
          </w:p>
        </w:tc>
        <w:tc>
          <w:tcPr>
            <w:tcW w:type="dxa" w:w="13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Уровень</w:t>
            </w:r>
          </w:p>
        </w:tc>
        <w:tc>
          <w:tcPr>
            <w:tcW w:type="dxa" w:w="3330"/>
            <w:vAlign w:val="center"/>
            <w:shd w:fill="FCE4D6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Высокий</w:t>
            </w:r>
          </w:p>
        </w:tc>
      </w:tr>
      <w:tr>
        <w:trPr>
          <w:cantSplit w:val="true"/>
        </w:trPr>
        <w:tc>
          <w:tcPr>
            <w:tcW w:type="dxa" w:w="13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Статус</w:t>
            </w:r>
          </w:p>
        </w:tc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Открыт</w:t>
            </w:r>
          </w:p>
        </w:tc>
        <w:tc>
          <w:tcPr>
            <w:tcW w:type="dxa" w:w="13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Пересмотр</w:t>
            </w:r>
          </w:p>
        </w:tc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Конец каждой итерации</w:t>
            </w:r>
          </w:p>
        </w:tc>
      </w:tr>
    </w:tbl>
    <w:p>
      <w:pPr>
        <w:pStyle w:val="Heading3"/>
      </w:pPr>
      <w:r>
        <w:t>Описание и влияние</w:t>
      </w:r>
    </w:p>
    <w:p>
      <w:pPr>
        <w:spacing w:after="60" w:line="259" w:lineRule="auto"/>
      </w:pPr>
      <w:r>
        <w:rPr>
          <w:rFonts w:ascii="Calibri" w:hAnsi="Calibri" w:eastAsia="Calibri"/>
          <w:color w:val="222222"/>
          <w:sz w:val="20"/>
        </w:rPr>
        <w:t>В проекте два участника, а роли Project Manager и Architect закреплены за одним человеком, Quality Assurance - за другим. Болезнь, экзамены или прекращение участия могут заблокировать критические решения и передачу результата.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Остановка работ по архитектуре, тестированию или развёртыванию.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Потеря знаний о модуле, если решения не задокументированы и не прошли совместное ревью.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Срыв итерации из-за отсутствия резервного исполнителя.</w:t>
      </w:r>
    </w:p>
    <w:p>
      <w:pPr>
        <w:pStyle w:val="Heading3"/>
      </w:pPr>
      <w:r>
        <w:t>Индикаторы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00"/>
        <w:gridCol w:w="1740"/>
        <w:gridCol w:w="1440"/>
        <w:gridCol w:w="1440"/>
        <w:gridCol w:w="1440"/>
      </w:tblGrid>
      <w:tr>
        <w:trPr>
          <w:tblHeader w:val="true"/>
        </w:trPr>
        <w:tc>
          <w:tcPr>
            <w:tcW w:type="dxa" w:w="330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Метрика</w:t>
            </w:r>
          </w:p>
        </w:tc>
        <w:tc>
          <w:tcPr>
            <w:tcW w:type="dxa" w:w="174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Источник / частота</w:t>
            </w:r>
          </w:p>
        </w:tc>
        <w:tc>
          <w:tcPr>
            <w:tcW w:type="dxa" w:w="1440"/>
            <w:vAlign w:val="center"/>
            <w:shd w:fill="E2F0D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Зелёная зона</w:t>
            </w:r>
          </w:p>
        </w:tc>
        <w:tc>
          <w:tcPr>
            <w:tcW w:type="dxa" w:w="1440"/>
            <w:vAlign w:val="center"/>
            <w:shd w:fill="FFF2C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Жёлтая зона</w:t>
            </w:r>
          </w:p>
        </w:tc>
        <w:tc>
          <w:tcPr>
            <w:tcW w:type="dxa" w:w="1440"/>
            <w:vAlign w:val="center"/>
            <w:shd w:fill="FCE4D6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Красная зона</w:t>
            </w:r>
          </w:p>
        </w:tc>
      </w:tr>
      <w:tr>
        <w:trPr>
          <w:cantSplit w:val="true"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Фактическая доступность участника относительно плана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Tracker / еженедельно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&gt;= 90%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70-89%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&lt; 70%</w:t>
            </w:r>
          </w:p>
        </w:tc>
      </w:tr>
      <w:tr>
        <w:trPr>
          <w:cantSplit w:val="true"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Критические компоненты без документации или второго ревьюера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Git / конец итерации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&gt;= 2</w:t>
            </w:r>
          </w:p>
        </w:tc>
      </w:tr>
    </w:tbl>
    <w:p>
      <w:pPr>
        <w:pStyle w:val="Heading3"/>
      </w:pPr>
      <w:r>
        <w:t>Стратегия смягчения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Проводить взаимное ревью изменений и совместно разбирать архитектурно значимые решения.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Хранить актуальные инструкции по сборке, развёртыванию, структуре БД и критическим сценариям в репозитории.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Распределять задачи так, чтобы оба участника работали с серверной и клиентской частями.</w:t>
      </w:r>
    </w:p>
    <w:p>
      <w:pPr>
        <w:pStyle w:val="Heading3"/>
      </w:pPr>
      <w:r>
        <w:t>План реагирования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Зафиксировать состояние кода, документации, задач и открытых дефектов на момент недоступности участника.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Перераспределить критические работы и временно заморозить второстепенные функции.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Пересчитать сроки, уведомить заказчика и при необходимости согласовать уменьшение объёма MVP.</w:t>
      </w:r>
    </w:p>
    <w:p>
      <w:pPr>
        <w:pStyle w:val="Heading3"/>
      </w:pPr>
      <w:r>
        <w:t>Остаточный риск и трассировка</w:t>
      </w:r>
    </w:p>
    <w:p>
      <w:pPr>
        <w:spacing w:after="60" w:line="259" w:lineRule="auto"/>
      </w:pPr>
      <w:r>
        <w:rPr>
          <w:rFonts w:ascii="Calibri" w:hAnsi="Calibri" w:eastAsia="Calibri"/>
          <w:b/>
          <w:color w:val="222222"/>
          <w:sz w:val="20"/>
        </w:rPr>
        <w:t>Остаточный риск:</w:t>
      </w:r>
      <w:r>
        <w:rPr>
          <w:rFonts w:ascii="Calibri" w:hAnsi="Calibri" w:eastAsia="Calibri"/>
          <w:color w:val="222222"/>
          <w:sz w:val="20"/>
        </w:rPr>
        <w:t xml:space="preserve"> Средний, RE = 1.8 (низкая вероятность 0.2 * высокое влияние 9).</w:t>
      </w:r>
    </w:p>
    <w:p>
      <w:pPr>
        <w:spacing w:after="60" w:line="259" w:lineRule="auto"/>
      </w:pPr>
      <w:r>
        <w:rPr>
          <w:rFonts w:ascii="Calibri" w:hAnsi="Calibri" w:eastAsia="Calibri"/>
          <w:b/>
          <w:color w:val="222222"/>
          <w:sz w:val="20"/>
        </w:rPr>
        <w:t>Связанные документы и требования:</w:t>
      </w:r>
      <w:r>
        <w:rPr>
          <w:rFonts w:ascii="Calibri" w:hAnsi="Calibri" w:eastAsia="Calibri"/>
          <w:color w:val="222222"/>
          <w:sz w:val="20"/>
        </w:rPr>
        <w:t xml:space="preserve"> SDP, разделы 4.2.4.3 и 4.2.5.1-4.2.5.2.</w:t>
      </w:r>
    </w:p>
    <w:p>
      <w:pPr>
        <w:sectPr>
          <w:headerReference w:type="default" r:id="rId19"/>
          <w:footerReference w:type="default" r:id="rId20"/>
          <w:pgSz w:w="12240" w:h="15840"/>
          <w:pgMar w:top="936" w:right="1440" w:bottom="936" w:left="1440" w:header="504" w:footer="504" w:gutter="0"/>
          <w:cols w:space="720"/>
          <w:docGrid w:linePitch="360"/>
        </w:sectPr>
      </w:pPr>
    </w:p>
    <w:p>
      <w:pPr>
        <w:pStyle w:val="Heading2"/>
      </w:pPr>
      <w:r>
        <w:t>R-04: Недоступность Helios или среды развёртывания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50"/>
        <w:gridCol w:w="3330"/>
        <w:gridCol w:w="1350"/>
        <w:gridCol w:w="3330"/>
      </w:tblGrid>
      <w:tr>
        <w:trPr>
          <w:cantSplit w:val="true"/>
        </w:trPr>
        <w:tc>
          <w:tcPr>
            <w:tcW w:type="dxa" w:w="13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Категория</w:t>
            </w:r>
          </w:p>
        </w:tc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Инфраструктура</w:t>
            </w:r>
          </w:p>
        </w:tc>
        <w:tc>
          <w:tcPr>
            <w:tcW w:type="dxa" w:w="13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Владелец</w:t>
            </w:r>
          </w:p>
        </w:tc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Architect</w:t>
            </w:r>
          </w:p>
        </w:tc>
      </w:tr>
      <w:tr>
        <w:trPr>
          <w:cantSplit w:val="true"/>
        </w:trPr>
        <w:tc>
          <w:tcPr>
            <w:tcW w:type="dxa" w:w="13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Вероятность</w:t>
            </w:r>
          </w:p>
        </w:tc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Средняя (0.5)</w:t>
            </w:r>
          </w:p>
        </w:tc>
        <w:tc>
          <w:tcPr>
            <w:tcW w:type="dxa" w:w="13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Влияние</w:t>
            </w:r>
          </w:p>
        </w:tc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Среднее (3)</w:t>
            </w:r>
          </w:p>
        </w:tc>
      </w:tr>
      <w:tr>
        <w:trPr>
          <w:cantSplit w:val="true"/>
        </w:trPr>
        <w:tc>
          <w:tcPr>
            <w:tcW w:type="dxa" w:w="13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RE</w:t>
            </w:r>
          </w:p>
        </w:tc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1.5</w:t>
            </w:r>
          </w:p>
        </w:tc>
        <w:tc>
          <w:tcPr>
            <w:tcW w:type="dxa" w:w="13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Уровень</w:t>
            </w:r>
          </w:p>
        </w:tc>
        <w:tc>
          <w:tcPr>
            <w:tcW w:type="dxa" w:w="3330"/>
            <w:vAlign w:val="center"/>
            <w:shd w:fill="FFF2C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Средний</w:t>
            </w:r>
          </w:p>
        </w:tc>
      </w:tr>
      <w:tr>
        <w:trPr>
          <w:cantSplit w:val="true"/>
        </w:trPr>
        <w:tc>
          <w:tcPr>
            <w:tcW w:type="dxa" w:w="13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Статус</w:t>
            </w:r>
          </w:p>
        </w:tc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Открыт</w:t>
            </w:r>
          </w:p>
        </w:tc>
        <w:tc>
          <w:tcPr>
            <w:tcW w:type="dxa" w:w="13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Пересмотр</w:t>
            </w:r>
          </w:p>
        </w:tc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Конец каждой итерации</w:t>
            </w:r>
          </w:p>
        </w:tc>
      </w:tr>
    </w:tbl>
    <w:p>
      <w:pPr>
        <w:pStyle w:val="Heading3"/>
      </w:pPr>
      <w:r>
        <w:t>Описание и влияние</w:t>
      </w:r>
    </w:p>
    <w:p>
      <w:pPr>
        <w:spacing w:after="60" w:line="259" w:lineRule="auto"/>
      </w:pPr>
      <w:r>
        <w:rPr>
          <w:rFonts w:ascii="Calibri" w:hAnsi="Calibri" w:eastAsia="Calibri"/>
          <w:color w:val="222222"/>
          <w:sz w:val="20"/>
        </w:rPr>
        <w:t>Серверное приложение и PostgreSQL разворачиваются в учебном контуре Helios. Технические работы, перегрузка или сетевой сбой могут сделать систему и тестовый стенд недоступными.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Невозможность выполнить интеграционные тесты, демонстрацию или приёмку.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Нарушение NFR-07 по доступности и задержка итерации E2 или Transition.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Риск потери неподтверждённых изменений при некорректном завершении инфраструктуры.</w:t>
      </w:r>
    </w:p>
    <w:p>
      <w:pPr>
        <w:pStyle w:val="Heading3"/>
      </w:pPr>
      <w:r>
        <w:t>Индикаторы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00"/>
        <w:gridCol w:w="1740"/>
        <w:gridCol w:w="1440"/>
        <w:gridCol w:w="1440"/>
        <w:gridCol w:w="1440"/>
      </w:tblGrid>
      <w:tr>
        <w:trPr>
          <w:tblHeader w:val="true"/>
        </w:trPr>
        <w:tc>
          <w:tcPr>
            <w:tcW w:type="dxa" w:w="330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Метрика</w:t>
            </w:r>
          </w:p>
        </w:tc>
        <w:tc>
          <w:tcPr>
            <w:tcW w:type="dxa" w:w="174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Источник / частота</w:t>
            </w:r>
          </w:p>
        </w:tc>
        <w:tc>
          <w:tcPr>
            <w:tcW w:type="dxa" w:w="1440"/>
            <w:vAlign w:val="center"/>
            <w:shd w:fill="E2F0D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Зелёная зона</w:t>
            </w:r>
          </w:p>
        </w:tc>
        <w:tc>
          <w:tcPr>
            <w:tcW w:type="dxa" w:w="1440"/>
            <w:vAlign w:val="center"/>
            <w:shd w:fill="FFF2C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Жёлтая зона</w:t>
            </w:r>
          </w:p>
        </w:tc>
        <w:tc>
          <w:tcPr>
            <w:tcW w:type="dxa" w:w="1440"/>
            <w:vAlign w:val="center"/>
            <w:shd w:fill="FCE4D6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Красная зона</w:t>
            </w:r>
          </w:p>
        </w:tc>
      </w:tr>
      <w:tr>
        <w:trPr>
          <w:cantSplit w:val="true"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Доступность API в календарном месяце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Health check / ежедневно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&gt;= 99%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95-98.9%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&lt; 95%</w:t>
            </w:r>
          </w:p>
        </w:tc>
      </w:tr>
      <w:tr>
        <w:trPr>
          <w:cantSplit w:val="true"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Непрерывная недоступность стенда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Мониторинг / по событию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&lt; 15 мин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15-60 мин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&gt; 60 мин</w:t>
            </w:r>
          </w:p>
        </w:tc>
      </w:tr>
    </w:tbl>
    <w:p>
      <w:pPr>
        <w:pStyle w:val="Heading3"/>
      </w:pPr>
      <w:r>
        <w:t>Стратегия смягчения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Настроить health-check, журналирование и воспроизводимые скрипты развёртывания.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Хранить исходный код, конфигурацию и резервные копии БД отдельно от Helios.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До этапа Transition провести пробное восстановление на разрешённой резервной среде.</w:t>
      </w:r>
    </w:p>
    <w:p>
      <w:pPr>
        <w:pStyle w:val="Heading3"/>
      </w:pPr>
      <w:r>
        <w:t>План реагирования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Сообщить команде и заказчику о недоступности и зафиксировать время начала инцидента.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Продолжить автономные работы, не требующие стенда; не использовать несанкционированные публичные туннели.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После восстановления проверить целостность БД, журналы и пройти smoke-тест критических сценариев.</w:t>
      </w:r>
    </w:p>
    <w:p>
      <w:pPr>
        <w:pStyle w:val="Heading3"/>
      </w:pPr>
      <w:r>
        <w:t>Остаточный риск и трассировка</w:t>
      </w:r>
    </w:p>
    <w:p>
      <w:pPr>
        <w:spacing w:after="60" w:line="259" w:lineRule="auto"/>
      </w:pPr>
      <w:r>
        <w:rPr>
          <w:rFonts w:ascii="Calibri" w:hAnsi="Calibri" w:eastAsia="Calibri"/>
          <w:b/>
          <w:color w:val="222222"/>
          <w:sz w:val="20"/>
        </w:rPr>
        <w:t>Остаточный риск:</w:t>
      </w:r>
      <w:r>
        <w:rPr>
          <w:rFonts w:ascii="Calibri" w:hAnsi="Calibri" w:eastAsia="Calibri"/>
          <w:color w:val="222222"/>
          <w:sz w:val="20"/>
        </w:rPr>
        <w:t xml:space="preserve"> Низкий, RE = 0.6 (низкая вероятность 0.2 * среднее влияние 3).</w:t>
      </w:r>
    </w:p>
    <w:p>
      <w:pPr>
        <w:spacing w:after="60" w:line="259" w:lineRule="auto"/>
      </w:pPr>
      <w:r>
        <w:rPr>
          <w:rFonts w:ascii="Calibri" w:hAnsi="Calibri" w:eastAsia="Calibri"/>
          <w:b/>
          <w:color w:val="222222"/>
          <w:sz w:val="20"/>
        </w:rPr>
        <w:t>Связанные документы и требования:</w:t>
      </w:r>
      <w:r>
        <w:rPr>
          <w:rFonts w:ascii="Calibri" w:hAnsi="Calibri" w:eastAsia="Calibri"/>
          <w:color w:val="222222"/>
          <w:sz w:val="20"/>
        </w:rPr>
        <w:t xml:space="preserve"> SRS: NFR-07, NFR-10, раздел 3.7.8; SDP: итерация E2.</w:t>
      </w:r>
    </w:p>
    <w:p>
      <w:pPr>
        <w:sectPr>
          <w:headerReference w:type="default" r:id="rId21"/>
          <w:footerReference w:type="default" r:id="rId22"/>
          <w:pgSz w:w="12240" w:h="15840"/>
          <w:pgMar w:top="936" w:right="1440" w:bottom="936" w:left="1440" w:header="504" w:footer="504" w:gutter="0"/>
          <w:cols w:space="720"/>
          <w:docGrid w:linePitch="360"/>
        </w:sectPr>
      </w:pPr>
    </w:p>
    <w:p>
      <w:pPr>
        <w:pStyle w:val="Heading2"/>
      </w:pPr>
      <w:r>
        <w:t>R-05: Ошибки архитектуры и интеграции модулей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50"/>
        <w:gridCol w:w="3330"/>
        <w:gridCol w:w="1350"/>
        <w:gridCol w:w="3330"/>
      </w:tblGrid>
      <w:tr>
        <w:trPr>
          <w:cantSplit w:val="true"/>
        </w:trPr>
        <w:tc>
          <w:tcPr>
            <w:tcW w:type="dxa" w:w="13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Категория</w:t>
            </w:r>
          </w:p>
        </w:tc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Технический</w:t>
            </w:r>
          </w:p>
        </w:tc>
        <w:tc>
          <w:tcPr>
            <w:tcW w:type="dxa" w:w="13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Владелец</w:t>
            </w:r>
          </w:p>
        </w:tc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Architect</w:t>
            </w:r>
          </w:p>
        </w:tc>
      </w:tr>
      <w:tr>
        <w:trPr>
          <w:cantSplit w:val="true"/>
        </w:trPr>
        <w:tc>
          <w:tcPr>
            <w:tcW w:type="dxa" w:w="13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Вероятность</w:t>
            </w:r>
          </w:p>
        </w:tc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Средняя (0.5)</w:t>
            </w:r>
          </w:p>
        </w:tc>
        <w:tc>
          <w:tcPr>
            <w:tcW w:type="dxa" w:w="13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Влияние</w:t>
            </w:r>
          </w:p>
        </w:tc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Высокое (9)</w:t>
            </w:r>
          </w:p>
        </w:tc>
      </w:tr>
      <w:tr>
        <w:trPr>
          <w:cantSplit w:val="true"/>
        </w:trPr>
        <w:tc>
          <w:tcPr>
            <w:tcW w:type="dxa" w:w="13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RE</w:t>
            </w:r>
          </w:p>
        </w:tc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4.5</w:t>
            </w:r>
          </w:p>
        </w:tc>
        <w:tc>
          <w:tcPr>
            <w:tcW w:type="dxa" w:w="13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Уровень</w:t>
            </w:r>
          </w:p>
        </w:tc>
        <w:tc>
          <w:tcPr>
            <w:tcW w:type="dxa" w:w="3330"/>
            <w:vAlign w:val="center"/>
            <w:shd w:fill="FCE4D6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Высокий</w:t>
            </w:r>
          </w:p>
        </w:tc>
      </w:tr>
      <w:tr>
        <w:trPr>
          <w:cantSplit w:val="true"/>
        </w:trPr>
        <w:tc>
          <w:tcPr>
            <w:tcW w:type="dxa" w:w="13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Статус</w:t>
            </w:r>
          </w:p>
        </w:tc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Открыт</w:t>
            </w:r>
          </w:p>
        </w:tc>
        <w:tc>
          <w:tcPr>
            <w:tcW w:type="dxa" w:w="13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Пересмотр</w:t>
            </w:r>
          </w:p>
        </w:tc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Конец каждой итерации</w:t>
            </w:r>
          </w:p>
        </w:tc>
      </w:tr>
    </w:tbl>
    <w:p>
      <w:pPr>
        <w:pStyle w:val="Heading3"/>
      </w:pPr>
      <w:r>
        <w:t>Описание и влияние</w:t>
      </w:r>
    </w:p>
    <w:p>
      <w:pPr>
        <w:spacing w:after="60" w:line="259" w:lineRule="auto"/>
      </w:pPr>
      <w:r>
        <w:rPr>
          <w:rFonts w:ascii="Calibri" w:hAnsi="Calibri" w:eastAsia="Calibri"/>
          <w:color w:val="222222"/>
          <w:sz w:val="20"/>
        </w:rPr>
        <w:t>UC3, UC4, UC7 и UC11 связывают походы, команду, верфь, склад и историю. Ошибочная модель состояний, транзакционная граница или контракт между React, Spring Boot, PostgreSQL и Keycloak может привести к частично выполненным операциям и масштабной переработке.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Нарушение атомарности запуска похода, закрытия этапа верфи или фиксации итогов.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Конфликты конкурентных изменений и отрицательные остатки ресурсов.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Переработка нескольких модулей и срыв интеграционной вехи C3.2.</w:t>
      </w:r>
    </w:p>
    <w:p>
      <w:pPr>
        <w:pStyle w:val="Heading3"/>
      </w:pPr>
      <w:r>
        <w:t>Индикаторы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00"/>
        <w:gridCol w:w="1740"/>
        <w:gridCol w:w="1440"/>
        <w:gridCol w:w="1440"/>
        <w:gridCol w:w="1440"/>
      </w:tblGrid>
      <w:tr>
        <w:trPr>
          <w:tblHeader w:val="true"/>
        </w:trPr>
        <w:tc>
          <w:tcPr>
            <w:tcW w:type="dxa" w:w="330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Метрика</w:t>
            </w:r>
          </w:p>
        </w:tc>
        <w:tc>
          <w:tcPr>
            <w:tcW w:type="dxa" w:w="174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Источник / частота</w:t>
            </w:r>
          </w:p>
        </w:tc>
        <w:tc>
          <w:tcPr>
            <w:tcW w:type="dxa" w:w="1440"/>
            <w:vAlign w:val="center"/>
            <w:shd w:fill="E2F0D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Зелёная зона</w:t>
            </w:r>
          </w:p>
        </w:tc>
        <w:tc>
          <w:tcPr>
            <w:tcW w:type="dxa" w:w="1440"/>
            <w:vAlign w:val="center"/>
            <w:shd w:fill="FFF2C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Жёлтая зона</w:t>
            </w:r>
          </w:p>
        </w:tc>
        <w:tc>
          <w:tcPr>
            <w:tcW w:type="dxa" w:w="1440"/>
            <w:vAlign w:val="center"/>
            <w:shd w:fill="FCE4D6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Красная зона</w:t>
            </w:r>
          </w:p>
        </w:tc>
      </w:tr>
      <w:tr>
        <w:trPr>
          <w:cantSplit w:val="true"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Интеграционные дефекты за тестовую итерацию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Test report / итерация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0-2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3-5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&gt; 5</w:t>
            </w:r>
          </w:p>
        </w:tc>
      </w:tr>
      <w:tr>
        <w:trPr>
          <w:cantSplit w:val="true"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Изменения архитектурной схемы после начала реализации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ADR / фаза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0-1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2-3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&gt; 3</w:t>
            </w:r>
          </w:p>
        </w:tc>
      </w:tr>
    </w:tbl>
    <w:p>
      <w:pPr>
        <w:pStyle w:val="Heading3"/>
      </w:pPr>
      <w:r>
        <w:t>Стратегия смягчения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Зафиксировать модель состояний, транзакционные границы и контракты до реализации зависимых модулей.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Использовать исполняемый архитектурный прототип UC3 в Elaboration и ADR для значимых решений.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Проводить архитектурное и интеграционное ревью для UC3, UC4, UC7 и UC11.</w:t>
      </w:r>
    </w:p>
    <w:p>
      <w:pPr>
        <w:pStyle w:val="Heading3"/>
      </w:pPr>
      <w:r>
        <w:t>План реагирования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Приостановить реализацию функций, зависящих от проблемного архитектурного решения.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Определить источник ошибки, обновить архитектурную схему, контракты и затронутые требования.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Исправить базовый модуль и повторно выполнить интеграционные и регрессионные тесты.</w:t>
      </w:r>
    </w:p>
    <w:p>
      <w:pPr>
        <w:pStyle w:val="Heading3"/>
      </w:pPr>
      <w:r>
        <w:t>Остаточный риск и трассировка</w:t>
      </w:r>
    </w:p>
    <w:p>
      <w:pPr>
        <w:spacing w:after="60" w:line="259" w:lineRule="auto"/>
      </w:pPr>
      <w:r>
        <w:rPr>
          <w:rFonts w:ascii="Calibri" w:hAnsi="Calibri" w:eastAsia="Calibri"/>
          <w:b/>
          <w:color w:val="222222"/>
          <w:sz w:val="20"/>
        </w:rPr>
        <w:t>Остаточный риск:</w:t>
      </w:r>
      <w:r>
        <w:rPr>
          <w:rFonts w:ascii="Calibri" w:hAnsi="Calibri" w:eastAsia="Calibri"/>
          <w:color w:val="222222"/>
          <w:sz w:val="20"/>
        </w:rPr>
        <w:t xml:space="preserve"> Средний, RE = 1.8 (низкая вероятность 0.2 * высокое влияние 9).</w:t>
      </w:r>
    </w:p>
    <w:p>
      <w:pPr>
        <w:spacing w:after="60" w:line="259" w:lineRule="auto"/>
      </w:pPr>
      <w:r>
        <w:rPr>
          <w:rFonts w:ascii="Calibri" w:hAnsi="Calibri" w:eastAsia="Calibri"/>
          <w:b/>
          <w:color w:val="222222"/>
          <w:sz w:val="20"/>
        </w:rPr>
        <w:t>Связанные документы и требования:</w:t>
      </w:r>
      <w:r>
        <w:rPr>
          <w:rFonts w:ascii="Calibri" w:hAnsi="Calibri" w:eastAsia="Calibri"/>
          <w:color w:val="222222"/>
          <w:sz w:val="20"/>
        </w:rPr>
        <w:t xml:space="preserve"> SRS: NFR-09, NFR-15-NFR-17; Use Case: UC3, UC4, UC7, UC11; SDP: E1-E2.</w:t>
      </w:r>
    </w:p>
    <w:p>
      <w:pPr>
        <w:sectPr>
          <w:headerReference w:type="default" r:id="rId23"/>
          <w:footerReference w:type="default" r:id="rId24"/>
          <w:pgSz w:w="12240" w:h="15840"/>
          <w:pgMar w:top="936" w:right="1440" w:bottom="936" w:left="1440" w:header="504" w:footer="504" w:gutter="0"/>
          <w:cols w:space="720"/>
          <w:docGrid w:linePitch="360"/>
        </w:sectPr>
      </w:pPr>
    </w:p>
    <w:p>
      <w:pPr>
        <w:pStyle w:val="Heading2"/>
      </w:pPr>
      <w:r>
        <w:t>R-06: Недостаточное тестирование критических сценариев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50"/>
        <w:gridCol w:w="3330"/>
        <w:gridCol w:w="1350"/>
        <w:gridCol w:w="3330"/>
      </w:tblGrid>
      <w:tr>
        <w:trPr>
          <w:cantSplit w:val="true"/>
        </w:trPr>
        <w:tc>
          <w:tcPr>
            <w:tcW w:type="dxa" w:w="13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Категория</w:t>
            </w:r>
          </w:p>
        </w:tc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Качество</w:t>
            </w:r>
          </w:p>
        </w:tc>
        <w:tc>
          <w:tcPr>
            <w:tcW w:type="dxa" w:w="13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Владелец</w:t>
            </w:r>
          </w:p>
        </w:tc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Quality Assurance</w:t>
            </w:r>
          </w:p>
        </w:tc>
      </w:tr>
      <w:tr>
        <w:trPr>
          <w:cantSplit w:val="true"/>
        </w:trPr>
        <w:tc>
          <w:tcPr>
            <w:tcW w:type="dxa" w:w="13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Вероятность</w:t>
            </w:r>
          </w:p>
        </w:tc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Средняя (0.5)</w:t>
            </w:r>
          </w:p>
        </w:tc>
        <w:tc>
          <w:tcPr>
            <w:tcW w:type="dxa" w:w="13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Влияние</w:t>
            </w:r>
          </w:p>
        </w:tc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Высокое (9)</w:t>
            </w:r>
          </w:p>
        </w:tc>
      </w:tr>
      <w:tr>
        <w:trPr>
          <w:cantSplit w:val="true"/>
        </w:trPr>
        <w:tc>
          <w:tcPr>
            <w:tcW w:type="dxa" w:w="13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RE</w:t>
            </w:r>
          </w:p>
        </w:tc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4.5</w:t>
            </w:r>
          </w:p>
        </w:tc>
        <w:tc>
          <w:tcPr>
            <w:tcW w:type="dxa" w:w="13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Уровень</w:t>
            </w:r>
          </w:p>
        </w:tc>
        <w:tc>
          <w:tcPr>
            <w:tcW w:type="dxa" w:w="3330"/>
            <w:vAlign w:val="center"/>
            <w:shd w:fill="FCE4D6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Высокий</w:t>
            </w:r>
          </w:p>
        </w:tc>
      </w:tr>
      <w:tr>
        <w:trPr>
          <w:cantSplit w:val="true"/>
        </w:trPr>
        <w:tc>
          <w:tcPr>
            <w:tcW w:type="dxa" w:w="13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Статус</w:t>
            </w:r>
          </w:p>
        </w:tc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Открыт</w:t>
            </w:r>
          </w:p>
        </w:tc>
        <w:tc>
          <w:tcPr>
            <w:tcW w:type="dxa" w:w="13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Пересмотр</w:t>
            </w:r>
          </w:p>
        </w:tc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Конец каждой итерации</w:t>
            </w:r>
          </w:p>
        </w:tc>
      </w:tr>
    </w:tbl>
    <w:p>
      <w:pPr>
        <w:pStyle w:val="Heading3"/>
      </w:pPr>
      <w:r>
        <w:t>Описание и влияние</w:t>
      </w:r>
    </w:p>
    <w:p>
      <w:pPr>
        <w:spacing w:after="60" w:line="259" w:lineRule="auto"/>
      </w:pPr>
      <w:r>
        <w:rPr>
          <w:rFonts w:ascii="Calibri" w:hAnsi="Calibri" w:eastAsia="Calibri"/>
          <w:color w:val="222222"/>
          <w:sz w:val="20"/>
        </w:rPr>
        <w:t>Ограниченные сроки могут привести к недостаточному покрытию критических потоков, альтернативных сценариев и конкурентного доступа. Дефекты могут проявиться только при интеграции или финальной демонстрации.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Критические ошибки в UC3, UC4, UC7 или UC11 на этапе Transition.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Невозможность подтвердить выполнение FR и NFR перед выпуском.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Рост стоимости исправления и риск сдачи нестабильной версии.</w:t>
      </w:r>
    </w:p>
    <w:p>
      <w:pPr>
        <w:pStyle w:val="Heading3"/>
      </w:pPr>
      <w:r>
        <w:t>Индикаторы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00"/>
        <w:gridCol w:w="1740"/>
        <w:gridCol w:w="1440"/>
        <w:gridCol w:w="1440"/>
        <w:gridCol w:w="1440"/>
      </w:tblGrid>
      <w:tr>
        <w:trPr>
          <w:tblHeader w:val="true"/>
        </w:trPr>
        <w:tc>
          <w:tcPr>
            <w:tcW w:type="dxa" w:w="330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Метрика</w:t>
            </w:r>
          </w:p>
        </w:tc>
        <w:tc>
          <w:tcPr>
            <w:tcW w:type="dxa" w:w="174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Источник / частота</w:t>
            </w:r>
          </w:p>
        </w:tc>
        <w:tc>
          <w:tcPr>
            <w:tcW w:type="dxa" w:w="1440"/>
            <w:vAlign w:val="center"/>
            <w:shd w:fill="E2F0D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Зелёная зона</w:t>
            </w:r>
          </w:p>
        </w:tc>
        <w:tc>
          <w:tcPr>
            <w:tcW w:type="dxa" w:w="1440"/>
            <w:vAlign w:val="center"/>
            <w:shd w:fill="FFF2C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Жёлтая зона</w:t>
            </w:r>
          </w:p>
        </w:tc>
        <w:tc>
          <w:tcPr>
            <w:tcW w:type="dxa" w:w="1440"/>
            <w:vAlign w:val="center"/>
            <w:shd w:fill="FCE4D6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Красная зона</w:t>
            </w:r>
          </w:p>
        </w:tc>
      </w:tr>
      <w:tr>
        <w:trPr>
          <w:cantSplit w:val="true"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Критические UC, покрытые автоматизированными и интеграционными тестами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Test report / итерация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&gt;= 90%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70-89%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&lt; 70%</w:t>
            </w:r>
          </w:p>
        </w:tc>
      </w:tr>
      <w:tr>
        <w:trPr>
          <w:cantSplit w:val="true"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Открытые критические дефекты перед вехой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Defect log / ежедневно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1-2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&gt; 2</w:t>
            </w:r>
          </w:p>
        </w:tc>
      </w:tr>
    </w:tbl>
    <w:p>
      <w:pPr>
        <w:pStyle w:val="Heading3"/>
      </w:pPr>
      <w:r>
        <w:t>Стратегия смягчения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Связать тест-кейсы с UC и требованиями SRS; выделить критический набор для каждого релиза.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Использовать JUnit 5, Mockito, Spring Boot Test, Jest и React Testing Library согласно SDP.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Проводить интеграционные, конкурентные и негативные тесты до финальной итерации T1.</w:t>
      </w:r>
    </w:p>
    <w:p>
      <w:pPr>
        <w:pStyle w:val="Heading3"/>
      </w:pPr>
      <w:r>
        <w:t>План реагирования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Приостановить выпуск версии с критическими дефектами и открыть стабилизационный цикл.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Исправить блокирующие дефекты до продолжения второстепенной разработки.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Повторно выполнить критический набор, регрессионные и интеграционные тесты; обновить отчёт о качестве.</w:t>
      </w:r>
    </w:p>
    <w:p>
      <w:pPr>
        <w:pStyle w:val="Heading3"/>
      </w:pPr>
      <w:r>
        <w:t>Остаточный риск и трассировка</w:t>
      </w:r>
    </w:p>
    <w:p>
      <w:pPr>
        <w:spacing w:after="60" w:line="259" w:lineRule="auto"/>
      </w:pPr>
      <w:r>
        <w:rPr>
          <w:rFonts w:ascii="Calibri" w:hAnsi="Calibri" w:eastAsia="Calibri"/>
          <w:b/>
          <w:color w:val="222222"/>
          <w:sz w:val="20"/>
        </w:rPr>
        <w:t>Остаточный риск:</w:t>
      </w:r>
      <w:r>
        <w:rPr>
          <w:rFonts w:ascii="Calibri" w:hAnsi="Calibri" w:eastAsia="Calibri"/>
          <w:color w:val="222222"/>
          <w:sz w:val="20"/>
        </w:rPr>
        <w:t xml:space="preserve"> Средний, RE = 1.8 (низкая вероятность 0.2 * высокое влияние 9).</w:t>
      </w:r>
    </w:p>
    <w:p>
      <w:pPr>
        <w:spacing w:after="60" w:line="259" w:lineRule="auto"/>
      </w:pPr>
      <w:r>
        <w:rPr>
          <w:rFonts w:ascii="Calibri" w:hAnsi="Calibri" w:eastAsia="Calibri"/>
          <w:b/>
          <w:color w:val="222222"/>
          <w:sz w:val="20"/>
        </w:rPr>
        <w:t>Связанные документы и требования:</w:t>
      </w:r>
      <w:r>
        <w:rPr>
          <w:rFonts w:ascii="Calibri" w:hAnsi="Calibri" w:eastAsia="Calibri"/>
          <w:color w:val="222222"/>
          <w:sz w:val="20"/>
        </w:rPr>
        <w:t xml:space="preserve"> SDP, раздел 4.3.4 и итерация T1; Use Case: UC3, UC4, UC7, UC11.</w:t>
      </w:r>
    </w:p>
    <w:p>
      <w:pPr>
        <w:sectPr>
          <w:headerReference w:type="default" r:id="rId25"/>
          <w:footerReference w:type="default" r:id="rId26"/>
          <w:pgSz w:w="12240" w:h="15840"/>
          <w:pgMar w:top="936" w:right="1440" w:bottom="936" w:left="1440" w:header="504" w:footer="504" w:gutter="0"/>
          <w:cols w:space="720"/>
          <w:docGrid w:linePitch="360"/>
        </w:sectPr>
      </w:pPr>
    </w:p>
    <w:p>
      <w:pPr>
        <w:pStyle w:val="Heading2"/>
      </w:pPr>
      <w:r>
        <w:t>R-07: Несанкционированный доступ или изменение данных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50"/>
        <w:gridCol w:w="3330"/>
        <w:gridCol w:w="1350"/>
        <w:gridCol w:w="3330"/>
      </w:tblGrid>
      <w:tr>
        <w:trPr>
          <w:cantSplit w:val="true"/>
        </w:trPr>
        <w:tc>
          <w:tcPr>
            <w:tcW w:type="dxa" w:w="13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Категория</w:t>
            </w:r>
          </w:p>
        </w:tc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Информационная безопасность</w:t>
            </w:r>
          </w:p>
        </w:tc>
        <w:tc>
          <w:tcPr>
            <w:tcW w:type="dxa" w:w="13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Владелец</w:t>
            </w:r>
          </w:p>
        </w:tc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Architect</w:t>
            </w:r>
          </w:p>
        </w:tc>
      </w:tr>
      <w:tr>
        <w:trPr>
          <w:cantSplit w:val="true"/>
        </w:trPr>
        <w:tc>
          <w:tcPr>
            <w:tcW w:type="dxa" w:w="13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Вероятность</w:t>
            </w:r>
          </w:p>
        </w:tc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Низкая (0.2)</w:t>
            </w:r>
          </w:p>
        </w:tc>
        <w:tc>
          <w:tcPr>
            <w:tcW w:type="dxa" w:w="13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Влияние</w:t>
            </w:r>
          </w:p>
        </w:tc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Высокое (9)</w:t>
            </w:r>
          </w:p>
        </w:tc>
      </w:tr>
      <w:tr>
        <w:trPr>
          <w:cantSplit w:val="true"/>
        </w:trPr>
        <w:tc>
          <w:tcPr>
            <w:tcW w:type="dxa" w:w="13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RE</w:t>
            </w:r>
          </w:p>
        </w:tc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1.8</w:t>
            </w:r>
          </w:p>
        </w:tc>
        <w:tc>
          <w:tcPr>
            <w:tcW w:type="dxa" w:w="13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Уровень</w:t>
            </w:r>
          </w:p>
        </w:tc>
        <w:tc>
          <w:tcPr>
            <w:tcW w:type="dxa" w:w="3330"/>
            <w:vAlign w:val="center"/>
            <w:shd w:fill="FFF2C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Средний</w:t>
            </w:r>
          </w:p>
        </w:tc>
      </w:tr>
      <w:tr>
        <w:trPr>
          <w:cantSplit w:val="true"/>
        </w:trPr>
        <w:tc>
          <w:tcPr>
            <w:tcW w:type="dxa" w:w="13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Статус</w:t>
            </w:r>
          </w:p>
        </w:tc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Открыт</w:t>
            </w:r>
          </w:p>
        </w:tc>
        <w:tc>
          <w:tcPr>
            <w:tcW w:type="dxa" w:w="13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Пересмотр</w:t>
            </w:r>
          </w:p>
        </w:tc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Конец каждой итерации</w:t>
            </w:r>
          </w:p>
        </w:tc>
      </w:tr>
    </w:tbl>
    <w:p>
      <w:pPr>
        <w:pStyle w:val="Heading3"/>
      </w:pPr>
      <w:r>
        <w:t>Описание и влияние</w:t>
      </w:r>
    </w:p>
    <w:p>
      <w:pPr>
        <w:spacing w:after="60" w:line="259" w:lineRule="auto"/>
      </w:pPr>
      <w:r>
        <w:rPr>
          <w:rFonts w:ascii="Calibri" w:hAnsi="Calibri" w:eastAsia="Calibri"/>
          <w:color w:val="222222"/>
          <w:sz w:val="20"/>
        </w:rPr>
        <w:t>Ошибка настройки Keycloak, серверной авторизации или ролей может открыть пользователю функции и данные другой роли. Особую опасность представляют изменение итогов похода, ресурсов и критических переходов.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Нарушение NFR-02 и FR-25, утрата доверия к данным системы.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Несанкционированное изменение ресурсов, состава команды или завершённых итогов.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Необходимость остановки затронутых функций и расследования инцидента.</w:t>
      </w:r>
    </w:p>
    <w:p>
      <w:pPr>
        <w:pStyle w:val="Heading3"/>
      </w:pPr>
      <w:r>
        <w:t>Индикаторы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00"/>
        <w:gridCol w:w="1740"/>
        <w:gridCol w:w="1440"/>
        <w:gridCol w:w="1440"/>
        <w:gridCol w:w="1440"/>
      </w:tblGrid>
      <w:tr>
        <w:trPr>
          <w:tblHeader w:val="true"/>
        </w:trPr>
        <w:tc>
          <w:tcPr>
            <w:tcW w:type="dxa" w:w="330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Метрика</w:t>
            </w:r>
          </w:p>
        </w:tc>
        <w:tc>
          <w:tcPr>
            <w:tcW w:type="dxa" w:w="174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Источник / частота</w:t>
            </w:r>
          </w:p>
        </w:tc>
        <w:tc>
          <w:tcPr>
            <w:tcW w:type="dxa" w:w="1440"/>
            <w:vAlign w:val="center"/>
            <w:shd w:fill="E2F0D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Зелёная зона</w:t>
            </w:r>
          </w:p>
        </w:tc>
        <w:tc>
          <w:tcPr>
            <w:tcW w:type="dxa" w:w="1440"/>
            <w:vAlign w:val="center"/>
            <w:shd w:fill="FFF2C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Жёлтая зона</w:t>
            </w:r>
          </w:p>
        </w:tc>
        <w:tc>
          <w:tcPr>
            <w:tcW w:type="dxa" w:w="1440"/>
            <w:vAlign w:val="center"/>
            <w:shd w:fill="FCE4D6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Красная зона</w:t>
            </w:r>
          </w:p>
        </w:tc>
      </w:tr>
      <w:tr>
        <w:trPr>
          <w:cantSplit w:val="true"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Ошибки тестов разграничения доступа по ролям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Security tests / итерация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1-2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&gt; 2</w:t>
            </w:r>
          </w:p>
        </w:tc>
      </w:tr>
      <w:tr>
        <w:trPr>
          <w:cantSplit w:val="true"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Уязвимости уровня High/Critical в приложении и зависимостях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Scan / еженедельно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&gt;= 2</w:t>
            </w:r>
          </w:p>
        </w:tc>
      </w:tr>
    </w:tbl>
    <w:p>
      <w:pPr>
        <w:pStyle w:val="Heading3"/>
      </w:pPr>
      <w:r>
        <w:t>Стратегия смягчения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Использовать Keycloak, проверку ролей на сервере и принцип минимальных привилегий.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Передавать данные по HTTPS; хранить секреты вне репозитория и регулярно проверять зависимости.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Аудировать критические переходы согласно NFR-17 и тестировать отрицательные сценарии доступа.</w:t>
      </w:r>
    </w:p>
    <w:p>
      <w:pPr>
        <w:pStyle w:val="Heading3"/>
      </w:pPr>
      <w:r>
        <w:t>План реагирования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Ограничить доступ к затронутым функциям, завершить активные сессии и заменить скомпрометированные секреты.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Проверить аудит и определить, какие данные были просмотрены или изменены.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Исправить конфигурацию или код, восстановить данные при необходимости и выполнить повторные security-тесты.</w:t>
      </w:r>
    </w:p>
    <w:p>
      <w:pPr>
        <w:pStyle w:val="Heading3"/>
      </w:pPr>
      <w:r>
        <w:t>Остаточный риск и трассировка</w:t>
      </w:r>
    </w:p>
    <w:p>
      <w:pPr>
        <w:spacing w:after="60" w:line="259" w:lineRule="auto"/>
      </w:pPr>
      <w:r>
        <w:rPr>
          <w:rFonts w:ascii="Calibri" w:hAnsi="Calibri" w:eastAsia="Calibri"/>
          <w:b/>
          <w:color w:val="222222"/>
          <w:sz w:val="20"/>
        </w:rPr>
        <w:t>Остаточный риск:</w:t>
      </w:r>
      <w:r>
        <w:rPr>
          <w:rFonts w:ascii="Calibri" w:hAnsi="Calibri" w:eastAsia="Calibri"/>
          <w:color w:val="222222"/>
          <w:sz w:val="20"/>
        </w:rPr>
        <w:t xml:space="preserve"> Низкий, RE = 0.6 (низкая вероятность 0.2 * среднее влияние 3).</w:t>
      </w:r>
    </w:p>
    <w:p>
      <w:pPr>
        <w:spacing w:after="60" w:line="259" w:lineRule="auto"/>
      </w:pPr>
      <w:r>
        <w:rPr>
          <w:rFonts w:ascii="Calibri" w:hAnsi="Calibri" w:eastAsia="Calibri"/>
          <w:b/>
          <w:color w:val="222222"/>
          <w:sz w:val="20"/>
        </w:rPr>
        <w:t>Связанные документы и требования:</w:t>
      </w:r>
      <w:r>
        <w:rPr>
          <w:rFonts w:ascii="Calibri" w:hAnsi="Calibri" w:eastAsia="Calibri"/>
          <w:color w:val="222222"/>
          <w:sz w:val="20"/>
        </w:rPr>
        <w:t xml:space="preserve"> SRS: NFR-02, NFR-17, FR-25; разделы 3.5 и 3.6, Keycloak и HTTPS.</w:t>
      </w:r>
    </w:p>
    <w:p>
      <w:pPr>
        <w:sectPr>
          <w:headerReference w:type="default" r:id="rId27"/>
          <w:footerReference w:type="default" r:id="rId28"/>
          <w:pgSz w:w="12240" w:h="15840"/>
          <w:pgMar w:top="936" w:right="1440" w:bottom="936" w:left="1440" w:header="504" w:footer="504" w:gutter="0"/>
          <w:cols w:space="720"/>
          <w:docGrid w:linePitch="360"/>
        </w:sectPr>
      </w:pPr>
    </w:p>
    <w:p>
      <w:pPr>
        <w:pStyle w:val="Heading2"/>
      </w:pPr>
      <w:r>
        <w:t>R-08: Потеря, повреждение или несогласованность данных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50"/>
        <w:gridCol w:w="3330"/>
        <w:gridCol w:w="1350"/>
        <w:gridCol w:w="3330"/>
      </w:tblGrid>
      <w:tr>
        <w:trPr>
          <w:cantSplit w:val="true"/>
        </w:trPr>
        <w:tc>
          <w:tcPr>
            <w:tcW w:type="dxa" w:w="13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Категория</w:t>
            </w:r>
          </w:p>
        </w:tc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Данные</w:t>
            </w:r>
          </w:p>
        </w:tc>
        <w:tc>
          <w:tcPr>
            <w:tcW w:type="dxa" w:w="13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Владелец</w:t>
            </w:r>
          </w:p>
        </w:tc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Architect</w:t>
            </w:r>
          </w:p>
        </w:tc>
      </w:tr>
      <w:tr>
        <w:trPr>
          <w:cantSplit w:val="true"/>
        </w:trPr>
        <w:tc>
          <w:tcPr>
            <w:tcW w:type="dxa" w:w="13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Вероятность</w:t>
            </w:r>
          </w:p>
        </w:tc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Низкая (0.2)</w:t>
            </w:r>
          </w:p>
        </w:tc>
        <w:tc>
          <w:tcPr>
            <w:tcW w:type="dxa" w:w="13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Влияние</w:t>
            </w:r>
          </w:p>
        </w:tc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Высокое (9)</w:t>
            </w:r>
          </w:p>
        </w:tc>
      </w:tr>
      <w:tr>
        <w:trPr>
          <w:cantSplit w:val="true"/>
        </w:trPr>
        <w:tc>
          <w:tcPr>
            <w:tcW w:type="dxa" w:w="13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RE</w:t>
            </w:r>
          </w:p>
        </w:tc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1.8</w:t>
            </w:r>
          </w:p>
        </w:tc>
        <w:tc>
          <w:tcPr>
            <w:tcW w:type="dxa" w:w="13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Уровень</w:t>
            </w:r>
          </w:p>
        </w:tc>
        <w:tc>
          <w:tcPr>
            <w:tcW w:type="dxa" w:w="3330"/>
            <w:vAlign w:val="center"/>
            <w:shd w:fill="FFF2C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Средний</w:t>
            </w:r>
          </w:p>
        </w:tc>
      </w:tr>
      <w:tr>
        <w:trPr>
          <w:cantSplit w:val="true"/>
        </w:trPr>
        <w:tc>
          <w:tcPr>
            <w:tcW w:type="dxa" w:w="13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Статус</w:t>
            </w:r>
          </w:p>
        </w:tc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Открыт</w:t>
            </w:r>
          </w:p>
        </w:tc>
        <w:tc>
          <w:tcPr>
            <w:tcW w:type="dxa" w:w="13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Пересмотр</w:t>
            </w:r>
          </w:p>
        </w:tc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Конец каждой итерации</w:t>
            </w:r>
          </w:p>
        </w:tc>
      </w:tr>
    </w:tbl>
    <w:p>
      <w:pPr>
        <w:pStyle w:val="Heading3"/>
      </w:pPr>
      <w:r>
        <w:t>Описание и влияние</w:t>
      </w:r>
    </w:p>
    <w:p>
      <w:pPr>
        <w:spacing w:after="60" w:line="259" w:lineRule="auto"/>
      </w:pPr>
      <w:r>
        <w:rPr>
          <w:rFonts w:ascii="Calibri" w:hAnsi="Calibri" w:eastAsia="Calibri"/>
          <w:color w:val="222222"/>
          <w:sz w:val="20"/>
        </w:rPr>
        <w:t>Сбой БД, ошибка миграции или некорректная транзакция могут привести к потере истории походов, рассинхронизации склада, повторному списанию ресурсов или частичной фиксации Вергельда.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Нарушение NFR-08-NFR-11 и невозможность доверять сводке готовности.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Потеря истории, итогов походов или доказуемости выполненных операций.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Блокировка ключевых сценариев до восстановления согласованного состояния.</w:t>
      </w:r>
    </w:p>
    <w:p>
      <w:pPr>
        <w:pStyle w:val="Heading3"/>
      </w:pPr>
      <w:r>
        <w:t>Индикаторы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00"/>
        <w:gridCol w:w="1740"/>
        <w:gridCol w:w="1440"/>
        <w:gridCol w:w="1440"/>
        <w:gridCol w:w="1440"/>
      </w:tblGrid>
      <w:tr>
        <w:trPr>
          <w:tblHeader w:val="true"/>
        </w:trPr>
        <w:tc>
          <w:tcPr>
            <w:tcW w:type="dxa" w:w="330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Метрика</w:t>
            </w:r>
          </w:p>
        </w:tc>
        <w:tc>
          <w:tcPr>
            <w:tcW w:type="dxa" w:w="174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Источник / частота</w:t>
            </w:r>
          </w:p>
        </w:tc>
        <w:tc>
          <w:tcPr>
            <w:tcW w:type="dxa" w:w="1440"/>
            <w:vAlign w:val="center"/>
            <w:shd w:fill="E2F0D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Зелёная зона</w:t>
            </w:r>
          </w:p>
        </w:tc>
        <w:tc>
          <w:tcPr>
            <w:tcW w:type="dxa" w:w="1440"/>
            <w:vAlign w:val="center"/>
            <w:shd w:fill="FFF2C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Жёлтая зона</w:t>
            </w:r>
          </w:p>
        </w:tc>
        <w:tc>
          <w:tcPr>
            <w:tcW w:type="dxa" w:w="1440"/>
            <w:vAlign w:val="center"/>
            <w:shd w:fill="FCE4D6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Красная зона</w:t>
            </w:r>
          </w:p>
        </w:tc>
      </w:tr>
      <w:tr>
        <w:trPr>
          <w:cantSplit w:val="true"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Нарушения ограничений целостности или failed integrity tests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DB tests / ежедневно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&gt;= 2</w:t>
            </w:r>
          </w:p>
        </w:tc>
      </w:tr>
      <w:tr>
        <w:trPr>
          <w:cantSplit w:val="true"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Дни с момента последней проверенной резервной копии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Backup log / ежедневно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0-1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2-3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&gt; 3</w:t>
            </w:r>
          </w:p>
        </w:tc>
      </w:tr>
    </w:tbl>
    <w:p>
      <w:pPr>
        <w:pStyle w:val="Heading3"/>
      </w:pPr>
      <w:r>
        <w:t>Стратегия смягчения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Использовать транзакции PostgreSQL, ограничения целостности, миграции Flyway и контроль конкурентного доступа.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Обеспечить идемпотентность критических команд и аудит согласно NFR-15-NFR-17.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Создавать ежедневные резервные копии вне Helios и регулярно проверять восстановление на тестовой среде.</w:t>
      </w:r>
    </w:p>
    <w:p>
      <w:pPr>
        <w:pStyle w:val="Heading3"/>
      </w:pPr>
      <w:r>
        <w:t>План реагирования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Перевести затронутые функции в режим только чтения и остановить новые изменяющие операции.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Определить последнюю согласованную точку, восстановить БД и сверить аудит с фактическими данными.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Устранить первопричину, выполнить integrity и regression tests и только затем вернуть запись данных.</w:t>
      </w:r>
    </w:p>
    <w:p>
      <w:pPr>
        <w:pStyle w:val="Heading3"/>
      </w:pPr>
      <w:r>
        <w:t>Остаточный риск и трассировка</w:t>
      </w:r>
    </w:p>
    <w:p>
      <w:pPr>
        <w:spacing w:after="60" w:line="259" w:lineRule="auto"/>
      </w:pPr>
      <w:r>
        <w:rPr>
          <w:rFonts w:ascii="Calibri" w:hAnsi="Calibri" w:eastAsia="Calibri"/>
          <w:b/>
          <w:color w:val="222222"/>
          <w:sz w:val="20"/>
        </w:rPr>
        <w:t>Остаточный риск:</w:t>
      </w:r>
      <w:r>
        <w:rPr>
          <w:rFonts w:ascii="Calibri" w:hAnsi="Calibri" w:eastAsia="Calibri"/>
          <w:color w:val="222222"/>
          <w:sz w:val="20"/>
        </w:rPr>
        <w:t xml:space="preserve"> Низкий, RE = 0.6 (низкая вероятность 0.2 * среднее влияние 3).</w:t>
      </w:r>
    </w:p>
    <w:p>
      <w:pPr>
        <w:spacing w:after="60" w:line="259" w:lineRule="auto"/>
      </w:pPr>
      <w:r>
        <w:rPr>
          <w:rFonts w:ascii="Calibri" w:hAnsi="Calibri" w:eastAsia="Calibri"/>
          <w:b/>
          <w:color w:val="222222"/>
          <w:sz w:val="20"/>
        </w:rPr>
        <w:t>Связанные документы и требования:</w:t>
      </w:r>
      <w:r>
        <w:rPr>
          <w:rFonts w:ascii="Calibri" w:hAnsi="Calibri" w:eastAsia="Calibri"/>
          <w:color w:val="222222"/>
          <w:sz w:val="20"/>
        </w:rPr>
        <w:t xml:space="preserve"> SRS: NFR-08-NFR-11, NFR-15-NFR-17; Use Case: UC3, UC4, UC7, UC11.</w:t>
      </w:r>
    </w:p>
    <w:p>
      <w:pPr>
        <w:sectPr>
          <w:headerReference w:type="default" r:id="rId29"/>
          <w:footerReference w:type="default" r:id="rId30"/>
          <w:pgSz w:w="12240" w:h="15840"/>
          <w:pgMar w:top="936" w:right="1440" w:bottom="936" w:left="1440" w:header="504" w:footer="504" w:gutter="0"/>
          <w:cols w:space="720"/>
          <w:docGrid w:linePitch="360"/>
        </w:sectPr>
      </w:pPr>
    </w:p>
    <w:p>
      <w:pPr>
        <w:pStyle w:val="Heading2"/>
      </w:pPr>
      <w:r>
        <w:t>R-09: Недостаточная производительность при одновременной работе пользователей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50"/>
        <w:gridCol w:w="3330"/>
        <w:gridCol w:w="1350"/>
        <w:gridCol w:w="3330"/>
      </w:tblGrid>
      <w:tr>
        <w:trPr>
          <w:cantSplit w:val="true"/>
        </w:trPr>
        <w:tc>
          <w:tcPr>
            <w:tcW w:type="dxa" w:w="13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Категория</w:t>
            </w:r>
          </w:p>
        </w:tc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Производительность</w:t>
            </w:r>
          </w:p>
        </w:tc>
        <w:tc>
          <w:tcPr>
            <w:tcW w:type="dxa" w:w="13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Владелец</w:t>
            </w:r>
          </w:p>
        </w:tc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Architect</w:t>
            </w:r>
          </w:p>
        </w:tc>
      </w:tr>
      <w:tr>
        <w:trPr>
          <w:cantSplit w:val="true"/>
        </w:trPr>
        <w:tc>
          <w:tcPr>
            <w:tcW w:type="dxa" w:w="13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Вероятность</w:t>
            </w:r>
          </w:p>
        </w:tc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Средняя (0.5)</w:t>
            </w:r>
          </w:p>
        </w:tc>
        <w:tc>
          <w:tcPr>
            <w:tcW w:type="dxa" w:w="13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Влияние</w:t>
            </w:r>
          </w:p>
        </w:tc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Среднее (3)</w:t>
            </w:r>
          </w:p>
        </w:tc>
      </w:tr>
      <w:tr>
        <w:trPr>
          <w:cantSplit w:val="true"/>
        </w:trPr>
        <w:tc>
          <w:tcPr>
            <w:tcW w:type="dxa" w:w="13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RE</w:t>
            </w:r>
          </w:p>
        </w:tc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1.5</w:t>
            </w:r>
          </w:p>
        </w:tc>
        <w:tc>
          <w:tcPr>
            <w:tcW w:type="dxa" w:w="13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Уровень</w:t>
            </w:r>
          </w:p>
        </w:tc>
        <w:tc>
          <w:tcPr>
            <w:tcW w:type="dxa" w:w="3330"/>
            <w:vAlign w:val="center"/>
            <w:shd w:fill="FFF2C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Средний</w:t>
            </w:r>
          </w:p>
        </w:tc>
      </w:tr>
      <w:tr>
        <w:trPr>
          <w:cantSplit w:val="true"/>
        </w:trPr>
        <w:tc>
          <w:tcPr>
            <w:tcW w:type="dxa" w:w="13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Статус</w:t>
            </w:r>
          </w:p>
        </w:tc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Открыт</w:t>
            </w:r>
          </w:p>
        </w:tc>
        <w:tc>
          <w:tcPr>
            <w:tcW w:type="dxa" w:w="13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Пересмотр</w:t>
            </w:r>
          </w:p>
        </w:tc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Конец каждой итерации</w:t>
            </w:r>
          </w:p>
        </w:tc>
      </w:tr>
    </w:tbl>
    <w:p>
      <w:pPr>
        <w:pStyle w:val="Heading3"/>
      </w:pPr>
      <w:r>
        <w:t>Описание и влияние</w:t>
      </w:r>
    </w:p>
    <w:p>
      <w:pPr>
        <w:spacing w:after="60" w:line="259" w:lineRule="auto"/>
      </w:pPr>
      <w:r>
        <w:rPr>
          <w:rFonts w:ascii="Calibri" w:hAnsi="Calibri" w:eastAsia="Calibri"/>
          <w:color w:val="222222"/>
          <w:sz w:val="20"/>
        </w:rPr>
        <w:t>Во время массового подтверждения участия до 50 пользователей могут одновременно обращаться к API. Неэффективные запросы, блокировки или недостаточный пул соединений способны нарушить NFR-12-NFR-14.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Тайм-ауты, повторные команды и некорректное восприятие результата пользователями.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Нарушение требований к времени ответа при пиковой нагрузке.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Необходимость срочной оптимизации перед демонстрацией или выпуском.</w:t>
      </w:r>
    </w:p>
    <w:p>
      <w:pPr>
        <w:pStyle w:val="Heading3"/>
      </w:pPr>
      <w:r>
        <w:t>Индикаторы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00"/>
        <w:gridCol w:w="1740"/>
        <w:gridCol w:w="1440"/>
        <w:gridCol w:w="1440"/>
        <w:gridCol w:w="1440"/>
      </w:tblGrid>
      <w:tr>
        <w:trPr>
          <w:tblHeader w:val="true"/>
        </w:trPr>
        <w:tc>
          <w:tcPr>
            <w:tcW w:type="dxa" w:w="330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Метрика</w:t>
            </w:r>
          </w:p>
        </w:tc>
        <w:tc>
          <w:tcPr>
            <w:tcW w:type="dxa" w:w="174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Источник / частота</w:t>
            </w:r>
          </w:p>
        </w:tc>
        <w:tc>
          <w:tcPr>
            <w:tcW w:type="dxa" w:w="1440"/>
            <w:vAlign w:val="center"/>
            <w:shd w:fill="E2F0D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Зелёная зона</w:t>
            </w:r>
          </w:p>
        </w:tc>
        <w:tc>
          <w:tcPr>
            <w:tcW w:type="dxa" w:w="1440"/>
            <w:vAlign w:val="center"/>
            <w:shd w:fill="FFF2C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Жёлтая зона</w:t>
            </w:r>
          </w:p>
        </w:tc>
        <w:tc>
          <w:tcPr>
            <w:tcW w:type="dxa" w:w="1440"/>
            <w:vAlign w:val="center"/>
            <w:shd w:fill="FCE4D6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Красная зона</w:t>
            </w:r>
          </w:p>
        </w:tc>
      </w:tr>
      <w:tr>
        <w:trPr>
          <w:cantSplit w:val="true"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95-й перцентиль времени ответа при 50 пользователях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Load test / релиз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&lt;= 1 с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1.01-2 с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&gt; 2 с</w:t>
            </w:r>
          </w:p>
        </w:tc>
      </w:tr>
      <w:tr>
        <w:trPr>
          <w:cantSplit w:val="true"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Ошибки и тайм-ауты при нагрузочном тесте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Load test / релиз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&lt;= 1%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1.1-5%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&gt; 5%</w:t>
            </w:r>
          </w:p>
        </w:tc>
      </w:tr>
    </w:tbl>
    <w:p>
      <w:pPr>
        <w:pStyle w:val="Heading3"/>
      </w:pPr>
      <w:r>
        <w:t>Стратегия смягчения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Проводить нагрузочные тесты до Transition и контролировать NFR-12-NFR-14.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Профилировать медленные запросы, настраивать индексы PostgreSQL и устранять N+1 обращения.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Проверить размер пула соединений, конкурентные блокировки и идемпотентность повторных команд.</w:t>
      </w:r>
    </w:p>
    <w:p>
      <w:pPr>
        <w:pStyle w:val="Heading3"/>
      </w:pPr>
      <w:r>
        <w:t>План реагирования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Зафиксировать профиль нагрузки и определить узкое место: БД, приложение, сеть или блокировки.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Временно ограничить некритические тяжёлые операции и применить согласованные настройки пула или лимитов.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После оптимизации повторить нагрузочный и регрессионный тесты до выполнения NFR.</w:t>
      </w:r>
    </w:p>
    <w:p>
      <w:pPr>
        <w:pStyle w:val="Heading3"/>
      </w:pPr>
      <w:r>
        <w:t>Остаточный риск и трассировка</w:t>
      </w:r>
    </w:p>
    <w:p>
      <w:pPr>
        <w:spacing w:after="60" w:line="259" w:lineRule="auto"/>
      </w:pPr>
      <w:r>
        <w:rPr>
          <w:rFonts w:ascii="Calibri" w:hAnsi="Calibri" w:eastAsia="Calibri"/>
          <w:b/>
          <w:color w:val="222222"/>
          <w:sz w:val="20"/>
        </w:rPr>
        <w:t>Остаточный риск:</w:t>
      </w:r>
      <w:r>
        <w:rPr>
          <w:rFonts w:ascii="Calibri" w:hAnsi="Calibri" w:eastAsia="Calibri"/>
          <w:color w:val="222222"/>
          <w:sz w:val="20"/>
        </w:rPr>
        <w:t xml:space="preserve"> Низкий, RE = 0.6 (низкая вероятность 0.2 * среднее влияние 3).</w:t>
      </w:r>
    </w:p>
    <w:p>
      <w:pPr>
        <w:spacing w:after="60" w:line="259" w:lineRule="auto"/>
      </w:pPr>
      <w:r>
        <w:rPr>
          <w:rFonts w:ascii="Calibri" w:hAnsi="Calibri" w:eastAsia="Calibri"/>
          <w:b/>
          <w:color w:val="222222"/>
          <w:sz w:val="20"/>
        </w:rPr>
        <w:t>Связанные документы и требования:</w:t>
      </w:r>
      <w:r>
        <w:rPr>
          <w:rFonts w:ascii="Calibri" w:hAnsi="Calibri" w:eastAsia="Calibri"/>
          <w:color w:val="222222"/>
          <w:sz w:val="20"/>
        </w:rPr>
        <w:t xml:space="preserve"> SRS: NFR-12-NFR-16; Vision, раздел 3.4; SDP, итерация T2.</w:t>
      </w:r>
    </w:p>
    <w:p>
      <w:pPr>
        <w:sectPr>
          <w:headerReference w:type="default" r:id="rId31"/>
          <w:footerReference w:type="default" r:id="rId32"/>
          <w:pgSz w:w="12240" w:h="15840"/>
          <w:pgMar w:top="936" w:right="1440" w:bottom="936" w:left="1440" w:header="504" w:footer="504" w:gutter="0"/>
          <w:cols w:space="720"/>
          <w:docGrid w:linePitch="360"/>
        </w:sectPr>
      </w:pPr>
    </w:p>
    <w:p>
      <w:pPr>
        <w:pStyle w:val="Heading2"/>
      </w:pPr>
      <w:r>
        <w:t>R-10: Низкая дисциплина ввода данных и сопротивление пользователей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50"/>
        <w:gridCol w:w="3330"/>
        <w:gridCol w:w="1350"/>
        <w:gridCol w:w="3330"/>
      </w:tblGrid>
      <w:tr>
        <w:trPr>
          <w:cantSplit w:val="true"/>
        </w:trPr>
        <w:tc>
          <w:tcPr>
            <w:tcW w:type="dxa" w:w="13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Категория</w:t>
            </w:r>
          </w:p>
        </w:tc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Внедрение</w:t>
            </w:r>
          </w:p>
        </w:tc>
        <w:tc>
          <w:tcPr>
            <w:tcW w:type="dxa" w:w="13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Владелец</w:t>
            </w:r>
          </w:p>
        </w:tc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Analyst</w:t>
            </w:r>
          </w:p>
        </w:tc>
      </w:tr>
      <w:tr>
        <w:trPr>
          <w:cantSplit w:val="true"/>
        </w:trPr>
        <w:tc>
          <w:tcPr>
            <w:tcW w:type="dxa" w:w="13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Вероятность</w:t>
            </w:r>
          </w:p>
        </w:tc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Средняя (0.5)</w:t>
            </w:r>
          </w:p>
        </w:tc>
        <w:tc>
          <w:tcPr>
            <w:tcW w:type="dxa" w:w="13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Влияние</w:t>
            </w:r>
          </w:p>
        </w:tc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Среднее (3)</w:t>
            </w:r>
          </w:p>
        </w:tc>
      </w:tr>
      <w:tr>
        <w:trPr>
          <w:cantSplit w:val="true"/>
        </w:trPr>
        <w:tc>
          <w:tcPr>
            <w:tcW w:type="dxa" w:w="13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RE</w:t>
            </w:r>
          </w:p>
        </w:tc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1.5</w:t>
            </w:r>
          </w:p>
        </w:tc>
        <w:tc>
          <w:tcPr>
            <w:tcW w:type="dxa" w:w="13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Уровень</w:t>
            </w:r>
          </w:p>
        </w:tc>
        <w:tc>
          <w:tcPr>
            <w:tcW w:type="dxa" w:w="3330"/>
            <w:vAlign w:val="center"/>
            <w:shd w:fill="FFF2C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Средний</w:t>
            </w:r>
          </w:p>
        </w:tc>
      </w:tr>
      <w:tr>
        <w:trPr>
          <w:cantSplit w:val="true"/>
        </w:trPr>
        <w:tc>
          <w:tcPr>
            <w:tcW w:type="dxa" w:w="13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Статус</w:t>
            </w:r>
          </w:p>
        </w:tc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Открыт</w:t>
            </w:r>
          </w:p>
        </w:tc>
        <w:tc>
          <w:tcPr>
            <w:tcW w:type="dxa" w:w="135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Пересмотр</w:t>
            </w:r>
          </w:p>
        </w:tc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Конец каждой итерации</w:t>
            </w:r>
          </w:p>
        </w:tc>
      </w:tr>
    </w:tbl>
    <w:p>
      <w:pPr>
        <w:pStyle w:val="Heading3"/>
      </w:pPr>
      <w:r>
        <w:t>Описание и влияние</w:t>
      </w:r>
    </w:p>
    <w:p>
      <w:pPr>
        <w:spacing w:after="60" w:line="259" w:lineRule="auto"/>
      </w:pPr>
      <w:r>
        <w:rPr>
          <w:rFonts w:ascii="Calibri" w:hAnsi="Calibri" w:eastAsia="Calibri"/>
          <w:color w:val="222222"/>
          <w:sz w:val="20"/>
        </w:rPr>
        <w:t>Воины, жители деревни и жрец могут несвоевременно подтверждать участие, обновлять склад или выполнять обязательные действия. В результате система будет показывать неполную или устаревшую готовность похода, даже если программные функции работают корректно.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Недостоверная сводка UC2 и риск ошибочного решения о запуске похода.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Задержка подготовки из-за отсутствующих подтверждений или данных о ресурсах.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Снижение доверия к системе и возврат к устным договорённостям.</w:t>
      </w:r>
    </w:p>
    <w:p>
      <w:pPr>
        <w:pStyle w:val="Heading3"/>
      </w:pPr>
      <w:r>
        <w:t>Индикаторы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00"/>
        <w:gridCol w:w="1740"/>
        <w:gridCol w:w="1440"/>
        <w:gridCol w:w="1440"/>
        <w:gridCol w:w="1440"/>
      </w:tblGrid>
      <w:tr>
        <w:trPr>
          <w:tblHeader w:val="true"/>
        </w:trPr>
        <w:tc>
          <w:tcPr>
            <w:tcW w:type="dxa" w:w="330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Метрика</w:t>
            </w:r>
          </w:p>
        </w:tc>
        <w:tc>
          <w:tcPr>
            <w:tcW w:type="dxa" w:w="174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Источник / частота</w:t>
            </w:r>
          </w:p>
        </w:tc>
        <w:tc>
          <w:tcPr>
            <w:tcW w:type="dxa" w:w="1440"/>
            <w:vAlign w:val="center"/>
            <w:shd w:fill="E2F0D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Зелёная зона</w:t>
            </w:r>
          </w:p>
        </w:tc>
        <w:tc>
          <w:tcPr>
            <w:tcW w:type="dxa" w:w="1440"/>
            <w:vAlign w:val="center"/>
            <w:shd w:fill="FFF2C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Жёлтая зона</w:t>
            </w:r>
          </w:p>
        </w:tc>
        <w:tc>
          <w:tcPr>
            <w:tcW w:type="dxa" w:w="1440"/>
            <w:vAlign w:val="center"/>
            <w:shd w:fill="FCE4D6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Красная зона</w:t>
            </w:r>
          </w:p>
        </w:tc>
      </w:tr>
      <w:tr>
        <w:trPr>
          <w:cantSplit w:val="true"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Обязательные действия, выполненные пользователями в срок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Audit / поход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&gt;= 90%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70-89%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&lt; 70%</w:t>
            </w:r>
          </w:p>
        </w:tc>
      </w:tr>
      <w:tr>
        <w:trPr>
          <w:cantSplit w:val="true"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Расхождение системных и фактических остатков склада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Сверка / поход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0-5%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6-15%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6"/>
              </w:rPr>
              <w:t>&gt; 15%</w:t>
            </w:r>
          </w:p>
        </w:tc>
      </w:tr>
    </w:tbl>
    <w:p>
      <w:pPr>
        <w:pStyle w:val="Heading3"/>
      </w:pPr>
      <w:r>
        <w:t>Стратегия смягчения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Соблюдать NFR-03: основные действия базовых ролей выполняются на одном экране.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Проводить короткий инструктаж, показывать понятные напоминания и назначать срок для каждого действия.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Перед запуском похода выполнять контролируемую сверку ресурсов и подтверждений обязательных ролей.</w:t>
      </w:r>
    </w:p>
    <w:p>
      <w:pPr>
        <w:pStyle w:val="Heading3"/>
      </w:pPr>
      <w:r>
        <w:t>План реагирования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Остановить запуск похода до получения подтверждений и завершения сверки данных.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Уполномоченный пользователь исправляет данные только через штатную операцию с обязательным аудитом.</w:t>
      </w:r>
    </w:p>
    <w:p>
      <w:pPr>
        <w:pStyle w:val="ListBullet"/>
        <w:spacing w:after="20" w:line="245" w:lineRule="auto"/>
      </w:pPr>
      <w:r>
        <w:rPr>
          <w:rFonts w:ascii="Calibri" w:hAnsi="Calibri" w:eastAsia="Calibri"/>
          <w:color w:val="222222"/>
          <w:sz w:val="19"/>
        </w:rPr>
        <w:t xml:space="preserve"> Провести повторный инструктаж и устранить UX-причины, из-за которых действие пропускается.</w:t>
      </w:r>
    </w:p>
    <w:p>
      <w:pPr>
        <w:pStyle w:val="Heading3"/>
      </w:pPr>
      <w:r>
        <w:t>Остаточный риск и трассировка</w:t>
      </w:r>
    </w:p>
    <w:p>
      <w:pPr>
        <w:spacing w:after="60" w:line="259" w:lineRule="auto"/>
      </w:pPr>
      <w:r>
        <w:rPr>
          <w:rFonts w:ascii="Calibri" w:hAnsi="Calibri" w:eastAsia="Calibri"/>
          <w:b/>
          <w:color w:val="222222"/>
          <w:sz w:val="20"/>
        </w:rPr>
        <w:t>Остаточный риск:</w:t>
      </w:r>
      <w:r>
        <w:rPr>
          <w:rFonts w:ascii="Calibri" w:hAnsi="Calibri" w:eastAsia="Calibri"/>
          <w:color w:val="222222"/>
          <w:sz w:val="20"/>
        </w:rPr>
        <w:t xml:space="preserve"> Низкий, RE = 0.6 (низкая вероятность 0.2 * среднее влияние 3).</w:t>
      </w:r>
    </w:p>
    <w:p>
      <w:pPr>
        <w:spacing w:after="60" w:line="259" w:lineRule="auto"/>
      </w:pPr>
      <w:r>
        <w:rPr>
          <w:rFonts w:ascii="Calibri" w:hAnsi="Calibri" w:eastAsia="Calibri"/>
          <w:b/>
          <w:color w:val="222222"/>
          <w:sz w:val="20"/>
        </w:rPr>
        <w:t>Связанные документы и требования:</w:t>
      </w:r>
      <w:r>
        <w:rPr>
          <w:rFonts w:ascii="Calibri" w:hAnsi="Calibri" w:eastAsia="Calibri"/>
          <w:color w:val="222222"/>
          <w:sz w:val="20"/>
        </w:rPr>
        <w:t xml:space="preserve"> SRS: FR-03-FR-08, FR-11-FR-12, NFR-03, NFR-06; Use Case: UC2, UC7, UC9, UC12.</w:t>
      </w:r>
    </w:p>
    <w:sectPr w:rsidR="00FC693F" w:rsidRPr="0006063C" w:rsidSect="00034616">
      <w:headerReference w:type="default" r:id="rId33"/>
      <w:footerReference w:type="default" r:id="rId34"/>
      <w:pgSz w:w="12240" w:h="15840"/>
      <w:pgMar w:top="936" w:right="1440" w:bottom="936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Calibri" w:hAnsi="Calibri" w:eastAsia="Calibri"/>
        <w:color w:val="666666"/>
        <w:sz w:val="18"/>
      </w:rPr>
      <w:t xml:space="preserve">Страница </w:t>
    </w:r>
    <w:r>
      <w:rPr>
        <w:rFonts w:ascii="Calibri" w:hAnsi="Calibri" w:eastAsia="Calibri"/>
        <w:color w:val="666666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Calibri"/>
        <w:color w:val="666666"/>
        <w:sz w:val="18"/>
      </w:rPr>
      <w:t xml:space="preserve"> из </w:t>
    </w:r>
    <w:r>
      <w:rPr>
        <w:rFonts w:ascii="Calibri" w:hAnsi="Calibri" w:eastAsia="Calibri"/>
        <w:color w:val="666666"/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Calibri" w:hAnsi="Calibri" w:eastAsia="Calibri"/>
        <w:color w:val="666666"/>
        <w:sz w:val="18"/>
      </w:rPr>
      <w:t xml:space="preserve">Страница </w:t>
    </w:r>
    <w:r>
      <w:rPr>
        <w:rFonts w:ascii="Calibri" w:hAnsi="Calibri" w:eastAsia="Calibri"/>
        <w:color w:val="666666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Calibri"/>
        <w:color w:val="666666"/>
        <w:sz w:val="18"/>
      </w:rPr>
      <w:t xml:space="preserve"> из </w:t>
    </w:r>
    <w:r>
      <w:rPr>
        <w:rFonts w:ascii="Calibri" w:hAnsi="Calibri" w:eastAsia="Calibri"/>
        <w:color w:val="666666"/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Calibri" w:hAnsi="Calibri" w:eastAsia="Calibri"/>
        <w:color w:val="666666"/>
        <w:sz w:val="18"/>
      </w:rPr>
      <w:t xml:space="preserve">Страница </w:t>
    </w:r>
    <w:r>
      <w:rPr>
        <w:rFonts w:ascii="Calibri" w:hAnsi="Calibri" w:eastAsia="Calibri"/>
        <w:color w:val="666666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Calibri"/>
        <w:color w:val="666666"/>
        <w:sz w:val="18"/>
      </w:rPr>
      <w:t xml:space="preserve"> из </w:t>
    </w:r>
    <w:r>
      <w:rPr>
        <w:rFonts w:ascii="Calibri" w:hAnsi="Calibri" w:eastAsia="Calibri"/>
        <w:color w:val="666666"/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Calibri" w:hAnsi="Calibri" w:eastAsia="Calibri"/>
        <w:color w:val="666666"/>
        <w:sz w:val="18"/>
      </w:rPr>
      <w:t xml:space="preserve">Страница </w:t>
    </w:r>
    <w:r>
      <w:rPr>
        <w:rFonts w:ascii="Calibri" w:hAnsi="Calibri" w:eastAsia="Calibri"/>
        <w:color w:val="666666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Calibri"/>
        <w:color w:val="666666"/>
        <w:sz w:val="18"/>
      </w:rPr>
      <w:t xml:space="preserve"> из </w:t>
    </w:r>
    <w:r>
      <w:rPr>
        <w:rFonts w:ascii="Calibri" w:hAnsi="Calibri" w:eastAsia="Calibri"/>
        <w:color w:val="666666"/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Calibri" w:hAnsi="Calibri" w:eastAsia="Calibri"/>
        <w:color w:val="666666"/>
        <w:sz w:val="18"/>
      </w:rPr>
      <w:t xml:space="preserve">Страница </w:t>
    </w:r>
    <w:r>
      <w:rPr>
        <w:rFonts w:ascii="Calibri" w:hAnsi="Calibri" w:eastAsia="Calibri"/>
        <w:color w:val="666666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Calibri"/>
        <w:color w:val="666666"/>
        <w:sz w:val="18"/>
      </w:rPr>
      <w:t xml:space="preserve"> из </w:t>
    </w:r>
    <w:r>
      <w:rPr>
        <w:rFonts w:ascii="Calibri" w:hAnsi="Calibri" w:eastAsia="Calibri"/>
        <w:color w:val="666666"/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Calibri" w:hAnsi="Calibri" w:eastAsia="Calibri"/>
        <w:color w:val="666666"/>
        <w:sz w:val="18"/>
      </w:rPr>
      <w:t xml:space="preserve">Страница </w:t>
    </w:r>
    <w:r>
      <w:rPr>
        <w:rFonts w:ascii="Calibri" w:hAnsi="Calibri" w:eastAsia="Calibri"/>
        <w:color w:val="666666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Calibri"/>
        <w:color w:val="666666"/>
        <w:sz w:val="18"/>
      </w:rPr>
      <w:t xml:space="preserve"> из </w:t>
    </w:r>
    <w:r>
      <w:rPr>
        <w:rFonts w:ascii="Calibri" w:hAnsi="Calibri" w:eastAsia="Calibri"/>
        <w:color w:val="666666"/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Calibri" w:hAnsi="Calibri" w:eastAsia="Calibri"/>
        <w:color w:val="666666"/>
        <w:sz w:val="18"/>
      </w:rPr>
      <w:t xml:space="preserve">Страница </w:t>
    </w:r>
    <w:r>
      <w:rPr>
        <w:rFonts w:ascii="Calibri" w:hAnsi="Calibri" w:eastAsia="Calibri"/>
        <w:color w:val="666666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Calibri"/>
        <w:color w:val="666666"/>
        <w:sz w:val="18"/>
      </w:rPr>
      <w:t xml:space="preserve"> из </w:t>
    </w:r>
    <w:r>
      <w:rPr>
        <w:rFonts w:ascii="Calibri" w:hAnsi="Calibri" w:eastAsia="Calibri"/>
        <w:color w:val="666666"/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Calibri" w:hAnsi="Calibri" w:eastAsia="Calibri"/>
        <w:color w:val="666666"/>
        <w:sz w:val="18"/>
      </w:rPr>
      <w:t xml:space="preserve">Страница </w:t>
    </w:r>
    <w:r>
      <w:rPr>
        <w:rFonts w:ascii="Calibri" w:hAnsi="Calibri" w:eastAsia="Calibri"/>
        <w:color w:val="666666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Calibri"/>
        <w:color w:val="666666"/>
        <w:sz w:val="18"/>
      </w:rPr>
      <w:t xml:space="preserve"> из </w:t>
    </w:r>
    <w:r>
      <w:rPr>
        <w:rFonts w:ascii="Calibri" w:hAnsi="Calibri" w:eastAsia="Calibri"/>
        <w:color w:val="666666"/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Calibri" w:hAnsi="Calibri" w:eastAsia="Calibri"/>
        <w:color w:val="666666"/>
        <w:sz w:val="18"/>
      </w:rPr>
      <w:t xml:space="preserve">Страница </w:t>
    </w:r>
    <w:r>
      <w:rPr>
        <w:rFonts w:ascii="Calibri" w:hAnsi="Calibri" w:eastAsia="Calibri"/>
        <w:color w:val="666666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Calibri"/>
        <w:color w:val="666666"/>
        <w:sz w:val="18"/>
      </w:rPr>
      <w:t xml:space="preserve"> из </w:t>
    </w:r>
    <w:r>
      <w:rPr>
        <w:rFonts w:ascii="Calibri" w:hAnsi="Calibri" w:eastAsia="Calibri"/>
        <w:color w:val="666666"/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Calibri" w:hAnsi="Calibri" w:eastAsia="Calibri"/>
        <w:color w:val="666666"/>
        <w:sz w:val="18"/>
      </w:rPr>
      <w:t xml:space="preserve">Страница </w:t>
    </w:r>
    <w:r>
      <w:rPr>
        <w:rFonts w:ascii="Calibri" w:hAnsi="Calibri" w:eastAsia="Calibri"/>
        <w:color w:val="666666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Calibri"/>
        <w:color w:val="666666"/>
        <w:sz w:val="18"/>
      </w:rPr>
      <w:t xml:space="preserve"> из </w:t>
    </w:r>
    <w:r>
      <w:rPr>
        <w:rFonts w:ascii="Calibri" w:hAnsi="Calibri" w:eastAsia="Calibri"/>
        <w:color w:val="666666"/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Calibri" w:hAnsi="Calibri" w:eastAsia="Calibri"/>
        <w:color w:val="666666"/>
        <w:sz w:val="18"/>
      </w:rPr>
      <w:t xml:space="preserve">Страница </w:t>
    </w:r>
    <w:r>
      <w:rPr>
        <w:rFonts w:ascii="Calibri" w:hAnsi="Calibri" w:eastAsia="Calibri"/>
        <w:color w:val="666666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Calibri"/>
        <w:color w:val="666666"/>
        <w:sz w:val="18"/>
      </w:rPr>
      <w:t xml:space="preserve"> из </w:t>
    </w:r>
    <w:r>
      <w:rPr>
        <w:rFonts w:ascii="Calibri" w:hAnsi="Calibri" w:eastAsia="Calibri"/>
        <w:color w:val="666666"/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Calibri" w:hAnsi="Calibri" w:eastAsia="Calibri"/>
        <w:color w:val="666666"/>
        <w:sz w:val="18"/>
      </w:rPr>
      <w:t xml:space="preserve">Страница </w:t>
    </w:r>
    <w:r>
      <w:rPr>
        <w:rFonts w:ascii="Calibri" w:hAnsi="Calibri" w:eastAsia="Calibri"/>
        <w:color w:val="666666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Calibri"/>
        <w:color w:val="666666"/>
        <w:sz w:val="18"/>
      </w:rPr>
      <w:t xml:space="preserve"> из </w:t>
    </w:r>
    <w:r>
      <w:rPr>
        <w:rFonts w:ascii="Calibri" w:hAnsi="Calibri" w:eastAsia="Calibri"/>
        <w:color w:val="666666"/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Calibri" w:hAnsi="Calibri" w:eastAsia="Calibri"/>
        <w:color w:val="666666"/>
        <w:sz w:val="18"/>
      </w:rPr>
      <w:t xml:space="preserve">Страница </w:t>
    </w:r>
    <w:r>
      <w:rPr>
        <w:rFonts w:ascii="Calibri" w:hAnsi="Calibri" w:eastAsia="Calibri"/>
        <w:color w:val="666666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Calibri"/>
        <w:color w:val="666666"/>
        <w:sz w:val="18"/>
      </w:rPr>
      <w:t xml:space="preserve"> из </w:t>
    </w:r>
    <w:r>
      <w:rPr>
        <w:rFonts w:ascii="Calibri" w:hAnsi="Calibri" w:eastAsia="Calibri"/>
        <w:color w:val="666666"/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  <w:jc w:val="left"/>
    </w:pPr>
    <w:r/>
    <w:r>
      <w:rPr>
        <w:rFonts w:ascii="Calibri" w:hAnsi="Calibri" w:eastAsia="Calibri"/>
        <w:b/>
        <w:color w:val="666666"/>
        <w:sz w:val="18"/>
      </w:rPr>
      <w:t>Drakkar ERP  |  Risk List</w:t>
    </w:r>
    <w:r>
      <w:rPr>
        <w:rFonts w:ascii="Calibri" w:hAnsi="Calibri" w:eastAsia="Calibri"/>
        <w:color w:val="666666"/>
        <w:sz w:val="18"/>
      </w:rPr>
      <w:tab/>
      <w:t>Версия 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  <w:jc w:val="left"/>
    </w:pPr>
    <w:r/>
    <w:r>
      <w:rPr>
        <w:rFonts w:ascii="Calibri" w:hAnsi="Calibri" w:eastAsia="Calibri"/>
        <w:b/>
        <w:color w:val="666666"/>
        <w:sz w:val="18"/>
      </w:rPr>
      <w:t>Drakkar ERP  |  Risk List</w:t>
    </w:r>
    <w:r>
      <w:rPr>
        <w:rFonts w:ascii="Calibri" w:hAnsi="Calibri" w:eastAsia="Calibri"/>
        <w:color w:val="666666"/>
        <w:sz w:val="18"/>
      </w:rPr>
      <w:tab/>
      <w:t>Версия 1.0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  <w:jc w:val="left"/>
    </w:pPr>
    <w:r/>
    <w:r>
      <w:rPr>
        <w:rFonts w:ascii="Calibri" w:hAnsi="Calibri" w:eastAsia="Calibri"/>
        <w:b/>
        <w:color w:val="666666"/>
        <w:sz w:val="18"/>
      </w:rPr>
      <w:t>Drakkar ERP  |  Risk List</w:t>
    </w:r>
    <w:r>
      <w:rPr>
        <w:rFonts w:ascii="Calibri" w:hAnsi="Calibri" w:eastAsia="Calibri"/>
        <w:color w:val="666666"/>
        <w:sz w:val="18"/>
      </w:rPr>
      <w:tab/>
      <w:t>Версия 1.0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  <w:jc w:val="left"/>
    </w:pPr>
    <w:r/>
    <w:r>
      <w:rPr>
        <w:rFonts w:ascii="Calibri" w:hAnsi="Calibri" w:eastAsia="Calibri"/>
        <w:b/>
        <w:color w:val="666666"/>
        <w:sz w:val="18"/>
      </w:rPr>
      <w:t>Drakkar ERP  |  Risk List</w:t>
    </w:r>
    <w:r>
      <w:rPr>
        <w:rFonts w:ascii="Calibri" w:hAnsi="Calibri" w:eastAsia="Calibri"/>
        <w:color w:val="666666"/>
        <w:sz w:val="18"/>
      </w:rPr>
      <w:tab/>
      <w:t>Версия 1.0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  <w:jc w:val="left"/>
    </w:pPr>
    <w:r/>
    <w:r>
      <w:rPr>
        <w:rFonts w:ascii="Calibri" w:hAnsi="Calibri" w:eastAsia="Calibri"/>
        <w:b/>
        <w:color w:val="666666"/>
        <w:sz w:val="18"/>
      </w:rPr>
      <w:t>Drakkar ERP  |  Risk List</w:t>
    </w:r>
    <w:r>
      <w:rPr>
        <w:rFonts w:ascii="Calibri" w:hAnsi="Calibri" w:eastAsia="Calibri"/>
        <w:color w:val="666666"/>
        <w:sz w:val="18"/>
      </w:rPr>
      <w:tab/>
      <w:t>Версия 1.0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  <w:jc w:val="left"/>
    </w:pPr>
    <w:r/>
    <w:r>
      <w:rPr>
        <w:rFonts w:ascii="Calibri" w:hAnsi="Calibri" w:eastAsia="Calibri"/>
        <w:b/>
        <w:color w:val="666666"/>
        <w:sz w:val="18"/>
      </w:rPr>
      <w:t>Drakkar ERP  |  Risk List</w:t>
    </w:r>
    <w:r>
      <w:rPr>
        <w:rFonts w:ascii="Calibri" w:hAnsi="Calibri" w:eastAsia="Calibri"/>
        <w:color w:val="666666"/>
        <w:sz w:val="18"/>
      </w:rPr>
      <w:tab/>
      <w:t>Версия 1.0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  <w:jc w:val="left"/>
    </w:pPr>
    <w:r/>
    <w:r>
      <w:rPr>
        <w:rFonts w:ascii="Calibri" w:hAnsi="Calibri" w:eastAsia="Calibri"/>
        <w:b/>
        <w:color w:val="666666"/>
        <w:sz w:val="18"/>
      </w:rPr>
      <w:t>Drakkar ERP  |  Risk List</w:t>
    </w:r>
    <w:r>
      <w:rPr>
        <w:rFonts w:ascii="Calibri" w:hAnsi="Calibri" w:eastAsia="Calibri"/>
        <w:color w:val="666666"/>
        <w:sz w:val="18"/>
      </w:rPr>
      <w:tab/>
      <w:t>Версия 1.0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  <w:jc w:val="left"/>
    </w:pPr>
    <w:r/>
    <w:r>
      <w:rPr>
        <w:rFonts w:ascii="Calibri" w:hAnsi="Calibri" w:eastAsia="Calibri"/>
        <w:b/>
        <w:color w:val="666666"/>
        <w:sz w:val="18"/>
      </w:rPr>
      <w:t>Drakkar ERP  |  Risk List</w:t>
    </w:r>
    <w:r>
      <w:rPr>
        <w:rFonts w:ascii="Calibri" w:hAnsi="Calibri" w:eastAsia="Calibri"/>
        <w:color w:val="666666"/>
        <w:sz w:val="18"/>
      </w:rPr>
      <w:tab/>
      <w:t>Версия 1.0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  <w:jc w:val="left"/>
    </w:pPr>
    <w:r/>
    <w:r>
      <w:rPr>
        <w:rFonts w:ascii="Calibri" w:hAnsi="Calibri" w:eastAsia="Calibri"/>
        <w:b/>
        <w:color w:val="666666"/>
        <w:sz w:val="18"/>
      </w:rPr>
      <w:t>Drakkar ERP  |  Risk List</w:t>
    </w:r>
    <w:r>
      <w:rPr>
        <w:rFonts w:ascii="Calibri" w:hAnsi="Calibri" w:eastAsia="Calibri"/>
        <w:color w:val="666666"/>
        <w:sz w:val="18"/>
      </w:rPr>
      <w:tab/>
      <w:t>Версия 1.0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  <w:jc w:val="left"/>
    </w:pPr>
    <w:r/>
    <w:r>
      <w:rPr>
        <w:rFonts w:ascii="Calibri" w:hAnsi="Calibri" w:eastAsia="Calibri"/>
        <w:b/>
        <w:color w:val="666666"/>
        <w:sz w:val="18"/>
      </w:rPr>
      <w:t>Drakkar ERP  |  Risk List</w:t>
    </w:r>
    <w:r>
      <w:rPr>
        <w:rFonts w:ascii="Calibri" w:hAnsi="Calibri" w:eastAsia="Calibri"/>
        <w:color w:val="666666"/>
        <w:sz w:val="18"/>
      </w:rPr>
      <w:tab/>
      <w:t>Версия 1.0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  <w:jc w:val="left"/>
    </w:pPr>
    <w:r/>
    <w:r>
      <w:rPr>
        <w:rFonts w:ascii="Calibri" w:hAnsi="Calibri" w:eastAsia="Calibri"/>
        <w:b/>
        <w:color w:val="666666"/>
        <w:sz w:val="18"/>
      </w:rPr>
      <w:t>Drakkar ERP  |  Risk List</w:t>
    </w:r>
    <w:r>
      <w:rPr>
        <w:rFonts w:ascii="Calibri" w:hAnsi="Calibri" w:eastAsia="Calibri"/>
        <w:color w:val="666666"/>
        <w:sz w:val="18"/>
      </w:rPr>
      <w:tab/>
      <w:t>Версия 1.0</w:t>
    </w:r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  <w:jc w:val="left"/>
    </w:pPr>
    <w:r/>
    <w:r>
      <w:rPr>
        <w:rFonts w:ascii="Calibri" w:hAnsi="Calibri" w:eastAsia="Calibri"/>
        <w:b/>
        <w:color w:val="666666"/>
        <w:sz w:val="18"/>
      </w:rPr>
      <w:t>Drakkar ERP  |  Risk List</w:t>
    </w:r>
    <w:r>
      <w:rPr>
        <w:rFonts w:ascii="Calibri" w:hAnsi="Calibri" w:eastAsia="Calibri"/>
        <w:color w:val="666666"/>
        <w:sz w:val="18"/>
      </w:rPr>
      <w:tab/>
      <w:t>Версия 1.0</w:t>
    </w:r>
  </w:p>
</w:hdr>
</file>

<file path=word/header1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  <w:jc w:val="left"/>
    </w:pPr>
    <w:r/>
    <w:r>
      <w:rPr>
        <w:rFonts w:ascii="Calibri" w:hAnsi="Calibri" w:eastAsia="Calibri"/>
        <w:b/>
        <w:color w:val="666666"/>
        <w:sz w:val="18"/>
      </w:rPr>
      <w:t>Drakkar ERP  |  Risk List</w:t>
    </w:r>
    <w:r>
      <w:rPr>
        <w:rFonts w:ascii="Calibri" w:hAnsi="Calibri" w:eastAsia="Calibri"/>
        <w:color w:val="666666"/>
        <w:sz w:val="18"/>
      </w:rPr>
      <w:tab/>
      <w:t>Версия 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decimal"/>
      <w:lvlText w:val="%1."/>
      <w:suff w:val="space"/>
      <w:pStyle w:val="Heading1"/>
    </w:lvl>
    <w:lvl w:ilvl="1">
      <w:start w:val="1"/>
      <w:numFmt w:val="decimal"/>
      <w:lvlText w:val="%1.%2"/>
      <w:suff w:val="space"/>
      <w:pStyle w:val="Heading2"/>
    </w:lvl>
    <w:lvl w:ilvl="2">
      <w:start w:val="1"/>
      <w:numFmt w:val="decimal"/>
      <w:lvlText w:val="%1.%2.%3"/>
      <w:suff w:val="space"/>
      <w:pStyle w:val="Heading3"/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76" w:lineRule="auto"/>
    </w:pPr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  <w:numPr>
        <w:ilvl w:val="0"/>
        <w:numId w:val="10"/>
      </w:numPr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  <w:numPr>
        <w:ilvl w:val="1"/>
        <w:numId w:val="10"/>
      </w:numPr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  <w:numPr>
        <w:ilvl w:val="2"/>
        <w:numId w:val="10"/>
      </w:numPr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20"/>
    </w:pPr>
    <w:rPr>
      <w:rFonts w:asciiTheme="majorHAnsi" w:eastAsiaTheme="majorEastAsia" w:hAnsiTheme="majorHAnsi" w:cstheme="majorBidi" w:ascii="Calibri" w:hAnsi="Calibri"/>
      <w:i/>
      <w:iCs/>
      <w:color w:val="66666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64" w:lineRule="auto"/>
      <w:ind w:left="648" w:hanging="288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Relationship Id="rId17" Type="http://schemas.openxmlformats.org/officeDocument/2006/relationships/header" Target="header5.xml"/><Relationship Id="rId18" Type="http://schemas.openxmlformats.org/officeDocument/2006/relationships/footer" Target="footer5.xml"/><Relationship Id="rId19" Type="http://schemas.openxmlformats.org/officeDocument/2006/relationships/header" Target="header6.xml"/><Relationship Id="rId20" Type="http://schemas.openxmlformats.org/officeDocument/2006/relationships/footer" Target="footer6.xml"/><Relationship Id="rId21" Type="http://schemas.openxmlformats.org/officeDocument/2006/relationships/header" Target="header7.xml"/><Relationship Id="rId22" Type="http://schemas.openxmlformats.org/officeDocument/2006/relationships/footer" Target="footer7.xml"/><Relationship Id="rId23" Type="http://schemas.openxmlformats.org/officeDocument/2006/relationships/header" Target="header8.xml"/><Relationship Id="rId24" Type="http://schemas.openxmlformats.org/officeDocument/2006/relationships/footer" Target="footer8.xml"/><Relationship Id="rId25" Type="http://schemas.openxmlformats.org/officeDocument/2006/relationships/header" Target="header9.xml"/><Relationship Id="rId26" Type="http://schemas.openxmlformats.org/officeDocument/2006/relationships/footer" Target="footer9.xml"/><Relationship Id="rId27" Type="http://schemas.openxmlformats.org/officeDocument/2006/relationships/header" Target="header10.xml"/><Relationship Id="rId28" Type="http://schemas.openxmlformats.org/officeDocument/2006/relationships/footer" Target="footer10.xml"/><Relationship Id="rId29" Type="http://schemas.openxmlformats.org/officeDocument/2006/relationships/header" Target="header11.xml"/><Relationship Id="rId30" Type="http://schemas.openxmlformats.org/officeDocument/2006/relationships/footer" Target="footer11.xml"/><Relationship Id="rId31" Type="http://schemas.openxmlformats.org/officeDocument/2006/relationships/header" Target="header12.xml"/><Relationship Id="rId32" Type="http://schemas.openxmlformats.org/officeDocument/2006/relationships/footer" Target="footer12.xml"/><Relationship Id="rId33" Type="http://schemas.openxmlformats.org/officeDocument/2006/relationships/header" Target="header13.xml"/><Relationship Id="rId34" Type="http://schemas.openxmlformats.org/officeDocument/2006/relationships/footer" Target="footer1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List (Список рисков) Drakkar ERP</dc:title>
  <dc:subject>Реестр рисков проекта Drakkar ERP</dc:subject>
  <dc:creator>Рахматуллин Р.Б.; Дементьев Н.А.</dc:creator>
  <cp:keywords>Drakkar ERP, Risk List, risks, project management</cp:keywords>
  <dc:description>generated by python-docx</dc:description>
  <cp:lastModifiedBy>Рахматуллин Р.Б.</cp:lastModifiedBy>
  <cp:revision>1</cp:revision>
  <dcterms:created xsi:type="dcterms:W3CDTF">2013-12-23T23:15:00Z</dcterms:created>
  <dcterms:modified xsi:type="dcterms:W3CDTF">2013-12-23T23:15:00Z</dcterms:modified>
  <cp:category/>
</cp:coreProperties>
</file>