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Times New Roman" w:hAnsi="Times New Roman"/>
          <w:color w:val="000000"/>
          <w:sz w:val="36"/>
        </w:rPr>
        <w:t>Table 1. Eligible cohorts and distinct supervision policies</w:t>
      </w:r>
    </w:p>
    <w:p>
      <w:r>
        <w:t>Counts are company–fiscal-year observations, not independent legal cases.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rPr>
          <w:tblHeader/>
          <w:cantSplit/>
        </w:trPr>
        <w:tc>
          <w:tcPr>
            <w:tcW w:type="dxa" w:w="36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Analysis / partition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Years</w:t>
            </w:r>
          </w:p>
        </w:tc>
        <w:tc>
          <w:tcPr>
            <w:tcW w:type="dxa" w:w="129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Rows</w:t>
            </w:r>
          </w:p>
        </w:tc>
        <w:tc>
          <w:tcPr>
            <w:tcW w:type="dxa" w:w="10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Positive</w:t>
            </w:r>
          </w:p>
        </w:tc>
        <w:tc>
          <w:tcPr>
            <w:tcW w:type="dxa" w:w="115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Negative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Original / B / B0 / extension train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2010–2018</w:t>
            </w:r>
          </w:p>
        </w:tc>
        <w:tc>
          <w:tcPr>
            <w:tcW w:type="dxa" w:w="129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24,106</w:t>
            </w:r>
          </w:p>
        </w:tc>
        <w:tc>
          <w:tcPr>
            <w:tcW w:type="dxa" w:w="10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254</w:t>
            </w:r>
          </w:p>
        </w:tc>
        <w:tc>
          <w:tcPr>
            <w:tcW w:type="dxa" w:w="115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23,852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Original / B / B0 / extension validation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2019–2020</w:t>
            </w:r>
          </w:p>
        </w:tc>
        <w:tc>
          <w:tcPr>
            <w:tcW w:type="dxa" w:w="129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7,309</w:t>
            </w:r>
          </w:p>
        </w:tc>
        <w:tc>
          <w:tcPr>
            <w:tcW w:type="dxa" w:w="10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  <w:tc>
          <w:tcPr>
            <w:tcW w:type="dxa" w:w="115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7,269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All reported full tests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2021–2022</w:t>
            </w:r>
          </w:p>
        </w:tc>
        <w:tc>
          <w:tcPr>
            <w:tcW w:type="dxa" w:w="129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8,435</w:t>
            </w:r>
          </w:p>
        </w:tc>
        <w:tc>
          <w:tcPr>
            <w:tcW w:type="dxa" w:w="10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20</w:t>
            </w:r>
          </w:p>
        </w:tc>
        <w:tc>
          <w:tcPr>
            <w:tcW w:type="dxa" w:w="115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8,415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A: retained train supervision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2010–2018</w:t>
            </w:r>
          </w:p>
        </w:tc>
        <w:tc>
          <w:tcPr>
            <w:tcW w:type="dxa" w:w="129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24,066</w:t>
            </w:r>
          </w:p>
        </w:tc>
        <w:tc>
          <w:tcPr>
            <w:tcW w:type="dxa" w:w="10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214</w:t>
            </w:r>
          </w:p>
        </w:tc>
        <w:tc>
          <w:tcPr>
            <w:tcW w:type="dxa" w:w="115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23,852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A: retained validation supervision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2019–2020</w:t>
            </w:r>
          </w:p>
        </w:tc>
        <w:tc>
          <w:tcPr>
            <w:tcW w:type="dxa" w:w="129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7,293</w:t>
            </w:r>
          </w:p>
        </w:tc>
        <w:tc>
          <w:tcPr>
            <w:tcW w:type="dxa" w:w="10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24</w:t>
            </w:r>
          </w:p>
        </w:tc>
        <w:tc>
          <w:tcPr>
            <w:tcW w:type="dxa" w:w="115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7,269</w:t>
            </w:r>
          </w:p>
        </w:tc>
      </w:tr>
    </w:tbl>
    <w:p>
      <w:r>
        <w:t>The common-cutoff endpoint requires at least 1,095 days to 8 May 2026; it is not a fixed outcome horizon. The 10,027 rows from 2023–2024 remain null. A removes 40/16 training/validation positives without changing negatives or test membership. The 42-input extension uses the original B0 supervision, not A. Detailed null accounting and the historical label transition are in Supplement S1.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51" w:bottom="1008" w:left="1195" w:header="36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suppressLineNumbers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suppressLineNumbers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Times New Roman" w:hAnsi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PeerJ CS-2026:06:141707 table asset</dc:title>
  <dc:subject/>
  <dc:creator>Yi Qiu Cheng; Xiao Rong Cheng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