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Times New Roman" w:hAnsi="Times New Roman"/>
          <w:color w:val="000000"/>
          <w:sz w:val="36"/>
        </w:rPr>
        <w:t>Table 2. Full, D and O results across the retained conditions</w:t>
      </w:r>
    </w:p>
    <w:p>
      <w:r>
        <w:t>Mean per-fit AUC and budget hits. D/O share all 8,415 negatives; seven/thirteen positives, respectively.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4"/>
        <w:gridCol w:w="2084"/>
        <w:gridCol w:w="2084"/>
        <w:gridCol w:w="2084"/>
        <w:gridCol w:w="2084"/>
        <w:gridCol w:w="2084"/>
        <w:gridCol w:w="2084"/>
      </w:tblGrid>
      <w:tr>
        <w:trPr>
          <w:tblHeader/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Condition / input count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Learner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Full AUC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D AUC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O AUC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Full hits / 422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8"/>
              </w:rPr>
              <w:t>D hits / 422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Primary,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0.8319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0.6738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0.9170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6.2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Primary,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RF, unweighted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0.8639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0.7314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0.9352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7.0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Primary,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GCN, reverse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0.8181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0.7260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0.8677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2.4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Primary,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GraphSAGE, reverse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0.8173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0.6699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0.8967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purge,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0.8213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0.6692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0.9032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5.6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purge,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RF, unweighted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0.8515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0.7136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0.9258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7.0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purge,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GCN, reverse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0.8088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0.7253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0.8538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2.2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 purge,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GraphSAGE, reverse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0.8008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0.6456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0.8844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As-of zero-fill,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0.8316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0.6700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0.9186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5.8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As-of zero-fill,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RF, unweighted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0.9049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0.8211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0.9500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9.0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Donor mean3,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0.8286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0.6655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0.9164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5.9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Donor mean3, 129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RF, unweighted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0.8523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0.7051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0.9316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6.4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FIN87 deleted, 42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MLP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0.7390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0.5559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0.8376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5.6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FIN87 deleted, 42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RF, unweighted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0.7479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0.5050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0.8787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5.0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FIN87 deleted, 42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GCN, reverse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0.7359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0.5365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0.8432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6.0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FIN87 deleted, 42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GraphSAGE, reverse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0.7186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0.5270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0.8218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6.0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Source flags, 3</w:t>
            </w:r>
          </w:p>
        </w:tc>
        <w:tc>
          <w:tcPr>
            <w:tcW w:type="dxa" w:w="230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RF, unweighted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0.8447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0.7849</w:t>
            </w:r>
          </w:p>
        </w:tc>
        <w:tc>
          <w:tcPr>
            <w:tcW w:type="dxa" w:w="144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0.8769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13.0</w:t>
            </w:r>
          </w:p>
        </w:tc>
        <w:tc>
          <w:tcPr>
            <w:tcW w:type="dxa" w:w="1872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8"/>
              </w:rPr>
              <w:t>4.0</w:t>
            </w:r>
          </w:p>
        </w:tc>
      </w:tr>
    </w:tbl>
    <w:p>
      <w:r>
        <w:t>Source-status RF has attainable tie-hit bounds Full 12–16 and D 3–5; its deterministic counts are 13 and 4. These bounds are not confidence intervals. D/O re-ranking is not additive with full-list hits. Donor mean3 averages metrics over three fixed worlds and five seeds, not ensemble scores. Matched 42-input paired intervals are in Table 4; all rows retain their distinct input and supervision identities. Full S/J and all per-seed/multi-metric records remain in the Supplement and evidence folder.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008" w:right="1051" w:bottom="1008" w:left="1195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uppressLineNumbers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suppressLineNumbers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PeerJ CS-2026:06:141707 table asset</dc:title>
  <dc:subject/>
  <dc:creator>Yi Qiu Cheng; Xiao Rong Cheng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