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Times New Roman" w:hAnsi="Times New Roman"/>
          <w:color w:val="000000"/>
          <w:sz w:val="36"/>
        </w:rPr>
        <w:t>Table 3. Financial representation and feature-expansion contrasts</w:t>
      </w:r>
    </w:p>
    <w:p>
      <w:r>
        <w:t>Primary 95% company×matched-seed percentile intervals, 2,000 draws. Results of the 105-fit programme retained; not intervals for the separate 42-input GNN extension.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18"/>
        <w:gridCol w:w="2918"/>
        <w:gridCol w:w="2918"/>
        <w:gridCol w:w="2918"/>
        <w:gridCol w:w="2918"/>
      </w:tblGrid>
      <w:tr>
        <w:trPr>
          <w:tblHeader/>
          <w:cantSplit/>
        </w:trPr>
        <w:tc>
          <w:tcPr>
            <w:tcW w:type="dxa" w:w="360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0"/>
              </w:rPr>
              <w:t>Paired comparison</w:t>
            </w:r>
          </w:p>
        </w:tc>
        <w:tc>
          <w:tcPr>
            <w:tcW w:type="dxa" w:w="208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0"/>
              </w:rPr>
              <w:t>Learner / input</w:t>
            </w:r>
          </w:p>
        </w:tc>
        <w:tc>
          <w:tcPr>
            <w:tcW w:type="dxa" w:w="288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0"/>
              </w:rPr>
              <w:t>Absolute AUC means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0"/>
              </w:rPr>
              <w:t>ΔAUC</w:t>
            </w:r>
          </w:p>
        </w:tc>
        <w:tc>
          <w:tcPr>
            <w:tcW w:type="dxa" w:w="32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0"/>
              </w:rPr>
              <w:t>95% interval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Donor − as-of zero-fill</w:t>
            </w:r>
          </w:p>
        </w:tc>
        <w:tc>
          <w:tcPr>
            <w:tcW w:type="dxa" w:w="208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MLP M5</w:t>
            </w:r>
          </w:p>
        </w:tc>
        <w:tc>
          <w:tcPr>
            <w:tcW w:type="dxa" w:w="288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0.7673 → 0.7696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+0.0023</w:t>
            </w:r>
          </w:p>
        </w:tc>
        <w:tc>
          <w:tcPr>
            <w:tcW w:type="dxa" w:w="32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[−0.0196, +0.0251]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Donor − as-of zero-fill</w:t>
            </w:r>
          </w:p>
        </w:tc>
        <w:tc>
          <w:tcPr>
            <w:tcW w:type="dxa" w:w="208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MLP M11</w:t>
            </w:r>
          </w:p>
        </w:tc>
        <w:tc>
          <w:tcPr>
            <w:tcW w:type="dxa" w:w="288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0.8316 → 0.8286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−0.0030</w:t>
            </w:r>
          </w:p>
        </w:tc>
        <w:tc>
          <w:tcPr>
            <w:tcW w:type="dxa" w:w="32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[−0.0167, +0.0107]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Donor − as-of zero-fill</w:t>
            </w:r>
          </w:p>
        </w:tc>
        <w:tc>
          <w:tcPr>
            <w:tcW w:type="dxa" w:w="208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RF M5</w:t>
            </w:r>
          </w:p>
        </w:tc>
        <w:tc>
          <w:tcPr>
            <w:tcW w:type="dxa" w:w="288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0.8488 → 0.7687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−0.0800</w:t>
            </w:r>
          </w:p>
        </w:tc>
        <w:tc>
          <w:tcPr>
            <w:tcW w:type="dxa" w:w="32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[−0.1385, −0.0243]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Donor − as-of zero-fill</w:t>
            </w:r>
          </w:p>
        </w:tc>
        <w:tc>
          <w:tcPr>
            <w:tcW w:type="dxa" w:w="208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RF M11</w:t>
            </w:r>
          </w:p>
        </w:tc>
        <w:tc>
          <w:tcPr>
            <w:tcW w:type="dxa" w:w="288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0.9049 → 0.8523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−0.0526</w:t>
            </w:r>
          </w:p>
        </w:tc>
        <w:tc>
          <w:tcPr>
            <w:tcW w:type="dxa" w:w="32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[−0.1205, +0.0063]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Donor M11 − M5</w:t>
            </w:r>
          </w:p>
        </w:tc>
        <w:tc>
          <w:tcPr>
            <w:tcW w:type="dxa" w:w="208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MLP, mean3</w:t>
            </w:r>
          </w:p>
        </w:tc>
        <w:tc>
          <w:tcPr>
            <w:tcW w:type="dxa" w:w="288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0.7696 → 0.8286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+0.0590</w:t>
            </w:r>
          </w:p>
        </w:tc>
        <w:tc>
          <w:tcPr>
            <w:tcW w:type="dxa" w:w="32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[−0.0139, +0.1408]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Donor M11 − M5</w:t>
            </w:r>
          </w:p>
        </w:tc>
        <w:tc>
          <w:tcPr>
            <w:tcW w:type="dxa" w:w="208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RF, mean3</w:t>
            </w:r>
          </w:p>
        </w:tc>
        <w:tc>
          <w:tcPr>
            <w:tcW w:type="dxa" w:w="288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0.7687 → 0.8523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+0.0836</w:t>
            </w:r>
          </w:p>
        </w:tc>
        <w:tc>
          <w:tcPr>
            <w:tcW w:type="dxa" w:w="32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[+0.0038, +0.1739]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B0 42 − 17 columns</w:t>
            </w:r>
          </w:p>
        </w:tc>
        <w:tc>
          <w:tcPr>
            <w:tcW w:type="dxa" w:w="208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MLP</w:t>
            </w:r>
          </w:p>
        </w:tc>
        <w:tc>
          <w:tcPr>
            <w:tcW w:type="dxa" w:w="288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0.5264 → 0.7390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+0.2127</w:t>
            </w:r>
          </w:p>
        </w:tc>
        <w:tc>
          <w:tcPr>
            <w:tcW w:type="dxa" w:w="32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[+0.0492, +0.3672]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B0 42 − 17 columns</w:t>
            </w:r>
          </w:p>
        </w:tc>
        <w:tc>
          <w:tcPr>
            <w:tcW w:type="dxa" w:w="2088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RF</w:t>
            </w:r>
          </w:p>
        </w:tc>
        <w:tc>
          <w:tcPr>
            <w:tcW w:type="dxa" w:w="288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0.4737 → 0.7479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+0.2742</w:t>
            </w:r>
          </w:p>
        </w:tc>
        <w:tc>
          <w:tcPr>
            <w:tcW w:type="dxa" w:w="32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[+0.0494, +0.4875]</w:t>
            </w:r>
          </w:p>
        </w:tc>
      </w:tr>
    </w:tbl>
    <w:p>
      <w:r>
        <w:t>Donor comparisons condition on the three fixed worlds. RF-M11 AUC change remains unresolved; AP and fixed-threshold F1 decrease at both RF modalities under both schemes. Two separate-world RF feature-increment primary intervals include zero despite the positive mean3 interval. FIN87 deletion retains full-test increments but the 42-column D AUCs are only 0.5559/0.5050 for MLP/RF, with zero D budget hits. No contrast estimates a causal leakage contribution.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1008" w:right="1051" w:bottom="1008" w:left="1195" w:header="360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suppressLineNumbers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suppressLineNumbers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Times New Roman" w:hAnsi="Times New Roman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PeerJ CS-2026:06:141707 table asset</dc:title>
  <dc:subject/>
  <dc:creator>Yi Qiu Cheng; Xiao Rong Cheng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