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Times New Roman" w:hAnsi="Times New Roman"/>
          <w:color w:val="000000"/>
          <w:sz w:val="36"/>
        </w:rPr>
        <w:t>Table 4. Matched 42-input performance and paired uncertainty</w:t>
      </w:r>
    </w:p>
    <w:p>
      <w:r>
        <w:t>Ten new GNN fits versus ten frozen B0-42 MLP/RF fits. Original B0 supervision and the same eligible test population; mean per-fit metrics, not an ensemble.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843"/>
        <w:gridCol w:w="1108"/>
        <w:gridCol w:w="1007"/>
        <w:gridCol w:w="964"/>
        <w:gridCol w:w="1296"/>
        <w:gridCol w:w="820"/>
      </w:tblGrid>
      <w:tr>
        <w:trPr>
          <w:cantSplit/>
          <w:tblHeader/>
        </w:trPr>
        <w:tc>
          <w:tcPr>
            <w:tcW w:type="dxa" w:w="198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7"/>
              </w:rPr>
              <w:t>Learner</w:t>
            </w:r>
          </w:p>
        </w:tc>
        <w:tc>
          <w:tcPr>
            <w:tcW w:type="dxa" w:w="184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7"/>
              </w:rPr>
              <w:t>AUC ± seed SD</w:t>
            </w:r>
          </w:p>
        </w:tc>
        <w:tc>
          <w:tcPr>
            <w:tcW w:type="dxa" w:w="1109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7"/>
              </w:rPr>
              <w:t>AP</w:t>
            </w:r>
          </w:p>
        </w:tc>
        <w:tc>
          <w:tcPr>
            <w:tcW w:type="dxa" w:w="10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7"/>
              </w:rPr>
              <w:t>F1 (val)</w:t>
            </w:r>
          </w:p>
        </w:tc>
        <w:tc>
          <w:tcPr>
            <w:tcW w:type="dxa" w:w="96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7"/>
              </w:rPr>
              <w:t>P@5%</w:t>
            </w:r>
          </w:p>
        </w:tc>
        <w:tc>
          <w:tcPr>
            <w:tcW w:type="dxa" w:w="129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7"/>
              </w:rPr>
              <w:t>R@10FPR</w:t>
            </w:r>
          </w:p>
        </w:tc>
        <w:tc>
          <w:tcPr>
            <w:tcW w:type="dxa" w:w="82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7"/>
              </w:rPr>
              <w:t>Hits / 422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MLP</w:t>
            </w:r>
          </w:p>
        </w:tc>
        <w:tc>
          <w:tcPr>
            <w:tcW w:type="dxa" w:w="184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0.7390 ± 0.0383</w:t>
            </w:r>
          </w:p>
        </w:tc>
        <w:tc>
          <w:tcPr>
            <w:tcW w:type="dxa" w:w="1109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0.03538</w:t>
            </w:r>
          </w:p>
        </w:tc>
        <w:tc>
          <w:tcPr>
            <w:tcW w:type="dxa" w:w="10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0.0481</w:t>
            </w:r>
          </w:p>
        </w:tc>
        <w:tc>
          <w:tcPr>
            <w:tcW w:type="dxa" w:w="96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0.0133</w:t>
            </w:r>
          </w:p>
        </w:tc>
        <w:tc>
          <w:tcPr>
            <w:tcW w:type="dxa" w:w="129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0.4600</w:t>
            </w:r>
          </w:p>
        </w:tc>
        <w:tc>
          <w:tcPr>
            <w:tcW w:type="dxa" w:w="82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5.6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RF, unweighted</w:t>
            </w:r>
          </w:p>
        </w:tc>
        <w:tc>
          <w:tcPr>
            <w:tcW w:type="dxa" w:w="184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0.7479 ± 0.0181</w:t>
            </w:r>
          </w:p>
        </w:tc>
        <w:tc>
          <w:tcPr>
            <w:tcW w:type="dxa" w:w="1109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0.01998</w:t>
            </w:r>
          </w:p>
        </w:tc>
        <w:tc>
          <w:tcPr>
            <w:tcW w:type="dxa" w:w="10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0.0473</w:t>
            </w:r>
          </w:p>
        </w:tc>
        <w:tc>
          <w:tcPr>
            <w:tcW w:type="dxa" w:w="96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0.0118</w:t>
            </w:r>
          </w:p>
        </w:tc>
        <w:tc>
          <w:tcPr>
            <w:tcW w:type="dxa" w:w="129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0.3300</w:t>
            </w:r>
          </w:p>
        </w:tc>
        <w:tc>
          <w:tcPr>
            <w:tcW w:type="dxa" w:w="82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5.0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GCN, reverse</w:t>
            </w:r>
          </w:p>
        </w:tc>
        <w:tc>
          <w:tcPr>
            <w:tcW w:type="dxa" w:w="184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0.7359 ± 0.0249</w:t>
            </w:r>
          </w:p>
        </w:tc>
        <w:tc>
          <w:tcPr>
            <w:tcW w:type="dxa" w:w="1109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0.01229</w:t>
            </w:r>
          </w:p>
        </w:tc>
        <w:tc>
          <w:tcPr>
            <w:tcW w:type="dxa" w:w="10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0.0342</w:t>
            </w:r>
          </w:p>
        </w:tc>
        <w:tc>
          <w:tcPr>
            <w:tcW w:type="dxa" w:w="96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0.0142</w:t>
            </w:r>
          </w:p>
        </w:tc>
        <w:tc>
          <w:tcPr>
            <w:tcW w:type="dxa" w:w="129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0.4700</w:t>
            </w:r>
          </w:p>
        </w:tc>
        <w:tc>
          <w:tcPr>
            <w:tcW w:type="dxa" w:w="82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6.0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GraphSAGE, reverse</w:t>
            </w:r>
          </w:p>
        </w:tc>
        <w:tc>
          <w:tcPr>
            <w:tcW w:type="dxa" w:w="184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0.7186 ± 0.0288</w:t>
            </w:r>
          </w:p>
        </w:tc>
        <w:tc>
          <w:tcPr>
            <w:tcW w:type="dxa" w:w="1109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0.01252</w:t>
            </w:r>
          </w:p>
        </w:tc>
        <w:tc>
          <w:tcPr>
            <w:tcW w:type="dxa" w:w="10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0.0312</w:t>
            </w:r>
          </w:p>
        </w:tc>
        <w:tc>
          <w:tcPr>
            <w:tcW w:type="dxa" w:w="96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0.0142</w:t>
            </w:r>
          </w:p>
        </w:tc>
        <w:tc>
          <w:tcPr>
            <w:tcW w:type="dxa" w:w="129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0.4700</w:t>
            </w:r>
          </w:p>
        </w:tc>
        <w:tc>
          <w:tcPr>
            <w:tcW w:type="dxa" w:w="82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6.0</w:t>
            </w:r>
          </w:p>
        </w:tc>
      </w:tr>
    </w:tbl>
    <w:p>
      <w:r>
        <w:t>Seed SD describes five fitted models; it is not a confidence interval. GCN/GraphSAGE mean AUC/AP is lower but budget yield is higher than the matched feature-only means.</w:t>
      </w:r>
    </w:p>
    <w:p>
      <w:pPr/>
      <w:r>
        <w:t>R@10FPR uses the archived retained-ROC-vertex convention defined in §4.4, not the maximum over every observed score threshold. All reported values retain the frozen implementation.</w:t>
      </w:r>
    </w:p>
    <w:p>
      <w:pPr>
        <w:pStyle w:val="Heading2"/>
      </w:pPr>
      <w:r>
        <w:t>Paired Full AUC differences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1368"/>
        <w:gridCol w:w="2664"/>
        <w:gridCol w:w="2692"/>
      </w:tblGrid>
      <w:tr>
        <w:trPr>
          <w:cantSplit/>
          <w:tblHeader/>
        </w:trPr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Contrast</w:t>
            </w:r>
          </w:p>
        </w:tc>
        <w:tc>
          <w:tcPr>
            <w:tcW w:type="dxa" w:w="136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Mean ΔAUC</w:t>
            </w:r>
          </w:p>
        </w:tc>
        <w:tc>
          <w:tcPr>
            <w:tcW w:type="dxa" w:w="266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Company × seed 95% interval</w:t>
            </w:r>
          </w:p>
        </w:tc>
        <w:tc>
          <w:tcPr>
            <w:tcW w:type="dxa" w:w="26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Component × seed 95% interval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MLP − GCN</w:t>
            </w:r>
          </w:p>
        </w:tc>
        <w:tc>
          <w:tcPr>
            <w:tcW w:type="dxa" w:w="136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+0.0031</w:t>
            </w:r>
          </w:p>
        </w:tc>
        <w:tc>
          <w:tcPr>
            <w:tcW w:type="dxa" w:w="266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[-0.0731, +0.1016]</w:t>
            </w:r>
          </w:p>
        </w:tc>
        <w:tc>
          <w:tcPr>
            <w:tcW w:type="dxa" w:w="26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[-0.0695, +0.1070]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MLP − GraphSAGE</w:t>
            </w:r>
          </w:p>
        </w:tc>
        <w:tc>
          <w:tcPr>
            <w:tcW w:type="dxa" w:w="136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+0.0204</w:t>
            </w:r>
          </w:p>
        </w:tc>
        <w:tc>
          <w:tcPr>
            <w:tcW w:type="dxa" w:w="266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[-0.0587, +0.1132]</w:t>
            </w:r>
          </w:p>
        </w:tc>
        <w:tc>
          <w:tcPr>
            <w:tcW w:type="dxa" w:w="26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[-0.0507, +0.1117]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RF − GCN</w:t>
            </w:r>
          </w:p>
        </w:tc>
        <w:tc>
          <w:tcPr>
            <w:tcW w:type="dxa" w:w="136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+0.0120</w:t>
            </w:r>
          </w:p>
        </w:tc>
        <w:tc>
          <w:tcPr>
            <w:tcW w:type="dxa" w:w="266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[-0.0806, +0.1221]</w:t>
            </w:r>
          </w:p>
        </w:tc>
        <w:tc>
          <w:tcPr>
            <w:tcW w:type="dxa" w:w="26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[-0.0780, +0.1264]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RF − GraphSAGE</w:t>
            </w:r>
          </w:p>
        </w:tc>
        <w:tc>
          <w:tcPr>
            <w:tcW w:type="dxa" w:w="136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+0.0293</w:t>
            </w:r>
          </w:p>
        </w:tc>
        <w:tc>
          <w:tcPr>
            <w:tcW w:type="dxa" w:w="266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[-0.0802, +0.1485]</w:t>
            </w:r>
          </w:p>
        </w:tc>
        <w:tc>
          <w:tcPr>
            <w:tcW w:type="dxa" w:w="26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[-0.0755, +0.1504]</w:t>
            </w:r>
          </w:p>
        </w:tc>
      </w:tr>
    </w:tbl>
    <w:p>
      <w:r>
        <w:t>Each scheme has 2,000 valid draws and no one-class rejection. All four contrasts across all six metrics (48 contrast intervals over both schemes) contain zero. The intervals are exploratory, marginal and conditional on the observed fits/companies; non-rejection does not establish equivalence. All metric intervals and D deletion ranges are in Supplement S22 and the machine-readable archive.</w:t>
      </w:r>
    </w:p>
    <w:p>
      <w:r>
        <w:t>D hit sequences are GCN (1,0,0,0,0) and GraphSAGE (0,0,0,0,1) in seed order 42,123,456,789,1024; MLP/RF have none. Single-positive deletion can remove either GNN’s budget advantage. All four models have zero J hits. These statements do not identify whether the two new GNN hits are the same company-year.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51" w:bottom="1008" w:left="1195" w:header="36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suppressLineNumbers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suppressLineNumbers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Times New Roman" w:hAnsi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PeerJ CS-2026:06:141707 table asset</dc:title>
  <dc:subject/>
  <dc:creator>Yi Qiu Cheng; Xiao Rong Cheng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