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hAnsi="Times New Roman"/>
          <w:color w:val="000000"/>
          <w:sz w:val="36"/>
        </w:rPr>
        <w:t>Table 5. Retrospective source-status diagnostics</w:t>
      </w:r>
    </w:p>
    <w:p>
      <w:r>
        <w:t>Attainable tie-hit bounds precede deterministic counts. Bounds are not confidence intervals.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/>
          <w:cantSplit/>
        </w:trPr>
        <w:tc>
          <w:tcPr>
            <w:tcW w:type="dxa" w:w="403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Source-status model / fixed score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Full AUC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D AUC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Full tie bounds; fixed hits / 422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D tie bounds; fixed hits / 422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Three-flag RF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0.8447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0.7849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12–16; 13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3–5; 4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Selected source absent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0.7687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0.6830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0–12; 10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0–3; 1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Final FIN87 nonfinite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0.7855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0.7426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0–16; 5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0–5; 1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 prior candidate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0.7842</w:t>
            </w:r>
          </w:p>
        </w:tc>
        <w:tc>
          <w:tcPr>
            <w:tcW w:type="dxa" w:w="172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0.6985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12–20; 12</w:t>
            </w:r>
          </w:p>
        </w:tc>
        <w:tc>
          <w:tcPr>
            <w:tcW w:type="dxa" w:w="345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3–7; 3</w:t>
            </w:r>
          </w:p>
        </w:tc>
      </w:tr>
    </w:tbl>
    <w:p>
      <w:r>
        <w:t>Each individual flag is used in its stored binary direction, with no model fitting or test-selected direction. C is a fitted RF on all three flags. Source status attains discrimination comparable in magnitude to the main feature models but does not exceed every condition: as-of RF M5/M11 D AUCs are 0.7928/0.8211. In J, final nonfiniteness puts both positives and 1,364 negatives in the top tied group: AUC 0.9120, R@10FPR 0, and 0–2 attainable hits within the 388-row budget (fixed count 1).</w:t>
      </w:r>
    </w:p>
    <w:p>
      <w:pPr/>
      <w:r>
        <w:t>Flag definitions. Selected-source absence is the union of absent as-of selections across eleven financial table–lag tasks. Final FIN87 nonfiniteness means at least one nonfinite entry among the accepted 87 as-of financial columns before learner preprocessing. “No prior candidate” is the stored fin_-block flag for a compatible, dated and untied replay path containing a post-anchor input and lacking an on-or-before-anchor candidate for at least one required source in the available snapshot. It is not a general absence flag over all FIN87 fields or proof of a missing historical vendor version (Supplement S15; Technical Appendix T3).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08" w:right="1051" w:bottom="1008" w:left="1195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uppressLineNumbers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suppressLineNumbers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