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keepNext/>
      </w:pPr>
      <w:r>
        <w:rPr>
          <w:rFonts w:ascii="Times New Roman" w:hAnsi="Times New Roman" w:eastAsia="Noto Serif CJK SC"/>
        </w:rPr>
        <w:t>Table 1. Primary sample and fixed-window sensitivity accounting</w:t>
      </w:r>
    </w:p>
    <w:tbl>
      <w:tblPr>
        <w:tblStyle w:val="TableGrid"/>
        <w:tblW w:type="dxa" w:w="13032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1699"/>
        <w:gridCol w:w="1555"/>
        <w:gridCol w:w="1699"/>
        <w:gridCol w:w="1699"/>
        <w:gridCol w:w="1512"/>
        <w:gridCol w:w="2015"/>
      </w:tblGrid>
      <w:tr>
        <w:trPr>
          <w:cantSplit/>
          <w:tblHeader/>
          <w:cantSplit/>
          <w:tblHeader/>
          <w:tblHeader/>
          <w:cantSplit/>
        </w:trPr>
        <w:tc>
          <w:tcPr>
            <w:tcW w:type="dxa" w:w="3456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Partition / fiscal years</w:t>
            </w:r>
          </w:p>
        </w:tc>
        <w:tc>
          <w:tcPr>
            <w:tcW w:type="dxa" w:w="1699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Feature-panel N</w:t>
            </w:r>
          </w:p>
        </w:tc>
        <w:tc>
          <w:tcPr>
            <w:tcW w:type="dxa" w:w="1555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Eligible N</w:t>
            </w:r>
          </w:p>
        </w:tc>
        <w:tc>
          <w:tcPr>
            <w:tcW w:type="dxa" w:w="1699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Primary positive</w:t>
            </w:r>
          </w:p>
        </w:tc>
        <w:tc>
          <w:tcPr>
            <w:tcW w:type="dxa" w:w="1699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Primary negative</w:t>
            </w:r>
          </w:p>
        </w:tc>
        <w:tc>
          <w:tcPr>
            <w:tcW w:type="dxa" w:w="1512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Null</w:t>
            </w:r>
          </w:p>
        </w:tc>
        <w:tc>
          <w:tcPr>
            <w:tcW w:type="dxa" w:w="2016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Fixed-window positive</w:t>
            </w:r>
          </w:p>
        </w:tc>
      </w:tr>
      <w:tr>
        <w:trPr>
          <w:cantSplit/>
          <w:cantSplit/>
          <w:cantSplit/>
        </w:trPr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Training (2010–2018)</w:t>
            </w:r>
          </w:p>
        </w:tc>
        <w:tc>
          <w:tcPr>
            <w:tcW w:type="dxa" w:w="1699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24,527</w:t>
            </w:r>
          </w:p>
        </w:tc>
        <w:tc>
          <w:tcPr>
            <w:tcW w:type="dxa" w:w="1555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24,106</w:t>
            </w:r>
          </w:p>
        </w:tc>
        <w:tc>
          <w:tcPr>
            <w:tcW w:type="dxa" w:w="1699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254</w:t>
            </w:r>
          </w:p>
        </w:tc>
        <w:tc>
          <w:tcPr>
            <w:tcW w:type="dxa" w:w="1699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23,852</w:t>
            </w:r>
          </w:p>
        </w:tc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421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119</w:t>
            </w:r>
          </w:p>
        </w:tc>
      </w:tr>
      <w:tr>
        <w:trPr>
          <w:cantSplit/>
          <w:cantSplit/>
          <w:cantSplit/>
        </w:trPr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Validation (2019–2020)</w:t>
            </w:r>
          </w:p>
        </w:tc>
        <w:tc>
          <w:tcPr>
            <w:tcW w:type="dxa" w:w="1699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7,764</w:t>
            </w:r>
          </w:p>
        </w:tc>
        <w:tc>
          <w:tcPr>
            <w:tcW w:type="dxa" w:w="1555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7,309</w:t>
            </w:r>
          </w:p>
        </w:tc>
        <w:tc>
          <w:tcPr>
            <w:tcW w:type="dxa" w:w="1699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1699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7,269</w:t>
            </w:r>
          </w:p>
        </w:tc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455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25</w:t>
            </w:r>
          </w:p>
        </w:tc>
      </w:tr>
      <w:tr>
        <w:trPr>
          <w:cantSplit/>
          <w:cantSplit/>
          <w:cantSplit/>
        </w:trPr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Test (2021–2022)</w:t>
            </w:r>
          </w:p>
        </w:tc>
        <w:tc>
          <w:tcPr>
            <w:tcW w:type="dxa" w:w="1699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9,357</w:t>
            </w:r>
          </w:p>
        </w:tc>
        <w:tc>
          <w:tcPr>
            <w:tcW w:type="dxa" w:w="1555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8,435</w:t>
            </w:r>
          </w:p>
        </w:tc>
        <w:tc>
          <w:tcPr>
            <w:tcW w:type="dxa" w:w="1699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1699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8,415</w:t>
            </w:r>
          </w:p>
        </w:tc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922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20</w:t>
            </w:r>
          </w:p>
        </w:tc>
      </w:tr>
      <w:tr>
        <w:trPr>
          <w:cantSplit/>
          <w:cantSplit/>
          <w:cantSplit/>
        </w:trPr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Deferred (2023–2024)</w:t>
            </w:r>
          </w:p>
        </w:tc>
        <w:tc>
          <w:tcPr>
            <w:tcW w:type="dxa" w:w="1699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10,027</w:t>
            </w:r>
          </w:p>
        </w:tc>
        <w:tc>
          <w:tcPr>
            <w:tcW w:type="dxa" w:w="1555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99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99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10,027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  <w:cantSplit/>
          <w:cantSplit/>
        </w:trPr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Total</w:t>
            </w:r>
          </w:p>
        </w:tc>
        <w:tc>
          <w:tcPr>
            <w:tcW w:type="dxa" w:w="1699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51,675</w:t>
            </w:r>
          </w:p>
        </w:tc>
        <w:tc>
          <w:tcPr>
            <w:tcW w:type="dxa" w:w="1555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39,850</w:t>
            </w:r>
          </w:p>
        </w:tc>
        <w:tc>
          <w:tcPr>
            <w:tcW w:type="dxa" w:w="1699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314</w:t>
            </w:r>
          </w:p>
        </w:tc>
        <w:tc>
          <w:tcPr>
            <w:tcW w:type="dxa" w:w="1699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39,536</w:t>
            </w:r>
          </w:p>
        </w:tc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11,825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164</w:t>
            </w:r>
          </w:p>
        </w:tc>
      </w:tr>
    </w:tbl>
    <w:p>
      <w:pPr>
        <w:pStyle w:val="Caption"/>
      </w:pPr>
      <w:r>
        <w:rPr>
          <w:b w:val="0"/>
        </w:rPr>
        <w:t>The primary endpoint accepts qualifying post-anchor sanctions up to 8 May 2026 and requires at least 1,095 days of follow-up. The separate sensitivity restricts qualifying events to the first 1,095 days. Eligible rows and nulls are unchanged; 135 training and 15 validation positives become zeros, while all 20 test positives remain positive. Deferred 2023–2024 rows remain null, including known sanctions. Source: frozen label counts and fixed1095_counts.csv. Added family-A supervision counts are in Supplement S15; the eligible test denominator is unchanged.</w:t>
      </w:r>
    </w:p>
    <w:sectPr w:rsidR="00FC693F" w:rsidRPr="0006063C" w:rsidSect="00034616">
      <w:footerReference w:type="default" r:id="rId9"/>
      <w:footerReference w:type="first" r:id="rId10"/>
      <w:footerReference w:type="even" r:id="rId11"/>
      <w:headerReference w:type="default" r:id="rId12"/>
      <w:pgSz w:w="16834" w:h="11909"/>
      <w:pgMar w:top="979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Times New Roman" w:hAnsi="Times New Roman" w:eastAsia="Noto Serif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Noto Serif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Noto Serif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Noto Serif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Noto Serif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259" w:lineRule="auto"/>
      <w:outlineLvl w:val="0"/>
    </w:pPr>
    <w:rPr>
      <w:rFonts w:cstheme="majorBidi" w:ascii="Times New Roman" w:hAnsi="Times New Roman" w:eastAsia="Noto Serif CJK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59" w:lineRule="auto"/>
      <w:outlineLvl w:val="1"/>
    </w:pPr>
    <w:rPr>
      <w:rFonts w:cstheme="majorBidi" w:ascii="Times New Roman" w:hAnsi="Times New Roman" w:eastAsia="Noto Serif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 w:line="259" w:lineRule="auto"/>
      <w:outlineLvl w:val="2"/>
    </w:pPr>
    <w:rPr>
      <w:rFonts w:cstheme="majorBidi" w:ascii="Times New Roman" w:hAnsi="Times New Roman" w:eastAsia="Noto Serif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eastAsia="Noto Serif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eastAsia="Noto Serif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eastAsia="Noto Serif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eastAsia="Noto Serif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eastAsia="Noto Serif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eastAsia="Noto Serif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Noto Serif CJK SC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Noto Serif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eastAsia="Noto Serif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eastAsia="Noto Serif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eastAsia="Noto Serif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59" w:lineRule="auto"/>
      <w:contextualSpacing/>
    </w:pPr>
    <w:rPr>
      <w:rFonts w:cstheme="majorBidi" w:ascii="Times New Roman" w:hAnsi="Times New Roman" w:eastAsia="Noto Serif CJK SC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eastAsia="Noto Serif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eastAsia="Noto Serif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eastAsia="Noto Serif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Noto Serif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Noto Serif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Noto Serif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Noto Serif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Noto Serif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Noto Serif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Noto Serif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Noto Serif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Noto Serif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Noto Serif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Noto Serif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Noto Serif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Noto Serif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Noto Serif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Noto Serif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Noto Serif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Noto Serif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Noto Serif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Noto Serif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Noto Serif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Noto Serif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Noto Serif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Noto Serif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eastAsia="Noto Serif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eastAsia="Noto Serif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eastAsia="Noto Serif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eastAsia="Noto Serif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eastAsia="Noto Serif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eastAsia="Noto Serif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120"/>
    </w:pPr>
    <w:rPr>
      <w:rFonts w:ascii="Times New Roman" w:hAnsi="Times New Roman" w:eastAsia="Noto Serif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Noto Serif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Noto Serif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Noto Serif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Noto Serif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Noto Serif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Noto Serif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Noto Serif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Noto Serif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Noto Serif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Noto Serif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PeerJ CS-2026:06:141707 table asset</dc:title>
  <dc:subject/>
  <dc:creator>Yi Qiu Cheng; Xiao Rong Cheng</dc:creator>
  <cp:keywords/>
  <dc:description/>
  <cp:lastModifiedBy/>
  <cp:revision>22</cp:revision>
  <dcterms:created xsi:type="dcterms:W3CDTF">2026-09-25T06:00:00Z</dcterms:created>
  <dcterms:modified xsi:type="dcterms:W3CDTF">2026-09-25T06:00:00Z</dcterms:modified>
  <cp:category>Manuscript revision</cp:category>
  <cp:version>21</cp:version>
</cp:coreProperties>
</file>