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rPr>
          <w:rFonts w:ascii="Times New Roman" w:hAnsi="Times New Roman" w:eastAsia="Noto Serif CJK SC"/>
        </w:rPr>
        <w:t>Table 2A. Matched-input M11 results: feature-only learners and graph references</w:t>
      </w:r>
    </w:p>
    <w:tbl>
      <w:tblPr>
        <w:tblStyle w:val="TableGrid"/>
        <w:tblW w:type="dxa" w:w="1188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04"/>
        <w:gridCol w:w="1872"/>
        <w:gridCol w:w="1872"/>
        <w:gridCol w:w="1872"/>
        <w:gridCol w:w="2088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2880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Learner</w:t>
            </w:r>
          </w:p>
        </w:tc>
        <w:tc>
          <w:tcPr>
            <w:tcW w:type="dxa" w:w="2304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ROC-AUC ± SD</w:t>
            </w:r>
          </w:p>
        </w:tc>
        <w:tc>
          <w:tcPr>
            <w:tcW w:type="dxa" w:w="187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AP</w:t>
            </w:r>
          </w:p>
        </w:tc>
        <w:tc>
          <w:tcPr>
            <w:tcW w:type="dxa" w:w="187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F1 (val)</w:t>
            </w:r>
          </w:p>
        </w:tc>
        <w:tc>
          <w:tcPr>
            <w:tcW w:type="dxa" w:w="187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P@5%</w:t>
            </w:r>
          </w:p>
        </w:tc>
        <w:tc>
          <w:tcPr>
            <w:tcW w:type="dxa" w:w="2088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R@10FPR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MLP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0.832 ± 0.013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0.0109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0.0145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0.0147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0.44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L1 logistic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0.659 ± 0.000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0.0098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0.0278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0.0118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0.30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L2 logistic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0.653 ± 0.000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0.0092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0.0294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0.0118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0.30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0.864 ± 0.006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0.0148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0.0265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0.0166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0.46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0.736 ± 0.000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0.0094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0.0095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0.45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GCN (reverse)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0.818 ± 0.015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0.0083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0.0086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0.0057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0.47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GAT (reverse)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0.712 ± 0.088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0.0053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0.0035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0.0062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GraphSAGE (reverse)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0.817 ± 0.021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0.0091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0.0059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0.0095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0.44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RGCN (reverse)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0.697 ± 0.044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0.0075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0.0157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0.0095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60"/>
            </w:pPr>
            <w:r>
              <w:rPr>
                <w:rFonts w:ascii="Times New Roman" w:hAnsi="Times New Roman"/>
                <w:b w:val="0"/>
                <w:sz w:val="18"/>
              </w:rPr>
              <w:t>0.39</w:t>
            </w:r>
          </w:p>
        </w:tc>
      </w:tr>
    </w:tbl>
    <w:p>
      <w:pPr>
        <w:pStyle w:val="Caption"/>
      </w:pPr>
      <w:r>
        <w:rPr>
          <w:b w:val="0"/>
        </w:rPr>
        <w:t>All rows use M11 company inputs and the same 8,435 test observations, including 20 positives. GNNs use the reverse-message graph reference. Means and sample SDs describe five fixed fits; they are not confidence intervals. MLP and GNN losses are positively weighted; the four tabular learners are unweighted. The separately fitted weighted Random Forest has mean AUC 0.807 (Supplement S4). F1 uses a validation-selected threshold; P@5% reviews 422 rows; R@10FPR is a test-ROC summary. L1/L2 logistic and XGBoost have exactly zero recorded across-seed SD. Table 4A supplies direct crossed comparisons; fixed-fit intervals are in Supplement S3/S8a.</w:t>
      </w:r>
    </w:p>
    <w:p>
      <w:pPr>
        <w:pStyle w:val="Caption"/>
        <w:keepNext/>
      </w:pPr>
      <w:r>
        <w:rPr>
          <w:rFonts w:ascii="Times New Roman" w:hAnsi="Times New Roman" w:eastAsia="Noto Serif CJK SC"/>
        </w:rPr>
        <w:t>Table 2B. Retrospective source-status scores (no fitted model)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2015"/>
        <w:gridCol w:w="2015"/>
        <w:gridCol w:w="2015"/>
        <w:gridCol w:w="2015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6048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Binary score (1 = flagged)</w:t>
            </w:r>
          </w:p>
        </w:tc>
        <w:tc>
          <w:tcPr>
            <w:tcW w:type="dxa" w:w="201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Validation AUC</w:t>
            </w:r>
          </w:p>
        </w:tc>
        <w:tc>
          <w:tcPr>
            <w:tcW w:type="dxa" w:w="201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Validation AP</w:t>
            </w:r>
          </w:p>
        </w:tc>
        <w:tc>
          <w:tcPr>
            <w:tcW w:type="dxa" w:w="201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Test AUC</w:t>
            </w:r>
          </w:p>
        </w:tc>
        <w:tc>
          <w:tcPr>
            <w:tcW w:type="dxa" w:w="201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Test AP</w:t>
            </w:r>
          </w:p>
        </w:tc>
      </w:tr>
      <w:tr>
        <w:trPr>
          <w:cantSplit/>
          <w:cantSplit/>
          <w:cantSplit/>
        </w:trPr>
        <w:tc>
          <w:tcPr>
            <w:tcW w:type="dxa" w:w="604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Compatible post-anchor fin_ input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0.7747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0.03892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0.8261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0.02421</w:t>
            </w:r>
          </w:p>
        </w:tc>
      </w:tr>
      <w:tr>
        <w:trPr>
          <w:cantSplit/>
          <w:cantSplit/>
          <w:cantSplit/>
        </w:trPr>
        <w:tc>
          <w:tcPr>
            <w:tcW w:type="dxa" w:w="604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Post-anchor input; no pre-anchor candidate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0.7533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0.03837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0.7842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0.02685</w:t>
            </w:r>
          </w:p>
        </w:tc>
      </w:tr>
      <w:tr>
        <w:trPr>
          <w:cantSplit/>
          <w:cantSplit/>
          <w:cantSplit/>
        </w:trPr>
        <w:tc>
          <w:tcPr>
            <w:tcW w:type="dxa" w:w="604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Any selected source missing after filtering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0.7361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0.02308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0.7687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0.01431</w:t>
            </w:r>
          </w:p>
        </w:tc>
      </w:tr>
      <w:tr>
        <w:trPr>
          <w:cantSplit/>
          <w:cantSplit/>
          <w:cantSplit/>
        </w:trPr>
        <w:tc>
          <w:tcPr>
            <w:tcW w:type="dxa" w:w="604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Any final financial nonfinite value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0.7362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0.01145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0.7855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0.00706</w:t>
            </w:r>
          </w:p>
        </w:tc>
      </w:tr>
    </w:tbl>
    <w:p>
      <w:pPr>
        <w:pStyle w:val="Caption"/>
      </w:pPr>
      <w:r>
        <w:rPr>
          <w:rFonts w:ascii="Times New Roman" w:hAnsi="Times New Roman" w:eastAsia="Noto Serif CJK SC"/>
          <w:b w:val="0"/>
        </w:rPr>
        <w:t>Validation N = 7,309 / 40 positives; test N = 8,435 / 20 positives. The first three scores use source-selection counts; the fourth flags any nonfinite value among 87 final as-of financial columns before learner preprocessing. AUC and step-weighted AP are exact two-bin calculations, not trained baselines or estimates of causal model dependence. Source absence and predictor nonfiniteness are distinct. No confidence intervals are inferred from the counts. Sources: Supplement S9d and the aggregate source_mask_counts.csv.</w:t>
      </w:r>
    </w:p>
    <w:p>
      <w:pPr>
        <w:pStyle w:val="Caption"/>
        <w:keepNext/>
        <w:pageBreakBefore/>
      </w:pPr>
      <w:r>
        <w:rPr>
          <w:rFonts w:ascii="Times New Roman" w:hAnsi="Times New Roman" w:eastAsia="Noto Serif CJK SC"/>
        </w:rPr>
        <w:t>Table 2C. Primary M11 fixed-prediction subset diagnostics</w:t>
      </w:r>
    </w:p>
    <w:tbl>
      <w:tblPr>
        <w:tblW w:type="dxa" w:w="12600"/>
        <w:tblLayout w:type="fixed"/>
        <w:tblLook w:firstColumn="1" w:firstRow="1" w:lastColumn="0" w:lastRow="0" w:noHBand="0" w:noVBand="1" w:val="04A0"/>
        <w:jc w:val="center"/>
        <w:tblBorders>
          <w:top w:val="single" w:sz="4" w:color="9AA1A8"/>
          <w:bottom w:val="single" w:sz="4" w:color="9AA1A8"/>
          <w:insideH w:val="single" w:sz="4" w:color="9AA1A8"/>
        </w:tblBorders>
      </w:tblPr>
      <w:tblGrid>
        <w:gridCol w:w="4104"/>
        <w:gridCol w:w="1655"/>
        <w:gridCol w:w="1152"/>
        <w:gridCol w:w="1900"/>
        <w:gridCol w:w="1900"/>
        <w:gridCol w:w="1900"/>
        <w:gridCol w:w="1958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4104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Evaluation population</w:t>
            </w:r>
          </w:p>
        </w:tc>
        <w:tc>
          <w:tcPr>
            <w:tcW w:type="dxa" w:w="1656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N / positive</w:t>
            </w:r>
          </w:p>
        </w:tc>
        <w:tc>
          <w:tcPr>
            <w:tcW w:type="dxa" w:w="1152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5% budget</w:t>
            </w:r>
          </w:p>
        </w:tc>
        <w:tc>
          <w:tcPr>
            <w:tcW w:type="dxa" w:w="1901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MLP</w:t>
              <w:br/>
              <w:t>AUC / retrieved</w:t>
            </w:r>
          </w:p>
        </w:tc>
        <w:tc>
          <w:tcPr>
            <w:tcW w:type="dxa" w:w="1901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RF</w:t>
              <w:br/>
              <w:t>AUC / retrieved</w:t>
            </w:r>
          </w:p>
        </w:tc>
        <w:tc>
          <w:tcPr>
            <w:tcW w:type="dxa" w:w="1901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GCN (reverse)</w:t>
              <w:br/>
              <w:t>AUC / retrieved</w:t>
            </w:r>
          </w:p>
        </w:tc>
        <w:tc>
          <w:tcPr>
            <w:tcW w:type="dxa" w:w="1958"/>
            <w:vAlign w:val="center"/>
            <w:shd w:fill="E8ECF0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GraphSAGE (reverse)</w:t>
              <w:br/>
              <w:t>AUC / retrieved</w:t>
            </w:r>
          </w:p>
        </w:tc>
      </w:tr>
      <w:tr>
        <w:trPr>
          <w:cantSplit/>
          <w:cantSplit/>
          <w:cantSplit/>
        </w:trPr>
        <w:tc>
          <w:tcPr>
            <w:tcW w:type="dxa" w:w="41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Full test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8,435 / 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0.8319 / 6.2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0.8639 / 7.0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0.8181 / 2.4</w:t>
            </w:r>
          </w:p>
        </w:tc>
        <w:tc>
          <w:tcPr>
            <w:tcW w:type="dxa" w:w="195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0.8173 / 4.0</w:t>
            </w:r>
          </w:p>
        </w:tc>
      </w:tr>
      <w:tr>
        <w:trPr>
          <w:cantSplit/>
          <w:cantSplit/>
          <w:cantSplit/>
        </w:trPr>
        <w:tc>
          <w:tcPr>
            <w:tcW w:type="dxa" w:w="41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D: no detected earlier document match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8,422 / 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0.6738 / 0.0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0.7314 / 0.0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0.7260 / 1.2</w:t>
            </w:r>
          </w:p>
        </w:tc>
        <w:tc>
          <w:tcPr>
            <w:tcW w:type="dxa" w:w="195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0.6699 / 0.2</w:t>
            </w:r>
          </w:p>
        </w:tc>
      </w:tr>
      <w:tr>
        <w:trPr>
          <w:cantSplit/>
          <w:cantSplit/>
          <w:cantSplit/>
        </w:trPr>
        <w:tc>
          <w:tcPr>
            <w:tcW w:type="dxa" w:w="41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O: earlier document match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8,428 / 13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0.9170 / 6.2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0.9352 / 7.0</w:t>
            </w:r>
          </w:p>
        </w:tc>
        <w:tc>
          <w:tcPr>
            <w:tcW w:type="dxa" w:w="1901"/>
            <w:vAlign w:val="center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0.8677 / 1.2</w:t>
            </w:r>
          </w:p>
        </w:tc>
        <w:tc>
          <w:tcPr>
            <w:tcW w:type="dxa" w:w="1958"/>
            <w:vAlign w:val="center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0.8967 / 3.8</w:t>
            </w:r>
          </w:p>
        </w:tc>
      </w:tr>
      <w:tr>
        <w:trPr>
          <w:cantSplit/>
          <w:cantSplit/>
          <w:cantSplit/>
        </w:trPr>
        <w:tc>
          <w:tcPr>
            <w:tcW w:type="dxa" w:w="41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S: source screen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7,757 / 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388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0.8131 / 1.8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0.8592 / 1.2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0.8629 / 1.0</w:t>
            </w:r>
          </w:p>
        </w:tc>
        <w:tc>
          <w:tcPr>
            <w:tcW w:type="dxa" w:w="195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0.8204 / 2.0</w:t>
            </w:r>
          </w:p>
        </w:tc>
      </w:tr>
      <w:tr>
        <w:trPr>
          <w:cantSplit/>
          <w:cantSplit/>
          <w:cantSplit/>
        </w:trPr>
        <w:tc>
          <w:tcPr>
            <w:tcW w:type="dxa" w:w="4104"/>
            <w:vAlign w:val="center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8"/>
              </w:rPr>
              <w:t>B_source: S + raw fin_ binding screen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7,280 / 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364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0.8574 / 2.0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0.8823 / 1.2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0.8827 / 1.0</w:t>
            </w:r>
          </w:p>
        </w:tc>
        <w:tc>
          <w:tcPr>
            <w:tcW w:type="dxa" w:w="195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0.8650 / 2.0</w:t>
            </w:r>
          </w:p>
        </w:tc>
      </w:tr>
      <w:tr>
        <w:trPr>
          <w:cantSplit/>
          <w:cantSplit/>
          <w:cantSplit/>
        </w:trPr>
        <w:tc>
          <w:tcPr>
            <w:tcW w:type="dxa" w:w="410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J: D positive rule + S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7,753 / 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388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0.5964 / 0.0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0.7511 / 0.0</w:t>
            </w:r>
          </w:p>
        </w:tc>
        <w:tc>
          <w:tcPr>
            <w:tcW w:type="dxa" w:w="1901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0.7842 / 0.2</w:t>
            </w:r>
          </w:p>
        </w:tc>
        <w:tc>
          <w:tcPr>
            <w:tcW w:type="dxa" w:w="195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0.6150 / 0.0</w:t>
            </w:r>
          </w:p>
        </w:tc>
      </w:tr>
    </w:tbl>
    <w:p>
      <w:pPr>
        <w:pStyle w:val="Caption"/>
      </w:pPr>
      <w:r>
        <w:rPr>
          <w:b w:val="0"/>
        </w:rPr>
        <w:t>Cells give predecessor five-fit mean AUC / mean hits at the population-specific budget. D/O retain all 8,415 negatives; the AUC identity holds per seed. O GNN yields are evaluated directly from the identified frozen predecessor scores during the V27 fixed-score audit, not calculated by subtracting reranked D hits from full hits. B_source is the predecessor source-binding screen, not experimental family B. These are descriptive screens, with no new-case or historical-cleanliness certification. J has two positives, one with unresolved raw fin_ binding. Supplement S12–S14 preserves earlier records; S16–S20 reports added interventions.</w:t>
      </w:r>
    </w:p>
    <w:p>
      <w:r>
        <w:br w:type="page"/>
      </w:r>
    </w:p>
    <w:p>
      <w:pPr>
        <w:pStyle w:val="Heading2"/>
        <w:keepNext/>
      </w:pPr>
      <w:r>
        <w:t>Table 2D. Added three-flag RF and individual source-status scores</w:t>
      </w:r>
    </w:p>
    <w:p>
      <w:pPr>
        <w:pStyle w:val="Caption"/>
        <w:keepNext/>
      </w:pPr>
      <w:r>
        <w:rPr>
          <w:b w:val="0"/>
        </w:rPr>
        <w:t>All rows use the same full test (8,435 rows / 20 positives). RF uses five seeds and validation-selected thresholds; individual flags are fixed binary scores, not fitted models. No common threshold or general deployability is implied. RF mean F1=0.08081. Cutoff tie ranges are attainable hit bounds, not confidence intervals; subset-specific bounds are in Supplement S20.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0A0A0"/>
          <w:bottom w:val="single" w:sz="5" w:color="A0A0A0"/>
          <w:insideH w:val="single" w:sz="3" w:color="A0A0A0"/>
        </w:tblBorders>
      </w:tblPr>
      <w:tblGrid>
        <w:gridCol w:w="3672"/>
        <w:gridCol w:w="1296"/>
        <w:gridCol w:w="1296"/>
        <w:gridCol w:w="1368"/>
        <w:gridCol w:w="1656"/>
      </w:tblGrid>
      <w:tr>
        <w:trPr>
          <w:cantSplit/>
          <w:tblHeader/>
          <w:tblHeader/>
          <w:cantSplit/>
        </w:trPr>
        <w:tc>
          <w:tcPr>
            <w:tcW w:type="dxa" w:w="367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EEEEE"/>
          </w:tcPr>
          <w:p>
            <w:pPr>
              <w:keepNext/>
              <w:spacing w:after="60" w:before="40" w:line="247" w:lineRule="auto"/>
            </w:pPr>
            <w:r>
              <w:rPr>
                <w:rFonts w:ascii="Times New Roman" w:hAnsi="Times New Roman"/>
                <w:b/>
                <w:sz w:val="18"/>
              </w:rPr>
              <w:t>Diagnostic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EEEEE"/>
          </w:tcPr>
          <w:p>
            <w:pPr>
              <w:keepNext/>
              <w:spacing w:after="60" w:before="40" w:line="247" w:lineRule="auto"/>
            </w:pPr>
            <w:r>
              <w:rPr>
                <w:rFonts w:ascii="Times New Roman" w:hAnsi="Times New Roman"/>
                <w:b/>
                <w:sz w:val="18"/>
              </w:rPr>
              <w:t>AUC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EEEEE"/>
          </w:tcPr>
          <w:p>
            <w:pPr>
              <w:keepNext/>
              <w:spacing w:after="60" w:before="40" w:line="247" w:lineRule="auto"/>
            </w:pPr>
            <w:r>
              <w:rPr>
                <w:rFonts w:ascii="Times New Roman" w:hAnsi="Times New Roman"/>
                <w:b/>
                <w:sz w:val="18"/>
              </w:rPr>
              <w:t>AP</w:t>
            </w:r>
          </w:p>
        </w:tc>
        <w:tc>
          <w:tcPr>
            <w:tcW w:type="dxa" w:w="136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EEEEE"/>
          </w:tcPr>
          <w:p>
            <w:pPr>
              <w:keepNext/>
              <w:spacing w:after="60" w:before="40" w:line="247" w:lineRule="auto"/>
            </w:pPr>
            <w:r>
              <w:rPr>
                <w:rFonts w:ascii="Times New Roman" w:hAnsi="Times New Roman"/>
                <w:b/>
                <w:sz w:val="18"/>
              </w:rPr>
              <w:t>Hits / 422</w:t>
            </w:r>
          </w:p>
        </w:tc>
        <w:tc>
          <w:tcPr>
            <w:tcW w:type="dxa" w:w="165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EEEEE"/>
          </w:tcPr>
          <w:p>
            <w:pPr>
              <w:keepNext/>
              <w:spacing w:after="60" w:before="40" w:line="247" w:lineRule="auto"/>
            </w:pPr>
            <w:r>
              <w:rPr>
                <w:rFonts w:ascii="Times New Roman" w:hAnsi="Times New Roman"/>
                <w:b/>
                <w:sz w:val="18"/>
              </w:rPr>
              <w:t>Tie-hit range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Three-flag RF (mean)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0.8447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0.02837</w:t>
            </w:r>
          </w:p>
        </w:tc>
        <w:tc>
          <w:tcPr>
            <w:tcW w:type="dxa" w:w="136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13.0</w:t>
            </w:r>
          </w:p>
        </w:tc>
        <w:tc>
          <w:tcPr>
            <w:tcW w:type="dxa" w:w="165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12–16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Selected source absent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0.7687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0.01431</w:t>
            </w:r>
          </w:p>
        </w:tc>
        <w:tc>
          <w:tcPr>
            <w:tcW w:type="dxa" w:w="136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65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0–12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Final FIN87 nonfinite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0.7855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0.00706</w:t>
            </w:r>
          </w:p>
        </w:tc>
        <w:tc>
          <w:tcPr>
            <w:tcW w:type="dxa" w:w="136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65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0–16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No prior candidate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0.7842</w:t>
            </w:r>
          </w:p>
        </w:tc>
        <w:tc>
          <w:tcPr>
            <w:tcW w:type="dxa" w:w="129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0.02685</w:t>
            </w:r>
          </w:p>
        </w:tc>
        <w:tc>
          <w:tcPr>
            <w:tcW w:type="dxa" w:w="136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65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40" w:line="247" w:lineRule="auto"/>
            </w:pPr>
            <w:r>
              <w:rPr>
                <w:rFonts w:ascii="Times New Roman" w:hAnsi="Times New Roman"/>
                <w:b w:val="0"/>
                <w:sz w:val="18"/>
              </w:rPr>
              <w:t>12–20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pgSz w:w="16834" w:h="11909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cstheme="majorBidi" w:ascii="Times New Roman" w:hAnsi="Times New Roman" w:eastAsia="Noto Serif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Noto Serif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Noto Serif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Noto Serif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cstheme="majorBidi" w:ascii="Times New Roman" w:hAnsi="Times New Roman" w:eastAsia="Noto Serif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Noto Serif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Noto Serif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Noto Serif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Noto Serif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Noto Serif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Noto Serif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Noto Serif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Noto Serif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Noto Serif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Noto Serif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Noto Serif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Noto Serif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22</cp:revision>
  <dcterms:created xsi:type="dcterms:W3CDTF">2026-09-25T06:00:00Z</dcterms:created>
  <dcterms:modified xsi:type="dcterms:W3CDTF">2026-09-25T06:00:00Z</dcterms:modified>
  <cp:category>Manuscript revision</cp:category>
  <cp:version>21</cp:version>
</cp:coreProperties>
</file>