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aption"/>
        <w:keepNext/>
      </w:pPr>
      <w:r>
        <w:rPr>
          <w:rFonts w:ascii="Times New Roman" w:hAnsi="Times New Roman" w:eastAsia="Noto Serif CJK SC"/>
        </w:rPr>
        <w:t>Table 3. Primary feature expansion within five non-graph learners</w:t>
      </w:r>
    </w:p>
    <w:tbl>
      <w:tblPr>
        <w:tblStyle w:val="TableGrid"/>
        <w:tblW w:type="dxa" w:w="13752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2880"/>
        <w:gridCol w:w="2880"/>
        <w:gridCol w:w="3096"/>
      </w:tblGrid>
      <w:tr>
        <w:trPr>
          <w:cantSplit/>
          <w:tblHeader/>
          <w:cantSplit/>
          <w:tblHeader/>
          <w:tblHeader/>
          <w:cantSplit/>
        </w:trPr>
        <w:tc>
          <w:tcPr>
            <w:tcW w:type="dxa" w:w="5328"/>
            <w:vAlign w:val="center"/>
            <w:shd w:fill="EEEEEE"/>
          </w:tcPr>
          <w:p>
            <w:pPr>
              <w:keepNext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/>
                <w:color w:val="000000"/>
                <w:sz w:val="18"/>
              </w:rPr>
              <w:t>Learner</w:t>
            </w:r>
          </w:p>
        </w:tc>
        <w:tc>
          <w:tcPr>
            <w:tcW w:type="dxa" w:w="2880"/>
            <w:vAlign w:val="center"/>
            <w:shd w:fill="EEEEEE"/>
          </w:tcPr>
          <w:p>
            <w:pPr>
              <w:keepNext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/>
                <w:color w:val="000000"/>
                <w:sz w:val="18"/>
              </w:rPr>
              <w:t>M10 − M5</w:t>
            </w:r>
          </w:p>
        </w:tc>
        <w:tc>
          <w:tcPr>
            <w:tcW w:type="dxa" w:w="2880"/>
            <w:vAlign w:val="center"/>
            <w:shd w:fill="EEEEEE"/>
          </w:tcPr>
          <w:p>
            <w:pPr>
              <w:keepNext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/>
                <w:color w:val="000000"/>
                <w:sz w:val="18"/>
              </w:rPr>
              <w:t>M11 − M10</w:t>
            </w:r>
          </w:p>
        </w:tc>
        <w:tc>
          <w:tcPr>
            <w:tcW w:type="dxa" w:w="3096"/>
            <w:vAlign w:val="center"/>
            <w:shd w:fill="EEEEEE"/>
          </w:tcPr>
          <w:p>
            <w:pPr>
              <w:keepNext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/>
                <w:color w:val="000000"/>
                <w:sz w:val="18"/>
              </w:rPr>
              <w:t>M11 − M5</w:t>
            </w:r>
          </w:p>
        </w:tc>
      </w:tr>
      <w:tr>
        <w:trPr>
          <w:cantSplit/>
          <w:cantSplit/>
          <w:cantSplit/>
        </w:trPr>
        <w:tc>
          <w:tcPr>
            <w:tcW w:type="dxa" w:w="5328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MLP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0.0826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−0.0101</w:t>
            </w:r>
          </w:p>
        </w:tc>
        <w:tc>
          <w:tcPr>
            <w:tcW w:type="dxa" w:w="3096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0.0725</w:t>
            </w:r>
          </w:p>
        </w:tc>
      </w:tr>
      <w:tr>
        <w:trPr>
          <w:cantSplit/>
          <w:cantSplit/>
          <w:cantSplit/>
        </w:trPr>
        <w:tc>
          <w:tcPr>
            <w:tcW w:type="dxa" w:w="5328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L1 logistic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0.0033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0.0194</w:t>
            </w:r>
          </w:p>
        </w:tc>
        <w:tc>
          <w:tcPr>
            <w:tcW w:type="dxa" w:w="3096"/>
            <w:vAlign w:val="center"/>
          </w:tcPr>
          <w:p>
            <w:r>
              <w:t>0.0227†</w:t>
            </w:r>
          </w:p>
        </w:tc>
      </w:tr>
      <w:tr>
        <w:trPr>
          <w:cantSplit/>
          <w:cantSplit/>
          <w:cantSplit/>
        </w:trPr>
        <w:tc>
          <w:tcPr>
            <w:tcW w:type="dxa" w:w="5328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L2 logistic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0.0104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0.0160</w:t>
            </w:r>
          </w:p>
        </w:tc>
        <w:tc>
          <w:tcPr>
            <w:tcW w:type="dxa" w:w="3096"/>
            <w:vAlign w:val="center"/>
          </w:tcPr>
          <w:p>
            <w:r>
              <w:t>0.0264†</w:t>
            </w:r>
          </w:p>
        </w:tc>
      </w:tr>
      <w:tr>
        <w:trPr>
          <w:cantSplit/>
          <w:cantSplit/>
          <w:cantSplit/>
        </w:trPr>
        <w:tc>
          <w:tcPr>
            <w:tcW w:type="dxa" w:w="5328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Random Forest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0.0652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0.0184</w:t>
            </w:r>
          </w:p>
        </w:tc>
        <w:tc>
          <w:tcPr>
            <w:tcW w:type="dxa" w:w="3096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0.0837</w:t>
            </w:r>
          </w:p>
        </w:tc>
      </w:tr>
      <w:tr>
        <w:trPr>
          <w:cantSplit/>
          <w:cantSplit/>
          <w:cantSplit/>
        </w:trPr>
        <w:tc>
          <w:tcPr>
            <w:tcW w:type="dxa" w:w="5328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XGBoost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0.0953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−0.0251</w:t>
            </w:r>
          </w:p>
        </w:tc>
        <w:tc>
          <w:tcPr>
            <w:tcW w:type="dxa" w:w="3096"/>
            <w:vAlign w:val="center"/>
          </w:tcPr>
          <w:p>
            <w:r>
              <w:t>0.0702†</w:t>
            </w:r>
          </w:p>
        </w:tc>
      </w:tr>
    </w:tbl>
    <w:p>
      <w:pPr>
        <w:pStyle w:val="Caption"/>
      </w:pPr>
      <w:r>
        <w:rPr>
          <w:b w:val="0"/>
        </w:rPr>
        <w:t>Differences are richer minus leaner at fixed primary settings, calculated from unrounded means. This panel is descriptive. Original fixed-fit paired intervals are preserved in Supplement Table S3b and the aggregate source; three of five M11−M5 intervals include zero. Stored-message GNN increments in S3 do not evaluate reverse-message feature expansion. Table 5B separately gives crossed financial-reconstruction contrasts. This is the unchanged predecessor comparison; Table 6C gives the added B/B0 crossed increments. No nine-learner invariant gain is claimed.</w:t>
      </w:r>
    </w:p>
    <w:p>
      <w:pPr>
        <w:pStyle w:val="Caption"/>
      </w:pPr>
      <w:r>
        <w:rPr>
          <w:b w:val="0"/>
        </w:rPr>
        <w:t>† The retained fixed-fit company-cluster 95% interval includes zero. MLP and RF intervals exclude zero. These are the original fixed-fit intervals from Supplement S3b, not the added crossed company×seed intervals.</w:t>
      </w:r>
    </w:p>
    <w:sectPr w:rsidR="00FC693F" w:rsidRPr="0006063C" w:rsidSect="00034616">
      <w:footerReference w:type="default" r:id="rId9"/>
      <w:footerReference w:type="first" r:id="rId10"/>
      <w:footerReference w:type="even" r:id="rId11"/>
      <w:headerReference w:type="default" r:id="rId12"/>
      <w:pgSz w:w="16834" w:h="11909"/>
      <w:pgMar w:top="979" w:right="1080" w:bottom="979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Times New Roman" w:hAnsi="Times New Roman" w:eastAsia="Noto Serif CJK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Noto Serif CJK SC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eastAsia="Noto Serif CJK SC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Noto Serif CJK SC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eastAsia="Noto Serif CJK SC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 w:line="259" w:lineRule="auto"/>
      <w:outlineLvl w:val="0"/>
    </w:pPr>
    <w:rPr>
      <w:rFonts w:cstheme="majorBidi" w:ascii="Times New Roman" w:hAnsi="Times New Roman" w:eastAsia="Noto Serif CJK SC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 w:line="259" w:lineRule="auto"/>
      <w:outlineLvl w:val="1"/>
    </w:pPr>
    <w:rPr>
      <w:rFonts w:cstheme="majorBidi" w:ascii="Times New Roman" w:hAnsi="Times New Roman" w:eastAsia="Noto Serif CJK SC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20" w:line="259" w:lineRule="auto"/>
      <w:outlineLvl w:val="2"/>
    </w:pPr>
    <w:rPr>
      <w:rFonts w:cstheme="majorBidi" w:ascii="Times New Roman" w:hAnsi="Times New Roman" w:eastAsia="Noto Serif CJK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Times New Roman" w:hAnsi="Times New Roman" w:eastAsia="Noto Serif CJK S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Times New Roman" w:hAnsi="Times New Roman" w:eastAsia="Noto Serif CJK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Times New Roman" w:hAnsi="Times New Roman" w:eastAsia="Noto Serif CJK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Times New Roman" w:hAnsi="Times New Roman" w:eastAsia="Noto Serif CJK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Times New Roman" w:hAnsi="Times New Roman" w:eastAsia="Noto Serif CJK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Times New Roman" w:hAnsi="Times New Roman" w:eastAsia="Noto Serif CJK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eastAsia="Noto Serif CJK SC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eastAsia="Noto Serif CJK SC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Times New Roman" w:hAnsi="Times New Roman" w:eastAsia="Noto Serif CJK SC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Times New Roman" w:hAnsi="Times New Roman" w:eastAsia="Noto Serif CJK SC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Times New Roman" w:hAnsi="Times New Roman" w:eastAsia="Noto Serif CJK SC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59" w:lineRule="auto"/>
      <w:contextualSpacing/>
    </w:pPr>
    <w:rPr>
      <w:rFonts w:cstheme="majorBidi" w:ascii="Times New Roman" w:hAnsi="Times New Roman" w:eastAsia="Noto Serif CJK SC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Times New Roman" w:hAnsi="Times New Roman" w:eastAsia="Noto Serif CJK SC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Times New Roman" w:hAnsi="Times New Roman" w:eastAsia="Noto Serif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Times New Roman" w:hAnsi="Times New Roman" w:eastAsia="Noto Serif CJK SC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Noto Serif CJK SC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Noto Serif CJK SC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eastAsia="Noto Serif CJK SC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eastAsia="Noto Serif CJK SC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eastAsia="Noto Serif CJK SC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eastAsia="Noto Serif CJK SC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eastAsia="Noto Serif CJK SC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eastAsia="Noto Serif CJK SC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eastAsia="Noto Serif CJK SC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eastAsia="Noto Serif CJK SC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Noto Serif CJK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Noto Serif CJK S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Noto Serif CJK SC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Noto Serif CJK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Noto Serif CJK SC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Noto Serif CJK SC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eastAsia="Noto Serif CJK SC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eastAsia="Noto Serif CJK SC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eastAsia="Noto Serif CJK SC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Noto Serif CJK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Noto Serif CJK S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eastAsia="Noto Serif CJK SC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eastAsia="Noto Serif CJK SC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Times New Roman" w:hAnsi="Times New Roman" w:eastAsia="Noto Serif CJK SC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Times New Roman" w:hAnsi="Times New Roman" w:eastAsia="Noto Serif CJK SC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Times New Roman" w:hAnsi="Times New Roman" w:eastAsia="Noto Serif CJK SC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Times New Roman" w:hAnsi="Times New Roman" w:eastAsia="Noto Serif CJK SC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Times New Roman" w:hAnsi="Times New Roman" w:eastAsia="Noto Serif CJK SC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Times New Roman" w:hAnsi="Times New Roman" w:eastAsia="Noto Serif CJK SC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9" w:lineRule="auto" w:after="120"/>
    </w:pPr>
    <w:rPr>
      <w:rFonts w:ascii="Times New Roman" w:hAnsi="Times New Roman" w:eastAsia="Noto Serif CJK SC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eastAsia="Noto Serif CJK SC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eastAsia="Noto Serif CJK SC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 w:eastAsia="Noto Serif CJK SC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eastAsia="Noto Serif CJK SC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eastAsia="Noto Serif CJK SC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eastAsia="Noto Serif CJK SC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eastAsia="Noto Serif CJK SC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eastAsia="Noto Serif CJK SC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eastAsia="Noto Serif CJK SC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eastAsia="Noto Serif CJK SC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PeerJ CS-2026:06:141707 table asset</dc:title>
  <dc:subject/>
  <dc:creator>Yi Qiu Cheng; Xiao Rong Cheng</dc:creator>
  <cp:keywords/>
  <dc:description/>
  <cp:lastModifiedBy/>
  <cp:revision>22</cp:revision>
  <dcterms:created xsi:type="dcterms:W3CDTF">2026-09-25T06:00:00Z</dcterms:created>
  <dcterms:modified xsi:type="dcterms:W3CDTF">2026-09-25T06:00:00Z</dcterms:modified>
  <cp:category>Manuscript revision</cp:category>
  <cp:version>21</cp:version>
</cp:coreProperties>
</file>