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keepNext/>
      </w:pPr>
      <w:r>
        <w:rPr>
          <w:rFonts w:ascii="Times New Roman" w:hAnsi="Times New Roman" w:eastAsia="Noto Serif CJK SC"/>
        </w:rPr>
        <w:t>Table 4A. Primary M11 paired comparisons: crossed company-and-seed uncertainty</w:t>
      </w:r>
    </w:p>
    <w:tbl>
      <w:tblPr>
        <w:tblStyle w:val="TableGrid"/>
        <w:tblW w:type="dxa" w:w="14544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2088"/>
        <w:gridCol w:w="4824"/>
      </w:tblGrid>
      <w:tr>
        <w:trPr>
          <w:cantSplit/>
          <w:tblHeader/>
          <w:cantSplit/>
          <w:tblHeader/>
          <w:tblHeader/>
          <w:cantSplit/>
        </w:trPr>
        <w:tc>
          <w:tcPr>
            <w:tcW w:type="dxa" w:w="7272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Paired comparison (left minus right)</w:t>
            </w:r>
          </w:p>
        </w:tc>
        <w:tc>
          <w:tcPr>
            <w:tcW w:type="dxa" w:w="2088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Mean ΔAUC</w:t>
            </w:r>
          </w:p>
        </w:tc>
        <w:tc>
          <w:tcPr>
            <w:tcW w:type="dxa" w:w="4824"/>
            <w:vAlign w:val="center"/>
            <w:shd w:fill="EEEEEE"/>
          </w:tcPr>
          <w:p>
            <w:pPr>
              <w:keepNext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95% company × seed interval</w:t>
            </w:r>
          </w:p>
        </w:tc>
      </w:tr>
      <w:tr>
        <w:trPr>
          <w:cantSplit/>
          <w:cantSplit/>
          <w:cantSplit/>
        </w:trPr>
        <w:tc>
          <w:tcPr>
            <w:tcW w:type="dxa" w:w="72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RF (unweighted) − MLP (weighted)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+0.0320</w:t>
            </w:r>
          </w:p>
        </w:tc>
        <w:tc>
          <w:tcPr>
            <w:tcW w:type="dxa" w:w="482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[−0.0253, +0.0928]</w:t>
            </w:r>
          </w:p>
        </w:tc>
      </w:tr>
      <w:tr>
        <w:trPr>
          <w:cantSplit/>
          <w:cantSplit/>
          <w:cantSplit/>
        </w:trPr>
        <w:tc>
          <w:tcPr>
            <w:tcW w:type="dxa" w:w="72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RF (unweighted) − GCN (reverse)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+0.0458</w:t>
            </w:r>
          </w:p>
        </w:tc>
        <w:tc>
          <w:tcPr>
            <w:tcW w:type="dxa" w:w="482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[−0.0298, +0.1217]</w:t>
            </w:r>
          </w:p>
        </w:tc>
      </w:tr>
      <w:tr>
        <w:trPr>
          <w:cantSplit/>
          <w:cantSplit/>
          <w:cantSplit/>
        </w:trPr>
        <w:tc>
          <w:tcPr>
            <w:tcW w:type="dxa" w:w="72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RF (unweighted) − GraphSAGE (reverse)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+0.0465</w:t>
            </w:r>
          </w:p>
        </w:tc>
        <w:tc>
          <w:tcPr>
            <w:tcW w:type="dxa" w:w="482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[−0.0117, +0.1057]</w:t>
            </w:r>
          </w:p>
        </w:tc>
      </w:tr>
      <w:tr>
        <w:trPr>
          <w:cantSplit/>
          <w:cantSplit/>
          <w:cantSplit/>
        </w:trPr>
        <w:tc>
          <w:tcPr>
            <w:tcW w:type="dxa" w:w="72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MLP (weighted) − GCN (reverse)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+0.0138</w:t>
            </w:r>
          </w:p>
        </w:tc>
        <w:tc>
          <w:tcPr>
            <w:tcW w:type="dxa" w:w="482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[−0.0393, +0.0659]</w:t>
            </w:r>
          </w:p>
        </w:tc>
      </w:tr>
      <w:tr>
        <w:trPr>
          <w:cantSplit/>
          <w:cantSplit/>
          <w:cantSplit/>
        </w:trPr>
        <w:tc>
          <w:tcPr>
            <w:tcW w:type="dxa" w:w="72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MLP (weighted) − GAT (reverse)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+0.1196</w:t>
            </w:r>
          </w:p>
        </w:tc>
        <w:tc>
          <w:tcPr>
            <w:tcW w:type="dxa" w:w="482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[+0.0434, +0.1952]</w:t>
            </w:r>
          </w:p>
        </w:tc>
      </w:tr>
      <w:tr>
        <w:trPr>
          <w:cantSplit/>
          <w:cantSplit/>
          <w:cantSplit/>
        </w:trPr>
        <w:tc>
          <w:tcPr>
            <w:tcW w:type="dxa" w:w="72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MLP (weighted) − GraphSAGE (reverse)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+0.0145</w:t>
            </w:r>
          </w:p>
        </w:tc>
        <w:tc>
          <w:tcPr>
            <w:tcW w:type="dxa" w:w="482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[−0.0233, +0.0616]</w:t>
            </w:r>
          </w:p>
        </w:tc>
      </w:tr>
      <w:tr>
        <w:trPr>
          <w:cantSplit/>
          <w:cantSplit/>
          <w:cantSplit/>
        </w:trPr>
        <w:tc>
          <w:tcPr>
            <w:tcW w:type="dxa" w:w="72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MLP (weighted) − RGCN (reverse)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+0.1352</w:t>
            </w:r>
          </w:p>
        </w:tc>
        <w:tc>
          <w:tcPr>
            <w:tcW w:type="dxa" w:w="482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[+0.0449, +0.2279]</w:t>
            </w:r>
          </w:p>
        </w:tc>
      </w:tr>
      <w:tr>
        <w:trPr>
          <w:cantSplit/>
          <w:cantSplit/>
          <w:cantSplit/>
        </w:trPr>
        <w:tc>
          <w:tcPr>
            <w:tcW w:type="dxa" w:w="72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GCN (reverse) − GCN stored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+0.1753</w:t>
            </w:r>
          </w:p>
        </w:tc>
        <w:tc>
          <w:tcPr>
            <w:tcW w:type="dxa" w:w="482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[+0.0739, +0.2890]</w:t>
            </w:r>
          </w:p>
        </w:tc>
      </w:tr>
      <w:tr>
        <w:trPr>
          <w:cantSplit/>
          <w:cantSplit/>
          <w:cantSplit/>
        </w:trPr>
        <w:tc>
          <w:tcPr>
            <w:tcW w:type="dxa" w:w="72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GAT (reverse) − GAT stored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+0.1009</w:t>
            </w:r>
          </w:p>
        </w:tc>
        <w:tc>
          <w:tcPr>
            <w:tcW w:type="dxa" w:w="482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[−0.0245, +0.2303]</w:t>
            </w:r>
          </w:p>
        </w:tc>
      </w:tr>
      <w:tr>
        <w:trPr>
          <w:cantSplit/>
          <w:cantSplit/>
          <w:cantSplit/>
        </w:trPr>
        <w:tc>
          <w:tcPr>
            <w:tcW w:type="dxa" w:w="72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GraphSAGE (reverse) − GraphSAGE stored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+0.0574</w:t>
            </w:r>
          </w:p>
        </w:tc>
        <w:tc>
          <w:tcPr>
            <w:tcW w:type="dxa" w:w="482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[+0.0000027, +0.1321]</w:t>
            </w:r>
          </w:p>
        </w:tc>
      </w:tr>
      <w:tr>
        <w:trPr>
          <w:cantSplit/>
          <w:cantSplit/>
          <w:cantSplit/>
        </w:trPr>
        <w:tc>
          <w:tcPr>
            <w:tcW w:type="dxa" w:w="72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RGCN (reverse) − RGCN stored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−0.0191</w:t>
            </w:r>
          </w:p>
        </w:tc>
        <w:tc>
          <w:tcPr>
            <w:tcW w:type="dxa" w:w="482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[−0.1250, +0.0798]</w:t>
            </w:r>
          </w:p>
        </w:tc>
      </w:tr>
    </w:tbl>
    <w:p>
      <w:pPr>
        <w:pStyle w:val="Caption"/>
      </w:pPr>
      <w:r>
        <w:rPr>
          <w:rFonts w:ascii="Times New Roman" w:hAnsi="Times New Roman" w:eastAsia="Noto Serif CJK SC"/>
          <w:b w:val="0"/>
        </w:rPr>
        <w:t>Reference means: weighted MLP 0.8319; unweighted RF 0.8639. GNN references use reverse messages; the last four rows compare these references with the post-hoc stored-message ablation. Intervals use 2,000 shared company-cluster draws crossed with matched seed labels (4,531 companies; 8,435 observations; 20 positives). They omit case/network blocks, new training data and post-hoc selection and are marginal and unadjusted. GraphSAGE reverse−stored has lower endpoint approximately +0.0000027, not a robust positive margin. The fixed-fit scheme is in Supplement S11. Differences use unrounded means.</w:t>
      </w:r>
    </w:p>
    <w:p>
      <w:pPr>
        <w:pStyle w:val="Caption"/>
        <w:pageBreakBefore/>
      </w:pPr>
      <w:r>
        <w:t>Table 4B. Findings, evidence and limits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63"/>
        <w:gridCol w:w="4863"/>
        <w:gridCol w:w="4863"/>
      </w:tblGrid>
      <w:tr>
        <w:trPr>
          <w:tblHeader/>
          <w:cantSplit/>
        </w:trPr>
        <w:tc>
          <w:tcPr>
            <w:tcW w:type="dxa" w:w="5832"/>
          </w:tcPr>
          <w:p>
            <w:pPr>
              <w:keepNext/>
              <w:spacing w:after="60" w:before="100"/>
            </w:pPr>
            <w:r>
              <w:rPr>
                <w:rFonts w:ascii="Times New Roman" w:hAnsi="Times New Roman"/>
                <w:b/>
                <w:sz w:val="18"/>
              </w:rPr>
              <w:t>Finding</w:t>
            </w:r>
          </w:p>
        </w:tc>
        <w:tc>
          <w:tcPr>
            <w:tcW w:type="dxa" w:w="2952"/>
          </w:tcPr>
          <w:p>
            <w:pPr>
              <w:keepNext/>
              <w:spacing w:after="60" w:before="100"/>
            </w:pPr>
            <w:r>
              <w:rPr>
                <w:rFonts w:ascii="Times New Roman" w:hAnsi="Times New Roman"/>
                <w:b/>
                <w:sz w:val="18"/>
              </w:rPr>
              <w:t>Evidence</w:t>
            </w:r>
          </w:p>
        </w:tc>
        <w:tc>
          <w:tcPr>
            <w:tcW w:type="dxa" w:w="5803"/>
          </w:tcPr>
          <w:p>
            <w:pPr>
              <w:keepNext/>
              <w:spacing w:after="60" w:before="100"/>
            </w:pPr>
            <w:r>
              <w:rPr>
                <w:rFonts w:ascii="Times New Roman" w:hAnsi="Times New Roman"/>
                <w:b/>
                <w:sz w:val="18"/>
              </w:rPr>
              <w:t>Interpretation limit</w:t>
            </w:r>
          </w:p>
        </w:tc>
      </w:tr>
      <w:tr>
        <w:trPr>
          <w:cantSplit/>
        </w:trPr>
        <w:tc>
          <w:tcPr>
            <w:tcW w:type="dxa" w:w="4863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8"/>
              </w:rPr>
              <w:t>Full-test GNN/feature-only gaps remain unresolved for GCN/GraphSAGE, before and after known-document supervision purge.</w:t>
            </w:r>
          </w:p>
        </w:tc>
        <w:tc>
          <w:tcPr>
            <w:tcW w:type="dxa" w:w="4863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8"/>
              </w:rPr>
              <w:t>Tables 2A, 4A, 6A; §§5.3, 5.7</w:t>
            </w:r>
          </w:p>
        </w:tc>
        <w:tc>
          <w:tcPr>
            <w:tcW w:type="dxa" w:w="4863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8"/>
              </w:rPr>
              <w:t>Conditional mean ordering is not equivalence, universal inferiority or validated new-case superiority.</w:t>
            </w:r>
          </w:p>
        </w:tc>
      </w:tr>
      <w:tr>
        <w:trPr>
          <w:cantSplit/>
        </w:trPr>
        <w:tc>
          <w:tcPr>
            <w:tcW w:type="dxa" w:w="4863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8"/>
              </w:rPr>
              <w:t>GCN retrieves D positives that MLP/RF miss; after purge the five budget hits are one repeated positive.</w:t>
            </w:r>
          </w:p>
        </w:tc>
        <w:tc>
          <w:tcPr>
            <w:tcW w:type="dxa" w:w="4863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8"/>
              </w:rPr>
              <w:t>§5.7; Supplement S19</w:t>
            </w:r>
          </w:p>
        </w:tc>
        <w:tc>
          <w:tcPr>
            <w:tcW w:type="dxa" w:w="4863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8"/>
              </w:rPr>
              <w:t>Seven D positives; influence ranges are descriptive, not independent discoveries.</w:t>
            </w:r>
          </w:p>
        </w:tc>
      </w:tr>
      <w:tr>
        <w:trPr>
          <w:cantSplit/>
        </w:trPr>
        <w:tc>
          <w:tcPr>
            <w:tcW w:type="dxa" w:w="4863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8"/>
              </w:rPr>
              <w:t>RF is sensitive to FIN87 donor completion, with M5 AUC and M5/M11 AP/F1 declines.</w:t>
            </w:r>
          </w:p>
        </w:tc>
        <w:tc>
          <w:tcPr>
            <w:tcW w:type="dxa" w:w="4863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8"/>
              </w:rPr>
              <w:t>Table 6B; §5.8</w:t>
            </w:r>
          </w:p>
        </w:tc>
        <w:tc>
          <w:tcPr>
            <w:tcW w:type="dxa" w:w="4863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8"/>
              </w:rPr>
              <w:t>M11 AUC change remains unresolved; no causal leakage-share estimate.</w:t>
            </w:r>
          </w:p>
        </w:tc>
      </w:tr>
      <w:tr>
        <w:trPr>
          <w:cantSplit/>
        </w:trPr>
        <w:tc>
          <w:tcPr>
            <w:tcW w:type="dxa" w:w="4863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8"/>
              </w:rPr>
              <w:t>FIN87 deletion retains full-test 42−17-column gains in MLP/RF.</w:t>
            </w:r>
          </w:p>
        </w:tc>
        <w:tc>
          <w:tcPr>
            <w:tcW w:type="dxa" w:w="4863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8"/>
              </w:rPr>
              <w:t>Table 6C; §5.9</w:t>
            </w:r>
          </w:p>
        </w:tc>
        <w:tc>
          <w:tcPr>
            <w:tcW w:type="dxa" w:w="4863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8"/>
              </w:rPr>
              <w:t>Not a source-version-free input set; no A×B0 cross and no D budget gain.</w:t>
            </w:r>
          </w:p>
        </w:tc>
      </w:tr>
      <w:tr>
        <w:trPr>
          <w:cantSplit/>
        </w:trPr>
        <w:tc>
          <w:tcPr>
            <w:tcW w:type="dxa" w:w="4863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8"/>
              </w:rPr>
              <w:t>Source-status scores can discriminate penalties, with coarse tied groups.</w:t>
            </w:r>
          </w:p>
        </w:tc>
        <w:tc>
          <w:tcPr>
            <w:tcW w:type="dxa" w:w="4863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8"/>
              </w:rPr>
              <w:t>Table 2D; §5.10</w:t>
            </w:r>
          </w:p>
        </w:tc>
        <w:tc>
          <w:tcPr>
            <w:tcW w:type="dxa" w:w="4863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8"/>
              </w:rPr>
              <w:t>Retrospective availability signal, not a deployable replacement model.</w:t>
            </w:r>
          </w:p>
        </w:tc>
      </w:tr>
      <w:tr>
        <w:trPr>
          <w:cantSplit/>
        </w:trPr>
        <w:tc>
          <w:tcPr>
            <w:tcW w:type="dxa" w:w="4863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8"/>
              </w:rPr>
              <w:t>Omitting reverse records lowers GCN AUC in the predecessor post-hoc ablation.</w:t>
            </w:r>
          </w:p>
        </w:tc>
        <w:tc>
          <w:tcPr>
            <w:tcW w:type="dxa" w:w="4863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8"/>
              </w:rPr>
              <w:t>Table 4A; Figure 2</w:t>
            </w:r>
          </w:p>
        </w:tc>
        <w:tc>
          <w:tcPr>
            <w:tcW w:type="dxa" w:w="4863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8"/>
              </w:rPr>
              <w:t>Accessibility and normalization change together; separate from case-purge effects.</w:t>
            </w:r>
          </w:p>
        </w:tc>
      </w:tr>
      <w:tr>
        <w:trPr>
          <w:cantSplit/>
        </w:trPr>
        <w:tc>
          <w:tcPr>
            <w:tcW w:type="dxa" w:w="4863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8"/>
              </w:rPr>
              <w:t>Indicator/historical-graph diagnostics test specific information paths.</w:t>
            </w:r>
          </w:p>
        </w:tc>
        <w:tc>
          <w:tcPr>
            <w:tcW w:type="dxa" w:w="4863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8"/>
              </w:rPr>
              <w:t>§5.4; Supplement S8e</w:t>
            </w:r>
          </w:p>
        </w:tc>
        <w:tc>
          <w:tcPr>
            <w:tcW w:type="dxa" w:w="4863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8"/>
              </w:rPr>
              <w:t>Not a universal bound on structural information.</w:t>
            </w:r>
          </w:p>
        </w:tc>
      </w:tr>
    </w:tbl>
    <w:sectPr w:rsidR="00FC693F" w:rsidRPr="0006063C" w:rsidSect="00034616">
      <w:footerReference w:type="default" r:id="rId9"/>
      <w:footerReference w:type="first" r:id="rId10"/>
      <w:footerReference w:type="even" r:id="rId11"/>
      <w:headerReference w:type="default" r:id="rId12"/>
      <w:pgSz w:w="16834" w:h="11909"/>
      <w:pgMar w:top="979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Times New Roman" w:hAnsi="Times New Roman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Noto Serif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Noto Serif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Noto Serif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Noto Serif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59" w:lineRule="auto"/>
      <w:outlineLvl w:val="0"/>
    </w:pPr>
    <w:rPr>
      <w:rFonts w:cstheme="majorBidi" w:ascii="Times New Roman" w:hAnsi="Times New Roman" w:eastAsia="Noto Serif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59" w:lineRule="auto"/>
      <w:outlineLvl w:val="1"/>
    </w:pPr>
    <w:rPr>
      <w:rFonts w:cstheme="majorBidi" w:ascii="Times New Roman" w:hAnsi="Times New Roman" w:eastAsia="Noto Serif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 w:line="259" w:lineRule="auto"/>
      <w:outlineLvl w:val="2"/>
    </w:pPr>
    <w:rPr>
      <w:rFonts w:cstheme="majorBidi" w:ascii="Times New Roman" w:hAnsi="Times New Roman" w:eastAsia="Noto Serif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eastAsia="Noto Serif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eastAsia="Noto Serif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eastAsia="Noto Serif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eastAsia="Noto Serif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eastAsia="Noto Serif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eastAsia="Noto Serif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Noto Serif CJK SC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Noto Serif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eastAsia="Noto Serif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eastAsia="Noto Serif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eastAsia="Noto Serif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/>
      <w:contextualSpacing/>
    </w:pPr>
    <w:rPr>
      <w:rFonts w:cstheme="majorBidi" w:ascii="Times New Roman" w:hAnsi="Times New Roman" w:eastAsia="Noto Serif CJK SC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eastAsia="Noto Serif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eastAsia="Noto Serif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eastAsia="Noto Serif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Noto Serif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Noto Serif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Noto Serif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Noto Serif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Noto Serif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Noto Serif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Noto Serif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Noto Serif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Noto Serif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Noto Serif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Noto Serif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Noto Serif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Noto Serif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Noto Serif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Noto Serif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Noto Serif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Noto Serif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Noto Serif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Noto Serif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Noto Serif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Noto Serif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Noto Serif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Noto Serif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eastAsia="Noto Serif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eastAsia="Noto Serif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eastAsia="Noto Serif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eastAsia="Noto Serif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eastAsia="Noto Serif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eastAsia="Noto Serif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120"/>
    </w:pPr>
    <w:rPr>
      <w:rFonts w:ascii="Times New Roman" w:hAnsi="Times New Roman" w:eastAsia="Noto Serif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Noto Serif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Noto Serif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Noto Serif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Noto Serif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Noto Serif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Noto Serif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Noto Serif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Noto Serif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Noto Serif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Noto Serif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PeerJ CS-2026:06:141707 table asset</dc:title>
  <dc:subject/>
  <dc:creator>Yi Qiu Cheng; Xiao Rong Cheng</dc:creator>
  <cp:keywords/>
  <dc:description/>
  <cp:lastModifiedBy/>
  <cp:revision>22</cp:revision>
  <dcterms:created xsi:type="dcterms:W3CDTF">2026-09-25T06:00:00Z</dcterms:created>
  <dcterms:modified xsi:type="dcterms:W3CDTF">2026-09-25T06:00:00Z</dcterms:modified>
  <cp:category>Manuscript revision</cp:category>
  <cp:version>21</cp:version>
</cp:coreProperties>
</file>