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keepNext/>
      </w:pPr>
      <w:r>
        <w:t>Table 5A. Pre-amendment Temporal sensitivity results and paired changes from primary references</w:t>
      </w:r>
    </w:p>
    <w:tbl>
      <w:tblPr>
        <w:tblStyle w:val="TableGrid"/>
        <w:tblW w:type="dxa" w:w="13536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1224"/>
        <w:gridCol w:w="2232"/>
        <w:gridCol w:w="1152"/>
        <w:gridCol w:w="2232"/>
        <w:gridCol w:w="1296"/>
        <w:gridCol w:w="1368"/>
        <w:gridCol w:w="1368"/>
      </w:tblGrid>
      <w:tr>
        <w:trPr>
          <w:cantSplit/>
          <w:tblHeader/>
          <w:cantSplit/>
          <w:tblHeader/>
          <w:tblHeader/>
          <w:cantSplit/>
        </w:trPr>
        <w:tc>
          <w:tcPr>
            <w:tcW w:type="dxa" w:w="3600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Condition / learner / input</w:t>
            </w:r>
          </w:p>
        </w:tc>
        <w:tc>
          <w:tcPr>
            <w:tcW w:type="dxa" w:w="1224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Primary AUC</w:t>
            </w:r>
          </w:p>
        </w:tc>
        <w:tc>
          <w:tcPr>
            <w:tcW w:type="dxa" w:w="2232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Sensitivity AUC ± SD</w:t>
            </w:r>
          </w:p>
        </w:tc>
        <w:tc>
          <w:tcPr>
            <w:tcW w:type="dxa" w:w="1152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ΔAUC</w:t>
            </w:r>
          </w:p>
        </w:tc>
        <w:tc>
          <w:tcPr>
            <w:tcW w:type="dxa" w:w="2232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95% company × seed interval for Δ</w:t>
            </w:r>
          </w:p>
        </w:tc>
        <w:tc>
          <w:tcPr>
            <w:tcW w:type="dxa" w:w="1296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AP</w:t>
            </w:r>
          </w:p>
        </w:tc>
        <w:tc>
          <w:tcPr>
            <w:tcW w:type="dxa" w:w="1368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P@5%</w:t>
            </w:r>
          </w:p>
        </w:tc>
        <w:tc>
          <w:tcPr>
            <w:tcW w:type="dxa" w:w="1368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R@10FPR</w:t>
            </w:r>
          </w:p>
        </w:tc>
      </w:tr>
      <w:tr>
        <w:trPr>
          <w:cantSplit/>
          <w:cantSplit/>
          <w:cantSplit/>
        </w:trPr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Financial as-of · MLP M5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0.7594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0.7673 ± 0.0220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+0.0079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[−0.0125, +0.0284]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0.00672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0.00616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0.30</w:t>
            </w:r>
          </w:p>
        </w:tc>
      </w:tr>
      <w:tr>
        <w:trPr>
          <w:cantSplit/>
          <w:cantSplit/>
          <w:cantSplit/>
        </w:trPr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Financial as-of · MLP M11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0.8319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0.8316 ± 0.0155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−0.0003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[−0.0137, +0.0113]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0.01096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0.01374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0.45</w:t>
            </w:r>
          </w:p>
        </w:tc>
      </w:tr>
      <w:tr>
        <w:trPr>
          <w:cantSplit/>
          <w:cantSplit/>
          <w:cantSplit/>
        </w:trPr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Financial as-of · RF M5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0.7802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0.8488 ± 0.0202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+0.0686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[+0.0173, +0.1240]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0.03607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0.01943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0.58</w:t>
            </w:r>
          </w:p>
        </w:tc>
      </w:tr>
      <w:tr>
        <w:trPr>
          <w:cantSplit/>
          <w:cantSplit/>
          <w:cantSplit/>
        </w:trPr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Financial as-of · RF M11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0.8639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0.9049 ± 0.0077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+0.0411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[−0.0120, +0.1074]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0.03016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0.02133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0.67</w:t>
            </w:r>
          </w:p>
        </w:tc>
      </w:tr>
      <w:tr>
        <w:trPr>
          <w:cantSplit/>
          <w:cantSplit/>
          <w:cantSplit/>
        </w:trPr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Fixed 1,095 d · MLP M11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0.8319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0.8222 ± 0.0146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−0.0097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[−0.0333, +0.0094]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0.00989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0.01232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0.48</w:t>
            </w:r>
          </w:p>
        </w:tc>
      </w:tr>
      <w:tr>
        <w:trPr>
          <w:cantSplit/>
          <w:cantSplit/>
          <w:cantSplit/>
        </w:trPr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Fixed 1,095 d · RF M11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0.8639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0.7860 ± 0.0237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−0.0779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[−0.1405, −0.0235]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0.01369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0.01943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0.49</w:t>
            </w:r>
          </w:p>
        </w:tc>
      </w:tr>
      <w:tr>
        <w:trPr>
          <w:cantSplit/>
          <w:cantSplit/>
          <w:cantSplit/>
        </w:trPr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Fixed 1,095 d · GCN (reverse) M11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0.8181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0.7663 ± 0.0297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−0.0518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[−0.1258, +0.0014]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0.00745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0.00711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0.39</w:t>
            </w:r>
          </w:p>
        </w:tc>
      </w:tr>
      <w:tr>
        <w:trPr>
          <w:cantSplit/>
          <w:cantSplit/>
          <w:cantSplit/>
        </w:trPr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Fixed 1,095 d · GraphSAGE (reverse) M11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0.8173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0.7376 ± 0.0393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−0.0797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[−0.1696, −0.0137]</w:t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0.00742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0.00900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0.39</w:t>
            </w:r>
          </w:p>
        </w:tc>
      </w:tr>
    </w:tbl>
    <w:p>
      <w:pPr>
        <w:pStyle w:val="Caption"/>
      </w:pPr>
      <w:r>
        <w:rPr>
          <w:rFonts w:ascii="Times New Roman" w:hAnsi="Times New Roman" w:eastAsia="Noto Serif CJK SC"/>
          <w:b w:val="0"/>
        </w:rPr>
        <w:t>Five fits per condition; the same 8,435 test labels and 20 positives. Changes are sensitivity minus corresponding primary, with reverse-message references for GCN/GraphSAGE. Intervals use 2,000 crossed company-and-matched-seed draws and omit case/network dependence and new training-data variation. Financial reconstruction changes only 87 fields under the available snapshot. Fixed-window fits retain original features and 119/25 training/validation positives, neural weight 201.5714 and reselected checkpoints/thresholds. Families are separate. Differences use unrounded means.</w:t>
      </w:r>
    </w:p>
    <w:p>
      <w:pPr>
        <w:pStyle w:val="Caption"/>
        <w:keepNext/>
      </w:pPr>
      <w:r>
        <w:rPr>
          <w:rFonts w:ascii="Times New Roman" w:hAnsi="Times New Roman" w:eastAsia="Noto Serif CJK SC"/>
        </w:rPr>
        <w:t>Table 5B. Within-family paired contrasts on the full test</w:t>
      </w:r>
    </w:p>
    <w:tbl>
      <w:tblPr>
        <w:tblStyle w:val="TableGrid"/>
        <w:tblW w:type="dxa" w:w="13752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1584"/>
        <w:gridCol w:w="2664"/>
        <w:gridCol w:w="1512"/>
        <w:gridCol w:w="2880"/>
      </w:tblGrid>
      <w:tr>
        <w:trPr>
          <w:cantSplit/>
          <w:tblHeader/>
          <w:cantSplit/>
          <w:tblHeader/>
          <w:tblHeader/>
          <w:cantSplit/>
        </w:trPr>
        <w:tc>
          <w:tcPr>
            <w:tcW w:type="dxa" w:w="5040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Contrast (left minus right)</w:t>
            </w:r>
          </w:p>
        </w:tc>
        <w:tc>
          <w:tcPr>
            <w:tcW w:type="dxa" w:w="1584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ΔAUC</w:t>
            </w:r>
          </w:p>
        </w:tc>
        <w:tc>
          <w:tcPr>
            <w:tcW w:type="dxa" w:w="2664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95% company × seed interval</w:t>
            </w:r>
          </w:p>
        </w:tc>
        <w:tc>
          <w:tcPr>
            <w:tcW w:type="dxa" w:w="1512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ΔAP</w:t>
            </w:r>
          </w:p>
        </w:tc>
        <w:tc>
          <w:tcPr>
            <w:tcW w:type="dxa" w:w="2880"/>
            <w:vAlign w:val="center"/>
            <w:shd w:fill="EEEEEE"/>
          </w:tcPr>
          <w:p>
            <w:pPr>
              <w:keepNext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95% company × seed interval (AP)</w:t>
            </w:r>
          </w:p>
        </w:tc>
      </w:tr>
      <w:tr>
        <w:trPr>
          <w:cantSplit/>
          <w:cantSplit/>
          <w:cantSplit/>
        </w:trPr>
        <w:tc>
          <w:tcPr>
            <w:tcW w:type="dxa" w:w="504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Financial: MLP − RF (M11)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−0.0733</w:t>
            </w:r>
          </w:p>
        </w:tc>
        <w:tc>
          <w:tcPr>
            <w:tcW w:type="dxa" w:w="266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[−0.1388, −0.0083]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−0.01921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[−0.06084, −0.00402]</w:t>
            </w:r>
          </w:p>
        </w:tc>
      </w:tr>
      <w:tr>
        <w:trPr>
          <w:cantSplit/>
          <w:cantSplit/>
          <w:cantSplit/>
        </w:trPr>
        <w:tc>
          <w:tcPr>
            <w:tcW w:type="dxa" w:w="504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Financial: MLP M11 − M5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+0.0643</w:t>
            </w:r>
          </w:p>
        </w:tc>
        <w:tc>
          <w:tcPr>
            <w:tcW w:type="dxa" w:w="266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[−0.0056, +0.1440]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+0.00424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[−0.00067, +0.01468]</w:t>
            </w:r>
          </w:p>
        </w:tc>
      </w:tr>
      <w:tr>
        <w:trPr>
          <w:cantSplit/>
          <w:cantSplit/>
          <w:cantSplit/>
        </w:trPr>
        <w:tc>
          <w:tcPr>
            <w:tcW w:type="dxa" w:w="504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Financial: RF M11 − M5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+0.0562</w:t>
            </w:r>
          </w:p>
        </w:tc>
        <w:tc>
          <w:tcPr>
            <w:tcW w:type="dxa" w:w="266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[−0.0045, +0.1334]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−0.00591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[−0.04629, +0.00774]</w:t>
            </w:r>
          </w:p>
        </w:tc>
      </w:tr>
      <w:tr>
        <w:trPr>
          <w:cantSplit/>
          <w:cantSplit/>
          <w:cantSplit/>
        </w:trPr>
        <w:tc>
          <w:tcPr>
            <w:tcW w:type="dxa" w:w="504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Fixed window: MLP − RF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+0.0362</w:t>
            </w:r>
          </w:p>
        </w:tc>
        <w:tc>
          <w:tcPr>
            <w:tcW w:type="dxa" w:w="266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[−0.0491, +0.1182]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−0.00380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[−0.01591, +0.00199]</w:t>
            </w:r>
          </w:p>
        </w:tc>
      </w:tr>
      <w:tr>
        <w:trPr>
          <w:cantSplit/>
          <w:cantSplit/>
          <w:cantSplit/>
        </w:trPr>
        <w:tc>
          <w:tcPr>
            <w:tcW w:type="dxa" w:w="504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Fixed window: MLP − GCN reverse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+0.0559</w:t>
            </w:r>
          </w:p>
        </w:tc>
        <w:tc>
          <w:tcPr>
            <w:tcW w:type="dxa" w:w="266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[−0.0140, +0.1400]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+0.00244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[−0.00172, +0.00864]</w:t>
            </w:r>
          </w:p>
        </w:tc>
      </w:tr>
      <w:tr>
        <w:trPr>
          <w:cantSplit/>
          <w:cantSplit/>
          <w:cantSplit/>
        </w:trPr>
        <w:tc>
          <w:tcPr>
            <w:tcW w:type="dxa" w:w="504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Fixed window: MLP − GraphSAGE reverse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+0.0845</w:t>
            </w:r>
          </w:p>
        </w:tc>
        <w:tc>
          <w:tcPr>
            <w:tcW w:type="dxa" w:w="266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[+0.0124, +0.1801]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+0.00247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[−0.00167, +0.00851]</w:t>
            </w:r>
          </w:p>
        </w:tc>
      </w:tr>
      <w:tr>
        <w:trPr>
          <w:cantSplit/>
          <w:cantSplit/>
          <w:cantSplit/>
        </w:trPr>
        <w:tc>
          <w:tcPr>
            <w:tcW w:type="dxa" w:w="504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Fixed window: RF − GCN reverse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+0.0197</w:t>
            </w:r>
          </w:p>
        </w:tc>
        <w:tc>
          <w:tcPr>
            <w:tcW w:type="dxa" w:w="266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[−0.0898, +0.1346]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+0.00624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[−0.00117, +0.02129]</w:t>
            </w:r>
          </w:p>
        </w:tc>
      </w:tr>
      <w:tr>
        <w:trPr>
          <w:cantSplit/>
          <w:cantSplit/>
          <w:cantSplit/>
        </w:trPr>
        <w:tc>
          <w:tcPr>
            <w:tcW w:type="dxa" w:w="504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Fixed window: RF − GraphSAGE reverse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+0.0483</w:t>
            </w:r>
          </w:p>
        </w:tc>
        <w:tc>
          <w:tcPr>
            <w:tcW w:type="dxa" w:w="2664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[−0.0390, +0.1547]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+0.00627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40" w:after="60" w:line="252" w:lineRule="auto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[+0.00031, +0.01904]</w:t>
            </w:r>
          </w:p>
        </w:tc>
      </w:tr>
    </w:tbl>
    <w:p>
      <w:pPr>
        <w:pStyle w:val="Caption"/>
      </w:pPr>
      <w:r>
        <w:rPr>
          <w:rFonts w:ascii="Times New Roman" w:hAnsi="Times New Roman" w:eastAsia="Noto Serif CJK SC"/>
          <w:b w:val="0"/>
        </w:rPr>
        <w:t>Same crossed scheme as Table 5A. MLP is positively weighted; RF is unweighted. Intervals describe these fitted pipelines and test rows, not clean-input, new-case or architecture-wide effects. Both financial M11−M5 AUC intervals contain zero despite positive differences in every seed. Supplement S13 preserves all 16 contrasts, both interval schemes and five metrics.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headerReference w:type="default" r:id="rId12"/>
      <w:pgSz w:w="16834" w:h="11909"/>
      <w:pgMar w:top="979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Times New Roman" w:hAnsi="Times New Roman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Noto Serif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Noto Serif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Noto Serif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Noto Serif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59" w:lineRule="auto"/>
      <w:outlineLvl w:val="0"/>
    </w:pPr>
    <w:rPr>
      <w:rFonts w:cstheme="majorBidi" w:ascii="Times New Roman" w:hAnsi="Times New Roman" w:eastAsia="Noto Serif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59" w:lineRule="auto"/>
      <w:outlineLvl w:val="1"/>
    </w:pPr>
    <w:rPr>
      <w:rFonts w:cstheme="majorBidi" w:ascii="Times New Roman" w:hAnsi="Times New Roman" w:eastAsia="Noto Serif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59" w:lineRule="auto"/>
      <w:outlineLvl w:val="2"/>
    </w:pPr>
    <w:rPr>
      <w:rFonts w:cstheme="majorBidi" w:ascii="Times New Roman" w:hAnsi="Times New Roman" w:eastAsia="Noto Serif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eastAsia="Noto Serif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eastAsia="Noto Serif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eastAsia="Noto Serif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eastAsia="Noto Serif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eastAsia="Noto Serif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eastAsia="Noto Serif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Noto Serif CJK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Noto Serif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eastAsia="Noto Serif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eastAsia="Noto Serif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eastAsia="Noto Serif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cstheme="majorBidi" w:ascii="Times New Roman" w:hAnsi="Times New Roman" w:eastAsia="Noto Serif CJK SC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eastAsia="Noto Serif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Noto Serif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eastAsia="Noto Serif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Noto Serif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Noto Serif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Noto Serif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Noto Serif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Noto Serif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Noto Serif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Noto Serif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Noto Serif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Noto Serif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Noto Serif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Noto Serif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Noto Serif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Noto Serif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Noto Serif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Noto Serif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Noto Serif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Noto Serif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Noto Serif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Noto Serif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Noto Serif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Noto Serif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Noto Serif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Noto Serif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eastAsia="Noto Serif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eastAsia="Noto Serif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eastAsia="Noto Serif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eastAsia="Noto Serif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eastAsia="Noto Serif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eastAsia="Noto Serif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20"/>
    </w:pPr>
    <w:rPr>
      <w:rFonts w:ascii="Times New Roman" w:hAnsi="Times New Roman" w:eastAsia="Noto Serif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Noto Serif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Noto Serif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Noto Serif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Noto Serif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Noto Serif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Noto Serif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Noto Serif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Noto Serif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Noto Serif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Noto Serif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PeerJ CS-2026:06:141707 table asset</dc:title>
  <dc:subject/>
  <dc:creator>Yi Qiu Cheng; Xiao Rong Cheng</dc:creator>
  <cp:keywords/>
  <dc:description/>
  <cp:lastModifiedBy/>
  <cp:revision>22</cp:revision>
  <dcterms:created xsi:type="dcterms:W3CDTF">2026-09-25T06:00:00Z</dcterms:created>
  <dcterms:modified xsi:type="dcterms:W3CDTF">2026-09-25T06:00:00Z</dcterms:modified>
  <cp:category>Manuscript revision</cp:category>
  <cp:version>21</cp:version>
</cp:coreProperties>
</file>