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D2D2D"/>
          <w:sz w:val="36"/>
          <w:szCs w:val="36"/>
        </w:rPr>
        <w:t xml:space="preserve">Qualtrics Translator Machine</w:t>
      </w:r>
    </w:p>
    <w:p>
      <w:pPr>
        <w:pBdr>
          <w:bottom w:val="single" w:color="F9A13A" w:sz="4" w:space="6"/>
        </w:pBdr>
        <w:spacing w:after="120"/>
      </w:pPr>
      <w:r>
        <w:rPr>
          <w:rFonts w:ascii="Arial" w:cs="Arial" w:eastAsia="Arial" w:hAnsi="Arial"/>
          <w:color w:val="737373"/>
          <w:sz w:val="20"/>
          <w:szCs w:val="20"/>
        </w:rPr>
        <w:t xml:space="preserve">Turning Qualtrics exports into advisory intelligence. </w:t>
      </w: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No AI dependency. Full evidence traceability. 30 seconds from upload to insight.</w:t>
      </w:r>
    </w:p>
    <w:p>
      <w:pPr>
        <w:pStyle w:val="Heading1"/>
      </w:pPr>
      <w:r>
        <w:t xml:space="preserve">What it is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QTM is a browser-based intelligence engine that takes raw Qualtrics data exports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and</w:t>
      </w:r>
      <w:r>
        <w:rPr>
          <w:rFonts w:ascii="Arial" w:cs="Arial" w:eastAsia="Arial" w:hAnsi="Arial"/>
          <w:sz w:val="18"/>
          <w:szCs w:val="18"/>
        </w:rPr>
        <w:t xml:space="preserve"> strategic context documents (annual reports, C-suite interview transcripts, industry benchmarks), cross-references them, and produces prioritised advisory recommendations with three AKT-branded PowerPoint decks tailored to different stakeholder audiences.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It is a single HTML file. No server, no installation, no cloud subscription, no LLM. A consultant opens it in Chrome, drops files in, and gets board-ready deliverables in under 30 seconds.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F9A13A"/>
          <w:sz w:val="16"/>
          <w:szCs w:val="16"/>
        </w:rPr>
        <w:t xml:space="preserve">The interface: upload, analyse, generate</w:t>
      </w:r>
    </w:p>
    <w:p>
      <w:pPr>
        <w:spacing w:after="60"/>
      </w:pPr>
      <w:r>
        <w:drawing>
          <wp:inline distT="0" distB="0" distL="0" distR="0">
            <wp:extent cx="6286500" cy="3762375"/>
            <wp:effectExtent t="0" r="0" b="0" l="0"/>
            <wp:docPr id="1" name="upload" descr="Upload zones and analysis summary" title="QTM Upload Inte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i/>
          <w:iCs/>
          <w:color w:val="737373"/>
          <w:sz w:val="16"/>
          <w:szCs w:val="16"/>
        </w:rPr>
        <w:t xml:space="preserve">Five Qualtrics CSV exports auto-detected (survey, TextIQ, StatsIQ, dashboard, tickets) alongside seven strategic context documents. The engine classified 5,818 records and 114 context blocks before the consultant touched a button.</w:t>
      </w:r>
    </w:p>
    <w:p>
      <w:pPr>
        <w:pStyle w:val="Heading1"/>
      </w:pPr>
      <w:r>
        <w:t xml:space="preserve">How we built it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QTM was designed and built using Claude as a development partner over approximately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150–200 hours of compressed engineering effort</w:t>
      </w:r>
      <w:r>
        <w:rPr>
          <w:rFonts w:ascii="Arial" w:cs="Arial" w:eastAsia="Arial" w:hAnsi="Arial"/>
          <w:sz w:val="18"/>
          <w:szCs w:val="18"/>
        </w:rPr>
        <w:t xml:space="preserve">. The result is a substantial codebase: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Backend (Python)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Browser app (JS)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Specifications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2D2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coverage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66 files, 14,100+ lines. FastAPI, SQLAlchemy 2.0, 13-table schema, 7 parsers, 5 analysers, 4 output builders.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2,500+ lines in a single self-contained file. Full analysis engine, 3 branded PPTX deck builders with charts and tables.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40+ documents across 9 folders: PRD, user stories, data schema, prioritisation framework, narrative templates, test cases.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35-assertion E2E test: detection → parsing → ingestion → analysis → scoring → output → lineage → determinism.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Critically, Claude was only the build partner. </w:t>
      </w:r>
      <w:r>
        <w:rPr>
          <w:rFonts w:ascii="Arial" w:cs="Arial" w:eastAsia="Arial" w:hAnsi="Arial"/>
          <w:sz w:val="18"/>
          <w:szCs w:val="18"/>
        </w:rPr>
        <w:t xml:space="preserve">The product itself has zero AI dependency at runtime. All logic is deterministic and rule-based. Every recommendation traces back to a source file and row. No hallucination, no black box, no variable output quality.</w:t>
      </w:r>
    </w:p>
    <w:p>
      <w:r>
        <w:br w:type="pag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What makes it intelligent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engine classifies uploads into ten analytical buckets (KPI metrics, trends, target gaps, drivers, tickets, verbatims, benchmarks, stakeholder interviews, strategy context, financial data), then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triangulates signals across sources</w:t>
      </w:r>
      <w:r>
        <w:rPr>
          <w:rFonts w:ascii="Arial" w:cs="Arial" w:eastAsia="Arial" w:hAnsi="Arial"/>
          <w:sz w:val="18"/>
          <w:szCs w:val="18"/>
        </w:rPr>
        <w:t xml:space="preserve"> to build confidence-scored priority pockets. Each finding is scored across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eight factors</w:t>
      </w:r>
      <w:r>
        <w:rPr>
          <w:rFonts w:ascii="Arial" w:cs="Arial" w:eastAsia="Arial" w:hAnsi="Arial"/>
          <w:sz w:val="18"/>
          <w:szCs w:val="18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40"/>
        <w:gridCol w:w="2200"/>
        <w:gridCol w:w="284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1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 (weight)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1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1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 (weight)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1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Customer Impact (20%)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Breadth × severity of customer pain, amplified by verbatim sentiment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Confidence (10%)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Number of independent data sources corroborating the finding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Business Impact (18%)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Driver importance + revenue at risk + strategic alignment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Recurrence (10%)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Consecutive periods the issue has appeared in trend 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Urgency (15%)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Trend velocity + threshold proximity + ticket escalation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Stakeholder Relevance (8%)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Clear organisational ownership from interviews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Strategic Importance (12%)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Match to priorities from annual reports + C-suite interviews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5"/>
                <w:szCs w:val="15"/>
              </w:rPr>
              <w:t xml:space="preserve">Effort (7%)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Feasibility: process change vs technology rebuild</w:t>
            </w:r>
          </w:p>
        </w:tc>
      </w:tr>
    </w:tbl>
    <w:p>
      <w:pPr>
        <w:spacing w:after="6" w:before="40"/>
      </w:pPr>
      <w:r>
        <w:rPr>
          <w:rFonts w:ascii="Arial" w:cs="Arial" w:eastAsia="Arial" w:hAnsi="Arial"/>
          <w:b/>
          <w:bCs/>
          <w:color w:val="F9A13A"/>
          <w:sz w:val="15"/>
          <w:szCs w:val="15"/>
        </w:rPr>
        <w:t xml:space="preserve">Transparent scoring: every priority is auditable</w:t>
      </w:r>
    </w:p>
    <w:p>
      <w:pPr>
        <w:spacing w:after="20"/>
      </w:pPr>
      <w:r>
        <w:drawing>
          <wp:inline distT="0" distB="0" distL="0" distR="0">
            <wp:extent cx="4762500" cy="2905125"/>
            <wp:effectExtent t="0" r="0" b="0" l="0"/>
            <wp:docPr id="1" name="scores" descr="Finding detail with 8-factor scores and strategic context" title="QTM Score Break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Arial" w:cs="Arial" w:eastAsia="Arial" w:hAnsi="Arial"/>
          <w:i/>
          <w:iCs/>
          <w:color w:val="737373"/>
          <w:sz w:val="14"/>
          <w:szCs w:val="14"/>
        </w:rPr>
        <w:t xml:space="preserve">Each finding: composite score, 8-factor bars, strategic context from documents matched automatically. Full audit trail — no hidden judgment.</w:t>
      </w:r>
    </w:p>
    <w:p>
      <w:pPr>
        <w:spacing w:after="6" w:before="30"/>
      </w:pPr>
      <w:r>
        <w:rPr>
          <w:rFonts w:ascii="Arial" w:cs="Arial" w:eastAsia="Arial" w:hAnsi="Arial"/>
          <w:b/>
          <w:bCs/>
          <w:color w:val="F9A13A"/>
          <w:sz w:val="15"/>
          <w:szCs w:val="15"/>
        </w:rPr>
        <w:t xml:space="preserve">Output: three AKT-branded decks </w:t>
      </w:r>
      <w:r>
        <w:rPr>
          <w:rFonts w:ascii="Arial" w:cs="Arial" w:eastAsia="Arial" w:hAnsi="Arial"/>
          <w:color w:val="737373"/>
          <w:sz w:val="15"/>
          <w:szCs w:val="15"/>
        </w:rPr>
        <w:t xml:space="preserve">— C-Level Brief (investment case), Operational Playbook (action plans), Webinar (voiceover scripts). Adapts to available data: no interviews, no stakeholder slides.</w:t>
      </w:r>
    </w:p>
    <w:p>
      <w:pPr>
        <w:spacing w:after="20"/>
      </w:pPr>
      <w:r>
        <w:drawing>
          <wp:inline distT="0" distB="0" distL="0" distR="0">
            <wp:extent cx="4762500" cy="1228725"/>
            <wp:effectExtent t="0" r="0" b="0" l="0"/>
            <wp:docPr id="1" name="generate" descr="Deck generation with three output types" title="QTM Generate Present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What’s next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A21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A1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(40h)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373B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Later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Working prototype. Single HTML file, runs in Chrome.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Brand polish, template library, edge cases, docs, Air Europa pilot.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Multi-user server, Qualtrics API, scheduled runs, named service line.</w:t>
            </w:r>
          </w:p>
        </w:tc>
      </w:tr>
    </w:tbl>
    <w:p>
      <w:pPr>
        <w:spacing w:before="40"/>
      </w:pPr>
      <w:r>
        <w:rPr>
          <w:rFonts w:ascii="Arial" w:cs="Arial" w:eastAsia="Arial" w:hAnsi="Arial"/>
          <w:b/>
          <w:bCs/>
          <w:color w:val="2D2D2D"/>
          <w:sz w:val="16"/>
          <w:szCs w:val="16"/>
        </w:rPr>
        <w:t xml:space="preserve">Zero infrastructure. Zero licences. Zero AI subscription. </w:t>
      </w:r>
      <w:r>
        <w:rPr>
          <w:rFonts w:ascii="Arial" w:cs="Arial" w:eastAsia="Arial" w:hAnsi="Arial"/>
          <w:sz w:val="16"/>
          <w:szCs w:val="16"/>
        </w:rPr>
        <w:t xml:space="preserve">150–200 hours already invested. 40 more to make it a team capability. Pilot: Air Europa.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3"/>
      </w:pBdr>
      <w:jc w:val="center"/>
    </w:pPr>
    <w:r>
      <w:rPr>
        <w:rFonts w:ascii="Arial" w:cs="Arial" w:eastAsia="Arial" w:hAnsi="Arial"/>
        <w:color w:val="737373"/>
        <w:sz w:val="12"/>
        <w:szCs w:val="12"/>
      </w:rPr>
      <w:t xml:space="preserve">Confidential | AKT Global | Page </w:t>
    </w:r>
    <w:r>
      <w:rPr>
        <w:rFonts w:ascii="Arial" w:cs="Arial" w:eastAsia="Arial" w:hAnsi="Arial"/>
        <w:color w:val="737373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2"/>
        <w:szCs w:val="1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A13A" w:sz="3" w:space="4"/>
      </w:pBdr>
    </w:pPr>
    <w:r>
      <w:rPr>
        <w:rFonts w:ascii="Arial" w:cs="Arial" w:eastAsia="Arial" w:hAnsi="Arial"/>
        <w:b/>
        <w:bCs/>
        <w:color w:val="F9A13A"/>
        <w:sz w:val="14"/>
        <w:szCs w:val="14"/>
      </w:rPr>
      <w:t xml:space="preserve">AKT Global </w:t>
    </w:r>
    <w:r>
      <w:rPr>
        <w:rFonts w:ascii="Arial" w:cs="Arial" w:eastAsia="Arial" w:hAnsi="Arial"/>
        <w:color w:val="737373"/>
        <w:sz w:val="14"/>
        <w:szCs w:val="14"/>
      </w:rPr>
      <w:t xml:space="preserve">| Qualtrics Translator Machine | Product Overview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F9A1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d12e3ebff126930f51d78d7354266b1705d94.png"/><Relationship Id="rId10" Type="http://schemas.openxmlformats.org/officeDocument/2006/relationships/image" Target="media/739973b9bdb75919092bffca8f71e1a958f2daee.png"/><Relationship Id="rId11" Type="http://schemas.openxmlformats.org/officeDocument/2006/relationships/image" Target="media/7df75685ea440587af98d589ef59bc31b9e785f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2026-03-12T09:56:16.477Z</dcterms:created>
  <dcterms:modified xsi:type="dcterms:W3CDTF">2026-03-12T09:56:16.478Z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