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9"/>
        <w:gridCol w:w="2702"/>
        <w:gridCol w:w="3909"/>
      </w:tblGrid>
      <w:tr w:rsidR="00E17DD1" w:rsidRPr="006760B4" w14:paraId="54C410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360" w:type="dxa"/>
              <w:left w:w="400" w:type="dxa"/>
              <w:bottom w:w="320" w:type="dxa"/>
              <w:right w:w="400" w:type="dxa"/>
            </w:tcMar>
          </w:tcPr>
          <w:p w14:paraId="2E351FD9" w14:textId="77777777" w:rsidR="00E17DD1" w:rsidRPr="006760B4" w:rsidRDefault="00000000">
            <w:pPr>
              <w:spacing w:after="60"/>
              <w:rPr>
                <w:lang w:val="en-US"/>
              </w:rPr>
            </w:pPr>
            <w:r w:rsidRPr="006760B4">
              <w:rPr>
                <w:b/>
                <w:bCs/>
                <w:color w:val="F5A623"/>
                <w:sz w:val="16"/>
                <w:szCs w:val="16"/>
                <w:lang w:val="en-US"/>
              </w:rPr>
              <w:t>AKT GLOBAL  ·  CMX AUTOMATION</w:t>
            </w:r>
          </w:p>
          <w:p w14:paraId="47139190" w14:textId="77777777" w:rsidR="00E17DD1" w:rsidRPr="006760B4" w:rsidRDefault="00000000">
            <w:pPr>
              <w:rPr>
                <w:lang w:val="en-US"/>
              </w:rPr>
            </w:pPr>
            <w:r w:rsidRPr="006760B4">
              <w:rPr>
                <w:b/>
                <w:bCs/>
                <w:color w:val="FFFFFF"/>
                <w:sz w:val="36"/>
                <w:szCs w:val="36"/>
                <w:lang w:val="en-US"/>
              </w:rPr>
              <w:t>The case for automating how we deliver</w:t>
            </w:r>
          </w:p>
        </w:tc>
      </w:tr>
      <w:tr w:rsidR="00E17DD1" w:rsidRPr="006760B4" w14:paraId="5648CBD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EF2F7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00CB8A6F" w14:textId="77777777" w:rsidR="00E17DD1" w:rsidRPr="006760B4" w:rsidRDefault="00000000">
            <w:pPr>
              <w:spacing w:after="200"/>
              <w:rPr>
                <w:lang w:val="en-US"/>
              </w:rPr>
            </w:pPr>
            <w:r w:rsidRPr="006760B4">
              <w:rPr>
                <w:b/>
                <w:bCs/>
                <w:color w:val="0B2545"/>
                <w:sz w:val="24"/>
                <w:szCs w:val="24"/>
                <w:lang w:val="en-US"/>
              </w:rPr>
              <w:t>Our CMX methodology is strong. The eight-step delivery model works. The issue is not what we deliver — it is how much consultant time gets spent producing the documents that surround it.</w:t>
            </w:r>
          </w:p>
          <w:p w14:paraId="1B8A685E" w14:textId="77777777" w:rsidR="00E17DD1" w:rsidRPr="006760B4" w:rsidRDefault="00000000">
            <w:pPr>
              <w:spacing w:after="180"/>
              <w:rPr>
                <w:lang w:val="en-US"/>
              </w:rPr>
            </w:pPr>
            <w:r w:rsidRPr="006760B4">
              <w:rPr>
                <w:lang w:val="en-US"/>
              </w:rPr>
              <w:t>Workshop decks, scoping documents, decision frameworks, agendas — these follow predictable structures and are rebuilt from scratch on every engagement. A single workshop preparation cycle costs 4–6 hours of consultant time. A full engagement runs to 20–30 hours of document production before a single survey goes live. That time is not billable. It does not scale. And its quality depends entirely on who has the bandwidth that week.</w:t>
            </w:r>
          </w:p>
          <w:p w14:paraId="27D29FCA" w14:textId="77777777" w:rsidR="00E17DD1" w:rsidRPr="006760B4" w:rsidRDefault="00000000">
            <w:pPr>
              <w:rPr>
                <w:lang w:val="en-US"/>
              </w:rPr>
            </w:pPr>
            <w:r w:rsidRPr="006760B4">
              <w:rPr>
                <w:lang w:val="en-US"/>
              </w:rPr>
              <w:t>We are changing that. By embedding AI into the consultancy layer — the part clients see and value most — we cut structured document production from hours to minutes, raise the quality floor across the whole team, and free consultants to focus on what actually requires their expertise: relationships, interpretation, and decisions.</w:t>
            </w:r>
          </w:p>
        </w:tc>
      </w:tr>
      <w:tr w:rsidR="00E17DD1" w:rsidRPr="006760B4" w14:paraId="75ECBC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single" w:sz="2" w:space="0" w:color="CCCCC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41C16CFC" w14:textId="77777777" w:rsidR="00E17DD1" w:rsidRPr="006760B4" w:rsidRDefault="00000000">
            <w:pPr>
              <w:spacing w:after="60"/>
              <w:rPr>
                <w:lang w:val="en-US"/>
              </w:rPr>
            </w:pPr>
            <w:r w:rsidRPr="006760B4">
              <w:rPr>
                <w:b/>
                <w:bCs/>
                <w:color w:val="0B2545"/>
                <w:sz w:val="40"/>
                <w:szCs w:val="40"/>
                <w:lang w:val="en-US"/>
              </w:rPr>
              <w:t>20–30 hrs</w:t>
            </w:r>
          </w:p>
          <w:p w14:paraId="347EC84E" w14:textId="77777777" w:rsidR="00E17DD1" w:rsidRPr="006760B4" w:rsidRDefault="00000000">
            <w:pPr>
              <w:rPr>
                <w:lang w:val="en-US"/>
              </w:rPr>
            </w:pPr>
            <w:r w:rsidRPr="006760B4">
              <w:rPr>
                <w:color w:val="6B7A90"/>
                <w:sz w:val="18"/>
                <w:szCs w:val="18"/>
                <w:lang w:val="en-US"/>
              </w:rPr>
              <w:t>consultant time per engagement spent on document production today</w:t>
            </w:r>
          </w:p>
        </w:tc>
        <w:tc>
          <w:tcPr>
            <w:tcW w:w="0" w:type="auto"/>
            <w:tcBorders>
              <w:top w:val="none" w:sz="0" w:space="0" w:color="FFFFFF"/>
              <w:left w:val="single" w:sz="2" w:space="0" w:color="CCCCC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7ED71A1F" w14:textId="77777777" w:rsidR="00E17DD1" w:rsidRPr="006760B4" w:rsidRDefault="00000000">
            <w:pPr>
              <w:spacing w:after="60"/>
              <w:rPr>
                <w:lang w:val="en-US"/>
              </w:rPr>
            </w:pPr>
            <w:r w:rsidRPr="006760B4">
              <w:rPr>
                <w:b/>
                <w:bCs/>
                <w:color w:val="1C7293"/>
                <w:sz w:val="40"/>
                <w:szCs w:val="40"/>
                <w:lang w:val="en-US"/>
              </w:rPr>
              <w:t>3–4 hrs</w:t>
            </w:r>
          </w:p>
          <w:p w14:paraId="1D120389" w14:textId="77777777" w:rsidR="00E17DD1" w:rsidRPr="006760B4" w:rsidRDefault="00000000">
            <w:pPr>
              <w:rPr>
                <w:lang w:val="en-US"/>
              </w:rPr>
            </w:pPr>
            <w:r w:rsidRPr="006760B4">
              <w:rPr>
                <w:color w:val="6B7A90"/>
                <w:sz w:val="18"/>
                <w:szCs w:val="18"/>
                <w:lang w:val="en-US"/>
              </w:rPr>
              <w:t>with automation — the same output, to a higher standard</w:t>
            </w:r>
          </w:p>
        </w:tc>
        <w:tc>
          <w:tcPr>
            <w:tcW w:w="0" w:type="auto"/>
            <w:tcBorders>
              <w:top w:val="none" w:sz="0" w:space="0" w:color="FFFFFF"/>
              <w:left w:val="single" w:sz="2" w:space="0" w:color="CCCCCC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200" w:type="dxa"/>
              <w:left w:w="240" w:type="dxa"/>
              <w:bottom w:w="200" w:type="dxa"/>
              <w:right w:w="240" w:type="dxa"/>
            </w:tcMar>
          </w:tcPr>
          <w:p w14:paraId="571E6460" w14:textId="77777777" w:rsidR="00E17DD1" w:rsidRPr="006760B4" w:rsidRDefault="00000000">
            <w:pPr>
              <w:spacing w:after="60"/>
              <w:rPr>
                <w:lang w:val="en-US"/>
              </w:rPr>
            </w:pPr>
            <w:r w:rsidRPr="006760B4">
              <w:rPr>
                <w:b/>
                <w:bCs/>
                <w:color w:val="1A5C3A"/>
                <w:sz w:val="40"/>
                <w:szCs w:val="40"/>
                <w:lang w:val="en-US"/>
              </w:rPr>
              <w:t>Every client</w:t>
            </w:r>
          </w:p>
          <w:p w14:paraId="43FDAD43" w14:textId="77777777" w:rsidR="00E17DD1" w:rsidRPr="006760B4" w:rsidRDefault="00000000">
            <w:pPr>
              <w:rPr>
                <w:lang w:val="en-US"/>
              </w:rPr>
            </w:pPr>
            <w:r w:rsidRPr="006760B4">
              <w:rPr>
                <w:color w:val="6B7A90"/>
                <w:sz w:val="18"/>
                <w:szCs w:val="18"/>
                <w:lang w:val="en-US"/>
              </w:rPr>
              <w:t>benefits from the best version of AKT's methodology — not just those with the right consultant free</w:t>
            </w:r>
          </w:p>
        </w:tc>
      </w:tr>
      <w:tr w:rsidR="00E17DD1" w:rsidRPr="006760B4" w14:paraId="069864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623"/>
            <w:tcMar>
              <w:top w:w="260" w:type="dxa"/>
              <w:left w:w="400" w:type="dxa"/>
              <w:bottom w:w="260" w:type="dxa"/>
              <w:right w:w="400" w:type="dxa"/>
            </w:tcMar>
          </w:tcPr>
          <w:p w14:paraId="1616DFE7" w14:textId="77777777" w:rsidR="00E17DD1" w:rsidRPr="006760B4" w:rsidRDefault="00000000">
            <w:pPr>
              <w:rPr>
                <w:lang w:val="en-US"/>
              </w:rPr>
            </w:pPr>
            <w:r w:rsidRPr="006760B4">
              <w:rPr>
                <w:b/>
                <w:bCs/>
                <w:color w:val="0B2545"/>
                <w:lang w:val="en-US"/>
              </w:rPr>
              <w:t>We are not adding a tool. We are turning the best version of how AKT delivers into a standard that every engagement runs on.</w:t>
            </w:r>
          </w:p>
        </w:tc>
      </w:tr>
    </w:tbl>
    <w:p w14:paraId="1F519CB1" w14:textId="77777777" w:rsidR="006F187F" w:rsidRPr="006760B4" w:rsidRDefault="006F187F">
      <w:pPr>
        <w:rPr>
          <w:lang w:val="en-US"/>
        </w:rPr>
      </w:pPr>
    </w:p>
    <w:sectPr w:rsidR="006F187F" w:rsidRPr="006760B4">
      <w:footerReference w:type="default" r:id="rId7"/>
      <w:pgSz w:w="12240" w:h="15840"/>
      <w:pgMar w:top="1080" w:right="1260" w:bottom="108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5BC3E8" w14:textId="77777777" w:rsidR="006F187F" w:rsidRDefault="006F187F">
      <w:r>
        <w:separator/>
      </w:r>
    </w:p>
  </w:endnote>
  <w:endnote w:type="continuationSeparator" w:id="0">
    <w:p w14:paraId="525D6DF0" w14:textId="77777777" w:rsidR="006F187F" w:rsidRDefault="006F18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EDAED8" w14:textId="77777777" w:rsidR="00E17DD1" w:rsidRDefault="00000000">
    <w:pPr>
      <w:jc w:val="center"/>
    </w:pPr>
    <w:r>
      <w:rPr>
        <w:color w:val="6B7A90"/>
        <w:sz w:val="14"/>
        <w:szCs w:val="14"/>
      </w:rPr>
      <w:t>AKT Global — Internal — 2025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52717" w14:textId="77777777" w:rsidR="006F187F" w:rsidRDefault="006F187F">
      <w:r>
        <w:separator/>
      </w:r>
    </w:p>
  </w:footnote>
  <w:footnote w:type="continuationSeparator" w:id="0">
    <w:p w14:paraId="7220913B" w14:textId="77777777" w:rsidR="006F187F" w:rsidRDefault="006F187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DC53377"/>
    <w:multiLevelType w:val="hybridMultilevel"/>
    <w:tmpl w:val="3E8E1E94"/>
    <w:lvl w:ilvl="0" w:tplc="869CA452">
      <w:start w:val="1"/>
      <w:numFmt w:val="bullet"/>
      <w:lvlText w:val="●"/>
      <w:lvlJc w:val="left"/>
      <w:pPr>
        <w:ind w:left="720" w:hanging="360"/>
      </w:pPr>
    </w:lvl>
    <w:lvl w:ilvl="1" w:tplc="5516A42E">
      <w:start w:val="1"/>
      <w:numFmt w:val="bullet"/>
      <w:lvlText w:val="○"/>
      <w:lvlJc w:val="left"/>
      <w:pPr>
        <w:ind w:left="1440" w:hanging="360"/>
      </w:pPr>
    </w:lvl>
    <w:lvl w:ilvl="2" w:tplc="1F6A6A04">
      <w:start w:val="1"/>
      <w:numFmt w:val="bullet"/>
      <w:lvlText w:val="■"/>
      <w:lvlJc w:val="left"/>
      <w:pPr>
        <w:ind w:left="2160" w:hanging="360"/>
      </w:pPr>
    </w:lvl>
    <w:lvl w:ilvl="3" w:tplc="9FAAD264">
      <w:start w:val="1"/>
      <w:numFmt w:val="bullet"/>
      <w:lvlText w:val="●"/>
      <w:lvlJc w:val="left"/>
      <w:pPr>
        <w:ind w:left="2880" w:hanging="360"/>
      </w:pPr>
    </w:lvl>
    <w:lvl w:ilvl="4" w:tplc="D974B428">
      <w:start w:val="1"/>
      <w:numFmt w:val="bullet"/>
      <w:lvlText w:val="○"/>
      <w:lvlJc w:val="left"/>
      <w:pPr>
        <w:ind w:left="3600" w:hanging="360"/>
      </w:pPr>
    </w:lvl>
    <w:lvl w:ilvl="5" w:tplc="12B636B6">
      <w:start w:val="1"/>
      <w:numFmt w:val="bullet"/>
      <w:lvlText w:val="■"/>
      <w:lvlJc w:val="left"/>
      <w:pPr>
        <w:ind w:left="4320" w:hanging="360"/>
      </w:pPr>
    </w:lvl>
    <w:lvl w:ilvl="6" w:tplc="5CE42BAE">
      <w:start w:val="1"/>
      <w:numFmt w:val="bullet"/>
      <w:lvlText w:val="●"/>
      <w:lvlJc w:val="left"/>
      <w:pPr>
        <w:ind w:left="5040" w:hanging="360"/>
      </w:pPr>
    </w:lvl>
    <w:lvl w:ilvl="7" w:tplc="02328414">
      <w:start w:val="1"/>
      <w:numFmt w:val="bullet"/>
      <w:lvlText w:val="●"/>
      <w:lvlJc w:val="left"/>
      <w:pPr>
        <w:ind w:left="5760" w:hanging="360"/>
      </w:pPr>
    </w:lvl>
    <w:lvl w:ilvl="8" w:tplc="8190CFAE">
      <w:start w:val="1"/>
      <w:numFmt w:val="bullet"/>
      <w:lvlText w:val="●"/>
      <w:lvlJc w:val="left"/>
      <w:pPr>
        <w:ind w:left="6480" w:hanging="360"/>
      </w:pPr>
    </w:lvl>
  </w:abstractNum>
  <w:num w:numId="1" w16cid:durableId="1421289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DD1"/>
    <w:rsid w:val="00124C51"/>
    <w:rsid w:val="006760B4"/>
    <w:rsid w:val="006F187F"/>
    <w:rsid w:val="00E1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1CFBB8D"/>
  <w15:docId w15:val="{4C52A15F-B300-B74A-99B1-8D53348D6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A2332"/>
        <w:sz w:val="22"/>
        <w:szCs w:val="22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Kop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Kop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Kop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Kop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Kop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Zwaar1">
    <w:name w:val="Zwaar1"/>
    <w:qFormat/>
    <w:rPr>
      <w:b/>
      <w:bCs/>
    </w:rPr>
  </w:style>
  <w:style w:type="paragraph" w:styleId="Lijstaline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Voetnootmarkering">
    <w:name w:val="footnote reference"/>
    <w:uiPriority w:val="99"/>
    <w:semiHidden/>
    <w:unhideWhenUsed/>
    <w:rPr>
      <w:vertAlign w:val="superscript"/>
    </w:rPr>
  </w:style>
  <w:style w:type="paragraph" w:styleId="Voetnoottekst">
    <w:name w:val="footnote text"/>
    <w:link w:val="VoetnoottekstChar"/>
    <w:uiPriority w:val="99"/>
    <w:semiHidden/>
    <w:unhideWhenUsed/>
    <w:rPr>
      <w:sz w:val="20"/>
      <w:szCs w:val="20"/>
    </w:rPr>
  </w:style>
  <w:style w:type="character" w:customStyle="1" w:styleId="VoetnoottekstChar">
    <w:name w:val="Voetnoottekst Char"/>
    <w:link w:val="Voetnootteks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1189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Otto Vroegop</cp:lastModifiedBy>
  <cp:revision>2</cp:revision>
  <dcterms:created xsi:type="dcterms:W3CDTF">2026-02-22T09:20:00Z</dcterms:created>
  <dcterms:modified xsi:type="dcterms:W3CDTF">2026-02-22T09:20:00Z</dcterms:modified>
</cp:coreProperties>
</file>