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rFonts w:ascii="Calibri" w:hAnsi="Calibri"/>
          <w:b/>
          <w:i w:val="0"/>
          <w:color w:val="2E74B5"/>
          <w:sz w:val="18"/>
        </w:rPr>
        <w:t>NOTE D'ARCHITECTURE ET D'EXPLOITATION</w:t>
      </w:r>
    </w:p>
    <w:p>
      <w:pPr>
        <w:keepNext/>
        <w:spacing w:before="0" w:after="100"/>
      </w:pPr>
      <w:r>
        <w:rPr>
          <w:rFonts w:ascii="Calibri" w:hAnsi="Calibri"/>
          <w:b/>
          <w:i w:val="0"/>
          <w:color w:val="0B2545"/>
          <w:sz w:val="48"/>
        </w:rPr>
        <w:t>Flux TPE réel, modules et appels HSM</w:t>
      </w:r>
    </w:p>
    <w:p>
      <w:pPr>
        <w:spacing w:after="240"/>
      </w:pPr>
      <w:r>
        <w:rPr>
          <w:rFonts w:ascii="Calibri" w:hAnsi="Calibri"/>
          <w:b w:val="0"/>
          <w:i w:val="0"/>
          <w:color w:val="5B6573"/>
          <w:sz w:val="25"/>
        </w:rPr>
        <w:t>RKI, autorisation EMV Mastercard et retour au terminal</w:t>
      </w:r>
    </w:p>
    <w:tbl>
      <w:tblPr>
        <w:tblW w:type="dxa" w:w="9360"/>
        <w:jc w:val="left"/>
        <w:tblLayout w:type="fixed"/>
        <w:tblLook w:firstColumn="1" w:firstRow="1" w:lastColumn="0" w:lastRow="0" w:noHBand="0" w:noVBand="1" w:val="04A0"/>
        <w:tblInd w:w="120" w:type="dxa"/>
        <w:tblBorders>
          <w:top w:val="single" w:sz="4" w:color="CCD5DF"/>
          <w:left w:val="single" w:sz="4" w:color="CCD5DF"/>
          <w:bottom w:val="single" w:sz="4" w:color="CCD5DF"/>
          <w:right w:val="single" w:sz="4" w:color="CCD5DF"/>
          <w:insideH w:val="single" w:sz="4" w:color="CCD5DF"/>
          <w:insideV w:val="single" w:sz="4" w:color="CCD5DF"/>
        </w:tblBorders>
      </w:tblPr>
      <w:tblGrid>
        <w:gridCol w:w="1700"/>
        <w:gridCol w:w="7660"/>
      </w:tblGrid>
      <w:tr>
        <w:tc>
          <w:tcPr>
            <w:tcW w:type="dxa" w:w="1700"/>
            <w:tcMar>
              <w:top w:w="80" w:type="dxa"/>
              <w:start w:w="120" w:type="dxa"/>
              <w:bottom w:w="80" w:type="dxa"/>
              <w:end w:w="120" w:type="dxa"/>
            </w:tcMar>
            <w:vAlign w:val="center"/>
            <w:shd w:fill="E8EEF5"/>
          </w:tcPr>
          <w:p>
            <w:pPr>
              <w:spacing w:before="0" w:after="0" w:line="259" w:lineRule="auto"/>
              <w:jc w:val="left"/>
            </w:pPr>
            <w:r/>
            <w:r>
              <w:rPr>
                <w:rFonts w:ascii="Calibri" w:hAnsi="Calibri"/>
                <w:b/>
                <w:i w:val="0"/>
                <w:color w:val="0B2545"/>
                <w:sz w:val="19"/>
              </w:rPr>
              <w:t>Périmètre</w:t>
            </w:r>
          </w:p>
        </w:tc>
        <w:tc>
          <w:tcPr>
            <w:tcW w:type="dxa" w:w="766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9"/>
              </w:rPr>
              <w:t>TPE Feitian F20 -&gt; ServerPOS -&gt; DMAS Member -&gt; DMAS Mastercard</w:t>
            </w:r>
          </w:p>
        </w:tc>
      </w:tr>
      <w:tr>
        <w:tc>
          <w:tcPr>
            <w:tcW w:type="dxa" w:w="1700"/>
            <w:tcMar>
              <w:top w:w="80" w:type="dxa"/>
              <w:start w:w="120" w:type="dxa"/>
              <w:bottom w:w="80" w:type="dxa"/>
              <w:end w:w="120" w:type="dxa"/>
            </w:tcMar>
            <w:vAlign w:val="center"/>
            <w:shd w:fill="E8EEF5"/>
          </w:tcPr>
          <w:p>
            <w:pPr>
              <w:spacing w:before="0" w:after="0" w:line="259" w:lineRule="auto"/>
              <w:jc w:val="left"/>
            </w:pPr>
            <w:r/>
            <w:r>
              <w:rPr>
                <w:rFonts w:ascii="Calibri" w:hAnsi="Calibri"/>
                <w:b/>
                <w:i w:val="0"/>
                <w:color w:val="0B2545"/>
                <w:sz w:val="19"/>
              </w:rPr>
              <w:t>Environnement</w:t>
            </w:r>
          </w:p>
        </w:tc>
        <w:tc>
          <w:tcPr>
            <w:tcW w:type="dxa" w:w="766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9"/>
              </w:rPr>
              <w:t>LAB / certification MTIP - clés de test uniquement</w:t>
            </w:r>
          </w:p>
        </w:tc>
      </w:tr>
      <w:tr>
        <w:tc>
          <w:tcPr>
            <w:tcW w:type="dxa" w:w="1700"/>
            <w:tcMar>
              <w:top w:w="80" w:type="dxa"/>
              <w:start w:w="120" w:type="dxa"/>
              <w:bottom w:w="80" w:type="dxa"/>
              <w:end w:w="120" w:type="dxa"/>
            </w:tcMar>
            <w:vAlign w:val="center"/>
            <w:shd w:fill="E8EEF5"/>
          </w:tcPr>
          <w:p>
            <w:pPr>
              <w:spacing w:before="0" w:after="0" w:line="259" w:lineRule="auto"/>
              <w:jc w:val="left"/>
            </w:pPr>
            <w:r/>
            <w:r>
              <w:rPr>
                <w:rFonts w:ascii="Calibri" w:hAnsi="Calibri"/>
                <w:b/>
                <w:i w:val="0"/>
                <w:color w:val="0B2545"/>
                <w:sz w:val="19"/>
              </w:rPr>
              <w:t>État validé</w:t>
            </w:r>
          </w:p>
        </w:tc>
        <w:tc>
          <w:tcPr>
            <w:tcW w:type="dxa" w:w="766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9"/>
              </w:rPr>
              <w:t>Test sentinelle MCD01.Test.01.Scenario.01 : PASS le 04/08/2026</w:t>
            </w:r>
          </w:p>
        </w:tc>
      </w:tr>
    </w:tbl>
    <w:p>
      <w:pPr>
        <w:pStyle w:val="Heading1"/>
      </w:pPr>
      <w:r>
        <w:t>1. Vue d'ensemble</w:t>
      </w:r>
    </w:p>
    <w:p>
      <w:r>
        <w:rPr>
          <w:rFonts w:ascii="Calibri" w:hAnsi="Calibri"/>
          <w:b w:val="0"/>
          <w:i w:val="0"/>
          <w:color w:val="111827"/>
          <w:sz w:val="22"/>
        </w:rPr>
        <w:t>Le TPE communique uniquement avec ServerPOS en ISO 8583. ServerPOS sécurise le canal terminal, traduit le PIN vers la clé réseau et route les cartes MTIP vers DMAS Member. DMAS Member joue le rôle acquéreur et transmet le message DMAS à DMAS Mastercard, qui simule la décision réseau/émetteur et contrôle le PIN et le cryptogramme EMV.</w:t>
      </w:r>
    </w:p>
    <w:p>
      <w:pPr>
        <w:spacing w:before="80" w:after="80"/>
        <w:jc w:val="center"/>
      </w:pPr>
      <w:r>
        <w:drawing>
          <wp:inline xmlns:a="http://schemas.openxmlformats.org/drawingml/2006/main" xmlns:pic="http://schemas.openxmlformats.org/drawingml/2006/picture">
            <wp:extent cx="5870448" cy="4011473"/>
            <wp:docPr id="1" name="Picture 1" descr="Schéma du flux TPE réel vers ServerPOS, DMAS Member, DMAS Mastercard et leurs appels HSM"/>
            <wp:cNvGraphicFramePr>
              <a:graphicFrameLocks noChangeAspect="1"/>
            </wp:cNvGraphicFramePr>
            <a:graphic>
              <a:graphicData uri="http://schemas.openxmlformats.org/drawingml/2006/picture">
                <pic:pic>
                  <pic:nvPicPr>
                    <pic:cNvPr id="0" name="architecture-tpe-hsm.png"/>
                    <pic:cNvPicPr/>
                  </pic:nvPicPr>
                  <pic:blipFill>
                    <a:blip r:embed="rId11"/>
                    <a:stretch>
                      <a:fillRect/>
                    </a:stretch>
                  </pic:blipFill>
                  <pic:spPr>
                    <a:xfrm>
                      <a:off x="0" y="0"/>
                      <a:ext cx="5870448" cy="4011473"/>
                    </a:xfrm>
                    <a:prstGeom prst="rect"/>
                  </pic:spPr>
                </pic:pic>
              </a:graphicData>
            </a:graphic>
          </wp:inline>
        </w:drawing>
      </w:r>
    </w:p>
    <w:p>
      <w:pPr>
        <w:spacing w:before="80" w:after="80"/>
        <w:jc w:val="center"/>
      </w:pPr>
      <w:r>
        <w:rPr>
          <w:rFonts w:ascii="Calibri" w:hAnsi="Calibri"/>
          <w:b w:val="0"/>
          <w:i/>
          <w:color w:val="5B6573"/>
          <w:sz w:val="17"/>
        </w:rPr>
        <w:t>Figure 1 - Chaîne d'autorisation et frontières cryptographiques</w:t>
      </w:r>
    </w:p>
    <w:tbl>
      <w:tblPr>
        <w:tblW w:type="dxa" w:w="9360"/>
        <w:jc w:val="left"/>
        <w:tblLayout w:type="fixed"/>
        <w:tblLook w:firstColumn="1" w:firstRow="1" w:lastColumn="0" w:lastRow="0" w:noHBand="0" w:noVBand="1" w:val="04A0"/>
        <w:tblInd w:w="120" w:type="dxa"/>
        <w:tblBorders>
          <w:top w:val="single" w:sz="4" w:color="CCD5DF"/>
          <w:left w:val="single" w:sz="4" w:color="CCD5DF"/>
          <w:bottom w:val="single" w:sz="4" w:color="CCD5DF"/>
          <w:right w:val="single" w:sz="4" w:color="CCD5DF"/>
          <w:insideH w:val="single" w:sz="4" w:color="CCD5DF"/>
          <w:insideV w:val="single" w:sz="4" w:color="CCD5DF"/>
        </w:tblBorders>
      </w:tblPr>
      <w:tblGrid>
        <w:gridCol w:w="9360"/>
      </w:tblGrid>
      <w:tr>
        <w:tc>
          <w:tcPr>
            <w:tcW w:type="dxa" w:w="9360"/>
            <w:tcMar>
              <w:top w:w="80" w:type="dxa"/>
              <w:start w:w="120" w:type="dxa"/>
              <w:bottom w:w="80" w:type="dxa"/>
              <w:end w:w="120" w:type="dxa"/>
            </w:tcMar>
            <w:vAlign w:val="center"/>
            <w:shd w:fill="DDEFE2"/>
          </w:tcPr>
          <w:p>
            <w:pPr>
              <w:spacing w:before="40" w:after="40"/>
            </w:pPr>
            <w:r/>
            <w:r>
              <w:rPr>
                <w:rFonts w:ascii="Calibri" w:hAnsi="Calibri"/>
                <w:b/>
                <w:i w:val="0"/>
                <w:color w:val="0B2545"/>
                <w:sz w:val="20"/>
              </w:rPr>
              <w:t xml:space="preserve">Principe de sécurité  </w:t>
            </w:r>
            <w:r>
              <w:rPr>
                <w:rFonts w:ascii="Calibri" w:hAnsi="Calibri"/>
                <w:b w:val="0"/>
                <w:i w:val="0"/>
                <w:color w:val="111827"/>
                <w:sz w:val="20"/>
              </w:rPr>
              <w:t>TAK et TPK sont protégées sous LMK côté serveur. Le PIN est traduit de TPK vers PEK dans la frontière HSM de ServerPOS ; l'application ServerPOS ne reçoit pas le PIN en clair.</w:t>
            </w:r>
          </w:p>
        </w:tc>
      </w:tr>
    </w:tbl>
    <w:p>
      <w:pPr>
        <w:spacing w:after="0"/>
      </w:pPr>
    </w:p>
    <w:p>
      <w:r>
        <w:br w:type="page"/>
      </w:r>
    </w:p>
    <w:p>
      <w:pPr>
        <w:pStyle w:val="Heading1"/>
      </w:pPr>
      <w:r>
        <w:t>2. Séquence RKI avec le TPE réel</w:t>
      </w:r>
    </w:p>
    <w:p>
      <w:r>
        <w:rPr>
          <w:rFonts w:ascii="Calibri" w:hAnsi="Calibri"/>
          <w:b w:val="0"/>
          <w:i w:val="0"/>
          <w:color w:val="111827"/>
          <w:sz w:val="22"/>
        </w:rPr>
        <w:t>Le RKI établit les clés de travail du terminal avant toute transaction protégée. La tolérance KCV est strictement réservée au LAB lorsque le premier message contient des valeurs factices ; la preuve finale reste le MAC du message 930000 calculé avec la nouvelle TAK.</w:t>
      </w:r>
    </w:p>
    <w:tbl>
      <w:tblPr>
        <w:tblW w:type="dxa" w:w="9360"/>
        <w:tblLayout w:type="fixed"/>
        <w:tblLook w:firstColumn="1" w:firstRow="1" w:lastColumn="0" w:lastRow="0" w:noHBand="0" w:noVBand="1" w:val="04A0"/>
        <w:jc w:val="left"/>
        <w:tblInd w:w="120" w:type="dxa"/>
        <w:tblBorders>
          <w:top w:val="single" w:sz="4" w:color="CCD5DF"/>
          <w:left w:val="single" w:sz="4" w:color="CCD5DF"/>
          <w:bottom w:val="single" w:sz="4" w:color="CCD5DF"/>
          <w:right w:val="single" w:sz="4" w:color="CCD5DF"/>
          <w:insideH w:val="single" w:sz="4" w:color="CCD5DF"/>
          <w:insideV w:val="single" w:sz="4" w:color="CCD5DF"/>
        </w:tblBorders>
      </w:tblPr>
      <w:tblGrid>
        <w:gridCol w:w="600"/>
        <w:gridCol w:w="1900"/>
        <w:gridCol w:w="2200"/>
        <w:gridCol w:w="4660"/>
      </w:tblGrid>
      <w:tr>
        <w:trPr>
          <w:tblHeader w:val="true"/>
        </w:trPr>
        <w:tc>
          <w:tcPr>
            <w:tcW w:type="dxa" w:w="600"/>
            <w:tcMar>
              <w:top w:w="80" w:type="dxa"/>
              <w:start w:w="120" w:type="dxa"/>
              <w:bottom w:w="80" w:type="dxa"/>
              <w:end w:w="120" w:type="dxa"/>
            </w:tcMar>
            <w:vAlign w:val="center"/>
            <w:shd w:fill="E8EEF5"/>
          </w:tcPr>
          <w:p>
            <w:pPr>
              <w:spacing w:before="0" w:after="0" w:line="259" w:lineRule="auto"/>
              <w:jc w:val="left"/>
            </w:pPr>
            <w:r/>
            <w:r>
              <w:rPr>
                <w:rFonts w:ascii="Calibri" w:hAnsi="Calibri"/>
                <w:b/>
                <w:i w:val="0"/>
                <w:color w:val="0B2545"/>
                <w:sz w:val="18"/>
              </w:rPr>
              <w:t>Étape</w:t>
            </w:r>
          </w:p>
        </w:tc>
        <w:tc>
          <w:tcPr>
            <w:tcW w:type="dxa" w:w="1900"/>
            <w:tcMar>
              <w:top w:w="80" w:type="dxa"/>
              <w:start w:w="120" w:type="dxa"/>
              <w:bottom w:w="80" w:type="dxa"/>
              <w:end w:w="120" w:type="dxa"/>
            </w:tcMar>
            <w:vAlign w:val="center"/>
            <w:shd w:fill="E8EEF5"/>
          </w:tcPr>
          <w:p>
            <w:pPr>
              <w:spacing w:before="0" w:after="0" w:line="259" w:lineRule="auto"/>
              <w:jc w:val="left"/>
            </w:pPr>
            <w:r/>
            <w:r>
              <w:rPr>
                <w:rFonts w:ascii="Calibri" w:hAnsi="Calibri"/>
                <w:b/>
                <w:i w:val="0"/>
                <w:color w:val="0B2545"/>
                <w:sz w:val="18"/>
              </w:rPr>
              <w:t>Acteur</w:t>
            </w:r>
          </w:p>
        </w:tc>
        <w:tc>
          <w:tcPr>
            <w:tcW w:type="dxa" w:w="2200"/>
            <w:tcMar>
              <w:top w:w="80" w:type="dxa"/>
              <w:start w:w="120" w:type="dxa"/>
              <w:bottom w:w="80" w:type="dxa"/>
              <w:end w:w="120" w:type="dxa"/>
            </w:tcMar>
            <w:vAlign w:val="center"/>
            <w:shd w:fill="E8EEF5"/>
          </w:tcPr>
          <w:p>
            <w:pPr>
              <w:spacing w:before="0" w:after="0" w:line="259" w:lineRule="auto"/>
              <w:jc w:val="left"/>
            </w:pPr>
            <w:r/>
            <w:r>
              <w:rPr>
                <w:rFonts w:ascii="Calibri" w:hAnsi="Calibri"/>
                <w:b/>
                <w:i w:val="0"/>
                <w:color w:val="0B2545"/>
                <w:sz w:val="18"/>
              </w:rPr>
              <w:t>Message / appel</w:t>
            </w:r>
          </w:p>
        </w:tc>
        <w:tc>
          <w:tcPr>
            <w:tcW w:type="dxa" w:w="4660"/>
            <w:tcMar>
              <w:top w:w="80" w:type="dxa"/>
              <w:start w:w="120" w:type="dxa"/>
              <w:bottom w:w="80" w:type="dxa"/>
              <w:end w:w="120" w:type="dxa"/>
            </w:tcMar>
            <w:vAlign w:val="center"/>
            <w:shd w:fill="E8EEF5"/>
          </w:tcPr>
          <w:p>
            <w:pPr>
              <w:spacing w:before="0" w:after="0" w:line="259" w:lineRule="auto"/>
              <w:jc w:val="left"/>
            </w:pPr>
            <w:r/>
            <w:r>
              <w:rPr>
                <w:rFonts w:ascii="Calibri" w:hAnsi="Calibri"/>
                <w:b/>
                <w:i w:val="0"/>
                <w:color w:val="0B2545"/>
                <w:sz w:val="18"/>
              </w:rPr>
              <w:t>Traitement</w:t>
            </w:r>
          </w:p>
        </w:tc>
      </w:tr>
      <w:tr>
        <w:tc>
          <w:tcPr>
            <w:tcW w:type="dxa" w:w="600"/>
            <w:tcMar>
              <w:top w:w="80" w:type="dxa"/>
              <w:start w:w="120" w:type="dxa"/>
              <w:bottom w:w="80" w:type="dxa"/>
              <w:end w:w="120" w:type="dxa"/>
            </w:tcMar>
            <w:vAlign w:val="center"/>
          </w:tcPr>
          <w:p>
            <w:pPr>
              <w:spacing w:before="0" w:after="0" w:line="259" w:lineRule="auto"/>
              <w:jc w:val="center"/>
            </w:pPr>
            <w:r/>
            <w:r>
              <w:rPr>
                <w:rFonts w:ascii="Calibri" w:hAnsi="Calibri"/>
                <w:b w:val="0"/>
                <w:i w:val="0"/>
                <w:color w:val="111827"/>
                <w:sz w:val="17"/>
              </w:rPr>
              <w:t>1</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7"/>
              </w:rPr>
              <w:t>TPE -&gt; ServerPOS</w:t>
            </w:r>
          </w:p>
        </w:tc>
        <w:tc>
          <w:tcPr>
            <w:tcW w:type="dxa" w:w="220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7"/>
              </w:rPr>
              <w:t>0800 / DE3=960000</w:t>
            </w:r>
          </w:p>
        </w:tc>
        <w:tc>
          <w:tcPr>
            <w:tcW w:type="dxa" w:w="466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7"/>
              </w:rPr>
              <w:t>DE48 contient les statuts TAMK/TPMK. Aucun MAC sur le premier échange.</w:t>
            </w:r>
          </w:p>
        </w:tc>
      </w:tr>
      <w:tr>
        <w:tc>
          <w:tcPr>
            <w:tcW w:type="dxa" w:w="600"/>
            <w:tcMar>
              <w:top w:w="80" w:type="dxa"/>
              <w:start w:w="120" w:type="dxa"/>
              <w:bottom w:w="80" w:type="dxa"/>
              <w:end w:w="120" w:type="dxa"/>
            </w:tcMar>
            <w:vAlign w:val="center"/>
          </w:tcPr>
          <w:p>
            <w:pPr>
              <w:spacing w:before="0" w:after="0" w:line="259" w:lineRule="auto"/>
              <w:jc w:val="center"/>
            </w:pPr>
            <w:r/>
            <w:r>
              <w:rPr>
                <w:rFonts w:ascii="Calibri" w:hAnsi="Calibri"/>
                <w:b w:val="0"/>
                <w:i w:val="0"/>
                <w:color w:val="111827"/>
                <w:sz w:val="17"/>
              </w:rPr>
              <w:t>2</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7"/>
              </w:rPr>
              <w:t>ServerPOS</w:t>
            </w:r>
          </w:p>
        </w:tc>
        <w:tc>
          <w:tcPr>
            <w:tcW w:type="dxa" w:w="220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7"/>
              </w:rPr>
              <w:t>Authentification initiale</w:t>
            </w:r>
          </w:p>
        </w:tc>
        <w:tc>
          <w:tcPr>
            <w:tcW w:type="dxa" w:w="466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7"/>
              </w:rPr>
              <w:t>Contrôle du terminal et des éléments TAMK/TPMK. En LAB seulement, le KCV factice peut être toléré par configuration explicite.</w:t>
            </w:r>
          </w:p>
        </w:tc>
      </w:tr>
      <w:tr>
        <w:tc>
          <w:tcPr>
            <w:tcW w:type="dxa" w:w="600"/>
            <w:tcMar>
              <w:top w:w="80" w:type="dxa"/>
              <w:start w:w="120" w:type="dxa"/>
              <w:bottom w:w="80" w:type="dxa"/>
              <w:end w:w="120" w:type="dxa"/>
            </w:tcMar>
            <w:vAlign w:val="center"/>
          </w:tcPr>
          <w:p>
            <w:pPr>
              <w:spacing w:before="0" w:after="0" w:line="259" w:lineRule="auto"/>
              <w:jc w:val="center"/>
            </w:pPr>
            <w:r/>
            <w:r>
              <w:rPr>
                <w:rFonts w:ascii="Calibri" w:hAnsi="Calibri"/>
                <w:b w:val="0"/>
                <w:i w:val="0"/>
                <w:color w:val="111827"/>
                <w:sz w:val="17"/>
              </w:rPr>
              <w:t>3</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7"/>
              </w:rPr>
              <w:t>ServerPOS -&gt; HSM</w:t>
            </w:r>
          </w:p>
        </w:tc>
        <w:tc>
          <w:tcPr>
            <w:tcW w:type="dxa" w:w="220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7"/>
              </w:rPr>
              <w:t>generateTr31WorkingKey</w:t>
            </w:r>
          </w:p>
        </w:tc>
        <w:tc>
          <w:tcPr>
            <w:tcW w:type="dxa" w:w="466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7"/>
              </w:rPr>
              <w:t>Génération TAK puis TPK ; clés conservées sous LMK et blocs TR-31 D0112 protégés respectivement sous TAMK et TPMK.</w:t>
            </w:r>
          </w:p>
        </w:tc>
      </w:tr>
      <w:tr>
        <w:tc>
          <w:tcPr>
            <w:tcW w:type="dxa" w:w="600"/>
            <w:tcMar>
              <w:top w:w="80" w:type="dxa"/>
              <w:start w:w="120" w:type="dxa"/>
              <w:bottom w:w="80" w:type="dxa"/>
              <w:end w:w="120" w:type="dxa"/>
            </w:tcMar>
            <w:vAlign w:val="center"/>
          </w:tcPr>
          <w:p>
            <w:pPr>
              <w:spacing w:before="0" w:after="0" w:line="259" w:lineRule="auto"/>
              <w:jc w:val="center"/>
            </w:pPr>
            <w:r/>
            <w:r>
              <w:rPr>
                <w:rFonts w:ascii="Calibri" w:hAnsi="Calibri"/>
                <w:b w:val="0"/>
                <w:i w:val="0"/>
                <w:color w:val="111827"/>
                <w:sz w:val="17"/>
              </w:rPr>
              <w:t>4</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7"/>
              </w:rPr>
              <w:t>ServerPOS -&gt; TPE</w:t>
            </w:r>
          </w:p>
        </w:tc>
        <w:tc>
          <w:tcPr>
            <w:tcW w:type="dxa" w:w="220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7"/>
              </w:rPr>
              <w:t>0810 / 960000 / RC=00</w:t>
            </w:r>
          </w:p>
        </w:tc>
        <w:tc>
          <w:tcPr>
            <w:tcW w:type="dxa" w:w="466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7"/>
              </w:rPr>
              <w:t>DE48 transporte les blocs TAK/TPK de longueur Way4 attendue et leurs métadonnées.</w:t>
            </w:r>
          </w:p>
        </w:tc>
      </w:tr>
      <w:tr>
        <w:tc>
          <w:tcPr>
            <w:tcW w:type="dxa" w:w="600"/>
            <w:tcMar>
              <w:top w:w="80" w:type="dxa"/>
              <w:start w:w="120" w:type="dxa"/>
              <w:bottom w:w="80" w:type="dxa"/>
              <w:end w:w="120" w:type="dxa"/>
            </w:tcMar>
            <w:vAlign w:val="center"/>
          </w:tcPr>
          <w:p>
            <w:pPr>
              <w:spacing w:before="0" w:after="0" w:line="259" w:lineRule="auto"/>
              <w:jc w:val="center"/>
            </w:pPr>
            <w:r/>
            <w:r>
              <w:rPr>
                <w:rFonts w:ascii="Calibri" w:hAnsi="Calibri"/>
                <w:b w:val="0"/>
                <w:i w:val="0"/>
                <w:color w:val="111827"/>
                <w:sz w:val="17"/>
              </w:rPr>
              <w:t>5</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7"/>
              </w:rPr>
              <w:t>TPE</w:t>
            </w:r>
          </w:p>
        </w:tc>
        <w:tc>
          <w:tcPr>
            <w:tcW w:type="dxa" w:w="220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7"/>
              </w:rPr>
              <w:t>Import des clés</w:t>
            </w:r>
          </w:p>
        </w:tc>
        <w:tc>
          <w:tcPr>
            <w:tcW w:type="dxa" w:w="466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7"/>
              </w:rPr>
              <w:t>Le terminal importe TAK/TPK et calcule leurs KCV localement.</w:t>
            </w:r>
          </w:p>
        </w:tc>
      </w:tr>
      <w:tr>
        <w:tc>
          <w:tcPr>
            <w:tcW w:type="dxa" w:w="600"/>
            <w:tcMar>
              <w:top w:w="80" w:type="dxa"/>
              <w:start w:w="120" w:type="dxa"/>
              <w:bottom w:w="80" w:type="dxa"/>
              <w:end w:w="120" w:type="dxa"/>
            </w:tcMar>
            <w:vAlign w:val="center"/>
          </w:tcPr>
          <w:p>
            <w:pPr>
              <w:spacing w:before="0" w:after="0" w:line="259" w:lineRule="auto"/>
              <w:jc w:val="center"/>
            </w:pPr>
            <w:r/>
            <w:r>
              <w:rPr>
                <w:rFonts w:ascii="Calibri" w:hAnsi="Calibri"/>
                <w:b w:val="0"/>
                <w:i w:val="0"/>
                <w:color w:val="111827"/>
                <w:sz w:val="17"/>
              </w:rPr>
              <w:t>6</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7"/>
              </w:rPr>
              <w:t>TPE -&gt; ServerPOS</w:t>
            </w:r>
          </w:p>
        </w:tc>
        <w:tc>
          <w:tcPr>
            <w:tcW w:type="dxa" w:w="220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7"/>
              </w:rPr>
              <w:t>0800 / DE3=930000</w:t>
            </w:r>
          </w:p>
        </w:tc>
        <w:tc>
          <w:tcPr>
            <w:tcW w:type="dxa" w:w="466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7"/>
              </w:rPr>
              <w:t>Confirmation signée en DE64 avec la nouvelle TAK ; statuts/KCV des clés importées dans DE48.</w:t>
            </w:r>
          </w:p>
        </w:tc>
      </w:tr>
      <w:tr>
        <w:tc>
          <w:tcPr>
            <w:tcW w:type="dxa" w:w="600"/>
            <w:tcMar>
              <w:top w:w="80" w:type="dxa"/>
              <w:start w:w="120" w:type="dxa"/>
              <w:bottom w:w="80" w:type="dxa"/>
              <w:end w:w="120" w:type="dxa"/>
            </w:tcMar>
            <w:vAlign w:val="center"/>
          </w:tcPr>
          <w:p>
            <w:pPr>
              <w:spacing w:before="0" w:after="0" w:line="259" w:lineRule="auto"/>
              <w:jc w:val="center"/>
            </w:pPr>
            <w:r/>
            <w:r>
              <w:rPr>
                <w:rFonts w:ascii="Calibri" w:hAnsi="Calibri"/>
                <w:b w:val="0"/>
                <w:i w:val="0"/>
                <w:color w:val="111827"/>
                <w:sz w:val="17"/>
              </w:rPr>
              <w:t>7</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7"/>
              </w:rPr>
              <w:t>ServerPOS -&gt; HSM</w:t>
            </w:r>
          </w:p>
        </w:tc>
        <w:tc>
          <w:tcPr>
            <w:tcW w:type="dxa" w:w="220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7"/>
              </w:rPr>
              <w:t>generateWayPosMac</w:t>
            </w:r>
          </w:p>
        </w:tc>
        <w:tc>
          <w:tcPr>
            <w:tcW w:type="dxa" w:w="466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7"/>
              </w:rPr>
              <w:t>Recalcul du MAC de la requête et comparaison constante. Échec : RC=63 ; succès : activation définitive des clés.</w:t>
            </w:r>
          </w:p>
        </w:tc>
      </w:tr>
      <w:tr>
        <w:tc>
          <w:tcPr>
            <w:tcW w:type="dxa" w:w="600"/>
            <w:tcMar>
              <w:top w:w="80" w:type="dxa"/>
              <w:start w:w="120" w:type="dxa"/>
              <w:bottom w:w="80" w:type="dxa"/>
              <w:end w:w="120" w:type="dxa"/>
            </w:tcMar>
            <w:vAlign w:val="center"/>
          </w:tcPr>
          <w:p>
            <w:pPr>
              <w:spacing w:before="0" w:after="0" w:line="259" w:lineRule="auto"/>
              <w:jc w:val="center"/>
            </w:pPr>
            <w:r/>
            <w:r>
              <w:rPr>
                <w:rFonts w:ascii="Calibri" w:hAnsi="Calibri"/>
                <w:b w:val="0"/>
                <w:i w:val="0"/>
                <w:color w:val="111827"/>
                <w:sz w:val="17"/>
              </w:rPr>
              <w:t>8</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7"/>
              </w:rPr>
              <w:t>ServerPOS -&gt; TPE</w:t>
            </w:r>
          </w:p>
        </w:tc>
        <w:tc>
          <w:tcPr>
            <w:tcW w:type="dxa" w:w="220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7"/>
              </w:rPr>
              <w:t>0810 / 930000 / RC=00</w:t>
            </w:r>
          </w:p>
        </w:tc>
        <w:tc>
          <w:tcPr>
            <w:tcW w:type="dxa" w:w="466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7"/>
              </w:rPr>
              <w:t>Réponse finale protégée par MAC avec la TAK active.</w:t>
            </w:r>
          </w:p>
        </w:tc>
      </w:tr>
    </w:tbl>
    <w:tbl>
      <w:tblPr>
        <w:tblW w:type="dxa" w:w="9360"/>
        <w:jc w:val="left"/>
        <w:tblLayout w:type="fixed"/>
        <w:tblLook w:firstColumn="1" w:firstRow="1" w:lastColumn="0" w:lastRow="0" w:noHBand="0" w:noVBand="1" w:val="04A0"/>
        <w:tblInd w:w="120" w:type="dxa"/>
        <w:tblBorders>
          <w:top w:val="single" w:sz="4" w:color="CCD5DF"/>
          <w:left w:val="single" w:sz="4" w:color="CCD5DF"/>
          <w:bottom w:val="single" w:sz="4" w:color="CCD5DF"/>
          <w:right w:val="single" w:sz="4" w:color="CCD5DF"/>
          <w:insideH w:val="single" w:sz="4" w:color="CCD5DF"/>
          <w:insideV w:val="single" w:sz="4" w:color="CCD5DF"/>
        </w:tblBorders>
      </w:tblPr>
      <w:tblGrid>
        <w:gridCol w:w="9360"/>
      </w:tblGrid>
      <w:tr>
        <w:tc>
          <w:tcPr>
            <w:tcW w:type="dxa" w:w="9360"/>
            <w:tcMar>
              <w:top w:w="80" w:type="dxa"/>
              <w:start w:w="120" w:type="dxa"/>
              <w:bottom w:w="80" w:type="dxa"/>
              <w:end w:w="120" w:type="dxa"/>
            </w:tcMar>
            <w:vAlign w:val="center"/>
            <w:shd w:fill="FCE8D5"/>
          </w:tcPr>
          <w:p>
            <w:pPr>
              <w:spacing w:before="40" w:after="40"/>
            </w:pPr>
            <w:r/>
            <w:r>
              <w:rPr>
                <w:rFonts w:ascii="Calibri" w:hAnsi="Calibri"/>
                <w:b/>
                <w:i w:val="0"/>
                <w:color w:val="0B2545"/>
                <w:sz w:val="20"/>
              </w:rPr>
              <w:t xml:space="preserve">Contrôle attendu  </w:t>
            </w:r>
            <w:r>
              <w:rPr>
                <w:rFonts w:ascii="Calibri" w:hAnsi="Calibri"/>
                <w:b w:val="0"/>
                <w:i w:val="0"/>
                <w:color w:val="111827"/>
                <w:sz w:val="20"/>
              </w:rPr>
              <w:t>Le cycle est complet seulement si les deux réponses 0810/960000 et 0810/930000 portent RC=00. Le 930000 doit toujours être vérifié par MAC.</w:t>
            </w:r>
          </w:p>
        </w:tc>
      </w:tr>
    </w:tbl>
    <w:p>
      <w:pPr>
        <w:spacing w:after="0"/>
      </w:pPr>
    </w:p>
    <w:p>
      <w:r>
        <w:br w:type="page"/>
      </w:r>
    </w:p>
    <w:p>
      <w:pPr>
        <w:pStyle w:val="Heading1"/>
      </w:pPr>
      <w:r>
        <w:t>3. Séquence d'un achat EMV</w:t>
      </w:r>
    </w:p>
    <w:p>
      <w:r>
        <w:rPr>
          <w:rFonts w:ascii="Calibri" w:hAnsi="Calibri"/>
          <w:b w:val="0"/>
          <w:i w:val="0"/>
          <w:color w:val="111827"/>
          <w:sz w:val="22"/>
        </w:rPr>
        <w:t>Après RKI, le TPE peut envoyer une demande d'autorisation 0100 ou financière 0200. Le routage des PAN MTIP doit cibler DMAS_MEMBER.</w:t>
      </w:r>
    </w:p>
    <w:tbl>
      <w:tblPr>
        <w:tblW w:type="dxa" w:w="9360"/>
        <w:tblLayout w:type="fixed"/>
        <w:tblLook w:firstColumn="1" w:firstRow="1" w:lastColumn="0" w:lastRow="0" w:noHBand="0" w:noVBand="1" w:val="04A0"/>
        <w:jc w:val="left"/>
        <w:tblInd w:w="120" w:type="dxa"/>
        <w:tblBorders>
          <w:top w:val="single" w:sz="4" w:color="CCD5DF"/>
          <w:left w:val="single" w:sz="4" w:color="CCD5DF"/>
          <w:bottom w:val="single" w:sz="4" w:color="CCD5DF"/>
          <w:right w:val="single" w:sz="4" w:color="CCD5DF"/>
          <w:insideH w:val="single" w:sz="4" w:color="CCD5DF"/>
          <w:insideV w:val="single" w:sz="4" w:color="CCD5DF"/>
        </w:tblBorders>
      </w:tblPr>
      <w:tblGrid>
        <w:gridCol w:w="650"/>
        <w:gridCol w:w="2250"/>
        <w:gridCol w:w="6460"/>
      </w:tblGrid>
      <w:tr>
        <w:trPr>
          <w:tblHeader w:val="true"/>
        </w:trPr>
        <w:tc>
          <w:tcPr>
            <w:tcW w:type="dxa" w:w="650"/>
            <w:tcMar>
              <w:top w:w="80" w:type="dxa"/>
              <w:start w:w="120" w:type="dxa"/>
              <w:bottom w:w="80" w:type="dxa"/>
              <w:end w:w="120" w:type="dxa"/>
            </w:tcMar>
            <w:vAlign w:val="center"/>
            <w:shd w:fill="E8EEF5"/>
          </w:tcPr>
          <w:p>
            <w:pPr>
              <w:spacing w:before="0" w:after="0" w:line="259" w:lineRule="auto"/>
              <w:jc w:val="left"/>
            </w:pPr>
            <w:r/>
            <w:r>
              <w:rPr>
                <w:rFonts w:ascii="Calibri" w:hAnsi="Calibri"/>
                <w:b/>
                <w:i w:val="0"/>
                <w:color w:val="0B2545"/>
                <w:sz w:val="18"/>
              </w:rPr>
              <w:t>Étape</w:t>
            </w:r>
          </w:p>
        </w:tc>
        <w:tc>
          <w:tcPr>
            <w:tcW w:type="dxa" w:w="2250"/>
            <w:tcMar>
              <w:top w:w="80" w:type="dxa"/>
              <w:start w:w="120" w:type="dxa"/>
              <w:bottom w:w="80" w:type="dxa"/>
              <w:end w:w="120" w:type="dxa"/>
            </w:tcMar>
            <w:vAlign w:val="center"/>
            <w:shd w:fill="E8EEF5"/>
          </w:tcPr>
          <w:p>
            <w:pPr>
              <w:spacing w:before="0" w:after="0" w:line="259" w:lineRule="auto"/>
              <w:jc w:val="left"/>
            </w:pPr>
            <w:r/>
            <w:r>
              <w:rPr>
                <w:rFonts w:ascii="Calibri" w:hAnsi="Calibri"/>
                <w:b/>
                <w:i w:val="0"/>
                <w:color w:val="0B2545"/>
                <w:sz w:val="18"/>
              </w:rPr>
              <w:t>Module</w:t>
            </w:r>
          </w:p>
        </w:tc>
        <w:tc>
          <w:tcPr>
            <w:tcW w:type="dxa" w:w="6460"/>
            <w:tcMar>
              <w:top w:w="80" w:type="dxa"/>
              <w:start w:w="120" w:type="dxa"/>
              <w:bottom w:w="80" w:type="dxa"/>
              <w:end w:w="120" w:type="dxa"/>
            </w:tcMar>
            <w:vAlign w:val="center"/>
            <w:shd w:fill="E8EEF5"/>
          </w:tcPr>
          <w:p>
            <w:pPr>
              <w:spacing w:before="0" w:after="0" w:line="259" w:lineRule="auto"/>
              <w:jc w:val="left"/>
            </w:pPr>
            <w:r/>
            <w:r>
              <w:rPr>
                <w:rFonts w:ascii="Calibri" w:hAnsi="Calibri"/>
                <w:b/>
                <w:i w:val="0"/>
                <w:color w:val="0B2545"/>
                <w:sz w:val="18"/>
              </w:rPr>
              <w:t>Action</w:t>
            </w:r>
          </w:p>
        </w:tc>
      </w:tr>
      <w:tr>
        <w:tc>
          <w:tcPr>
            <w:tcW w:type="dxa" w:w="650"/>
            <w:tcMar>
              <w:top w:w="80" w:type="dxa"/>
              <w:start w:w="120" w:type="dxa"/>
              <w:bottom w:w="80" w:type="dxa"/>
              <w:end w:w="120" w:type="dxa"/>
            </w:tcMar>
            <w:vAlign w:val="center"/>
          </w:tcPr>
          <w:p>
            <w:pPr>
              <w:spacing w:before="0" w:after="0" w:line="259" w:lineRule="auto"/>
              <w:jc w:val="center"/>
            </w:pPr>
            <w:r/>
            <w:r>
              <w:rPr>
                <w:rFonts w:ascii="Calibri" w:hAnsi="Calibri"/>
                <w:b w:val="0"/>
                <w:i w:val="0"/>
                <w:color w:val="111827"/>
                <w:sz w:val="17"/>
              </w:rPr>
              <w:t>1</w:t>
            </w:r>
          </w:p>
        </w:tc>
        <w:tc>
          <w:tcPr>
            <w:tcW w:type="dxa" w:w="225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7"/>
              </w:rPr>
              <w:t>TPE</w:t>
            </w:r>
          </w:p>
        </w:tc>
        <w:tc>
          <w:tcPr>
            <w:tcW w:type="dxa" w:w="646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7"/>
              </w:rPr>
              <w:t>Construit 0100/0200 avec DE55 (EMV), DE52 (PIN ISO-0 sous TPK) et DE64 (MAC sous TAK).</w:t>
            </w:r>
          </w:p>
        </w:tc>
      </w:tr>
      <w:tr>
        <w:tc>
          <w:tcPr>
            <w:tcW w:type="dxa" w:w="650"/>
            <w:tcMar>
              <w:top w:w="80" w:type="dxa"/>
              <w:start w:w="120" w:type="dxa"/>
              <w:bottom w:w="80" w:type="dxa"/>
              <w:end w:w="120" w:type="dxa"/>
            </w:tcMar>
            <w:vAlign w:val="center"/>
          </w:tcPr>
          <w:p>
            <w:pPr>
              <w:spacing w:before="0" w:after="0" w:line="259" w:lineRule="auto"/>
              <w:jc w:val="center"/>
            </w:pPr>
            <w:r/>
            <w:r>
              <w:rPr>
                <w:rFonts w:ascii="Calibri" w:hAnsi="Calibri"/>
                <w:b w:val="0"/>
                <w:i w:val="0"/>
                <w:color w:val="111827"/>
                <w:sz w:val="17"/>
              </w:rPr>
              <w:t>2</w:t>
            </w:r>
          </w:p>
        </w:tc>
        <w:tc>
          <w:tcPr>
            <w:tcW w:type="dxa" w:w="225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7"/>
              </w:rPr>
              <w:t>ServerPOS</w:t>
            </w:r>
          </w:p>
        </w:tc>
        <w:tc>
          <w:tcPr>
            <w:tcW w:type="dxa" w:w="646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7"/>
              </w:rPr>
              <w:t>Dépaquette le message, identifie le terminal, contrôle la présence des champs et sélectionne le profil de sécurité.</w:t>
            </w:r>
          </w:p>
        </w:tc>
      </w:tr>
      <w:tr>
        <w:tc>
          <w:tcPr>
            <w:tcW w:type="dxa" w:w="650"/>
            <w:tcMar>
              <w:top w:w="80" w:type="dxa"/>
              <w:start w:w="120" w:type="dxa"/>
              <w:bottom w:w="80" w:type="dxa"/>
              <w:end w:w="120" w:type="dxa"/>
            </w:tcMar>
            <w:vAlign w:val="center"/>
          </w:tcPr>
          <w:p>
            <w:pPr>
              <w:spacing w:before="0" w:after="0" w:line="259" w:lineRule="auto"/>
              <w:jc w:val="center"/>
            </w:pPr>
            <w:r/>
            <w:r>
              <w:rPr>
                <w:rFonts w:ascii="Calibri" w:hAnsi="Calibri"/>
                <w:b w:val="0"/>
                <w:i w:val="0"/>
                <w:color w:val="111827"/>
                <w:sz w:val="17"/>
              </w:rPr>
              <w:t>3</w:t>
            </w:r>
          </w:p>
        </w:tc>
        <w:tc>
          <w:tcPr>
            <w:tcW w:type="dxa" w:w="225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7"/>
              </w:rPr>
              <w:t>ServerPOS -&gt; HSM</w:t>
            </w:r>
          </w:p>
        </w:tc>
        <w:tc>
          <w:tcPr>
            <w:tcW w:type="dxa" w:w="646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7"/>
              </w:rPr>
              <w:t>generateWayPosMac : recalcule DE64 avec la TAK sous LMK. Un MAC absent/invalide provoque RC=63.</w:t>
            </w:r>
          </w:p>
        </w:tc>
      </w:tr>
      <w:tr>
        <w:tc>
          <w:tcPr>
            <w:tcW w:type="dxa" w:w="650"/>
            <w:tcMar>
              <w:top w:w="80" w:type="dxa"/>
              <w:start w:w="120" w:type="dxa"/>
              <w:bottom w:w="80" w:type="dxa"/>
              <w:end w:w="120" w:type="dxa"/>
            </w:tcMar>
            <w:vAlign w:val="center"/>
          </w:tcPr>
          <w:p>
            <w:pPr>
              <w:spacing w:before="0" w:after="0" w:line="259" w:lineRule="auto"/>
              <w:jc w:val="center"/>
            </w:pPr>
            <w:r/>
            <w:r>
              <w:rPr>
                <w:rFonts w:ascii="Calibri" w:hAnsi="Calibri"/>
                <w:b w:val="0"/>
                <w:i w:val="0"/>
                <w:color w:val="111827"/>
                <w:sz w:val="17"/>
              </w:rPr>
              <w:t>4</w:t>
            </w:r>
          </w:p>
        </w:tc>
        <w:tc>
          <w:tcPr>
            <w:tcW w:type="dxa" w:w="225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7"/>
              </w:rPr>
              <w:t>ServerPOS</w:t>
            </w:r>
          </w:p>
        </w:tc>
        <w:tc>
          <w:tcPr>
            <w:tcW w:type="dxa" w:w="646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7"/>
              </w:rPr>
              <w:t>Résout la route BIN/PAN vers DMAS_MEMBER et prépare le contrat de routage.</w:t>
            </w:r>
          </w:p>
        </w:tc>
      </w:tr>
      <w:tr>
        <w:tc>
          <w:tcPr>
            <w:tcW w:type="dxa" w:w="650"/>
            <w:tcMar>
              <w:top w:w="80" w:type="dxa"/>
              <w:start w:w="120" w:type="dxa"/>
              <w:bottom w:w="80" w:type="dxa"/>
              <w:end w:w="120" w:type="dxa"/>
            </w:tcMar>
            <w:vAlign w:val="center"/>
          </w:tcPr>
          <w:p>
            <w:pPr>
              <w:spacing w:before="0" w:after="0" w:line="259" w:lineRule="auto"/>
              <w:jc w:val="center"/>
            </w:pPr>
            <w:r/>
            <w:r>
              <w:rPr>
                <w:rFonts w:ascii="Calibri" w:hAnsi="Calibri"/>
                <w:b w:val="0"/>
                <w:i w:val="0"/>
                <w:color w:val="111827"/>
                <w:sz w:val="17"/>
              </w:rPr>
              <w:t>5</w:t>
            </w:r>
          </w:p>
        </w:tc>
        <w:tc>
          <w:tcPr>
            <w:tcW w:type="dxa" w:w="225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7"/>
              </w:rPr>
              <w:t>ServerPOS -&gt; HSM</w:t>
            </w:r>
          </w:p>
        </w:tc>
        <w:tc>
          <w:tcPr>
            <w:tcW w:type="dxa" w:w="646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7"/>
              </w:rPr>
              <w:t>translatePinBlock : importe le PIN block sous TPK et l'exporte sous la PEK d'interface, format ISO-0, sans retourner le PIN clair.</w:t>
            </w:r>
          </w:p>
        </w:tc>
      </w:tr>
      <w:tr>
        <w:tc>
          <w:tcPr>
            <w:tcW w:type="dxa" w:w="650"/>
            <w:tcMar>
              <w:top w:w="80" w:type="dxa"/>
              <w:start w:w="120" w:type="dxa"/>
              <w:bottom w:w="80" w:type="dxa"/>
              <w:end w:w="120" w:type="dxa"/>
            </w:tcMar>
            <w:vAlign w:val="center"/>
          </w:tcPr>
          <w:p>
            <w:pPr>
              <w:spacing w:before="0" w:after="0" w:line="259" w:lineRule="auto"/>
              <w:jc w:val="center"/>
            </w:pPr>
            <w:r/>
            <w:r>
              <w:rPr>
                <w:rFonts w:ascii="Calibri" w:hAnsi="Calibri"/>
                <w:b w:val="0"/>
                <w:i w:val="0"/>
                <w:color w:val="111827"/>
                <w:sz w:val="17"/>
              </w:rPr>
              <w:t>6</w:t>
            </w:r>
          </w:p>
        </w:tc>
        <w:tc>
          <w:tcPr>
            <w:tcW w:type="dxa" w:w="225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7"/>
              </w:rPr>
              <w:t>ServerPOS -&gt; DMAS Member</w:t>
            </w:r>
          </w:p>
        </w:tc>
        <w:tc>
          <w:tcPr>
            <w:tcW w:type="dxa" w:w="646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7"/>
              </w:rPr>
              <w:t>Appel HTTP/JSON sur /api/routing/v1/transactions ; DE52 est désormais protégé sous la PEK DMAS.</w:t>
            </w:r>
          </w:p>
        </w:tc>
      </w:tr>
      <w:tr>
        <w:tc>
          <w:tcPr>
            <w:tcW w:type="dxa" w:w="650"/>
            <w:tcMar>
              <w:top w:w="80" w:type="dxa"/>
              <w:start w:w="120" w:type="dxa"/>
              <w:bottom w:w="80" w:type="dxa"/>
              <w:end w:w="120" w:type="dxa"/>
            </w:tcMar>
            <w:vAlign w:val="center"/>
          </w:tcPr>
          <w:p>
            <w:pPr>
              <w:spacing w:before="0" w:after="0" w:line="259" w:lineRule="auto"/>
              <w:jc w:val="center"/>
            </w:pPr>
            <w:r/>
            <w:r>
              <w:rPr>
                <w:rFonts w:ascii="Calibri" w:hAnsi="Calibri"/>
                <w:b w:val="0"/>
                <w:i w:val="0"/>
                <w:color w:val="111827"/>
                <w:sz w:val="17"/>
              </w:rPr>
              <w:t>7</w:t>
            </w:r>
          </w:p>
        </w:tc>
        <w:tc>
          <w:tcPr>
            <w:tcW w:type="dxa" w:w="225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7"/>
              </w:rPr>
              <w:t>DMAS Member -&gt; DMAS Mastercard</w:t>
            </w:r>
          </w:p>
        </w:tc>
        <w:tc>
          <w:tcPr>
            <w:tcW w:type="dxa" w:w="646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7"/>
              </w:rPr>
              <w:t>Transformation en message DMAS ISO puis envoi jPOS TCP vers localhost:8500. La session doit être SIGNON.</w:t>
            </w:r>
          </w:p>
        </w:tc>
      </w:tr>
      <w:tr>
        <w:tc>
          <w:tcPr>
            <w:tcW w:type="dxa" w:w="650"/>
            <w:tcMar>
              <w:top w:w="80" w:type="dxa"/>
              <w:start w:w="120" w:type="dxa"/>
              <w:bottom w:w="80" w:type="dxa"/>
              <w:end w:w="120" w:type="dxa"/>
            </w:tcMar>
            <w:vAlign w:val="center"/>
          </w:tcPr>
          <w:p>
            <w:pPr>
              <w:spacing w:before="0" w:after="0" w:line="259" w:lineRule="auto"/>
              <w:jc w:val="center"/>
            </w:pPr>
            <w:r/>
            <w:r>
              <w:rPr>
                <w:rFonts w:ascii="Calibri" w:hAnsi="Calibri"/>
                <w:b w:val="0"/>
                <w:i w:val="0"/>
                <w:color w:val="111827"/>
                <w:sz w:val="17"/>
              </w:rPr>
              <w:t>8</w:t>
            </w:r>
          </w:p>
        </w:tc>
        <w:tc>
          <w:tcPr>
            <w:tcW w:type="dxa" w:w="225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7"/>
              </w:rPr>
              <w:t>DMAS Mastercard -&gt; HSM</w:t>
            </w:r>
          </w:p>
        </w:tc>
        <w:tc>
          <w:tcPr>
            <w:tcW w:type="dxa" w:w="646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7"/>
              </w:rPr>
              <w:t>decryptPinBlock sous PEK dans le simulateur LAB, puis comparaison avec le PIN de la carte de certification.</w:t>
            </w:r>
          </w:p>
        </w:tc>
      </w:tr>
      <w:tr>
        <w:tc>
          <w:tcPr>
            <w:tcW w:type="dxa" w:w="650"/>
            <w:tcMar>
              <w:top w:w="80" w:type="dxa"/>
              <w:start w:w="120" w:type="dxa"/>
              <w:bottom w:w="80" w:type="dxa"/>
              <w:end w:w="120" w:type="dxa"/>
            </w:tcMar>
            <w:vAlign w:val="center"/>
          </w:tcPr>
          <w:p>
            <w:pPr>
              <w:spacing w:before="0" w:after="0" w:line="259" w:lineRule="auto"/>
              <w:jc w:val="center"/>
            </w:pPr>
            <w:r/>
            <w:r>
              <w:rPr>
                <w:rFonts w:ascii="Calibri" w:hAnsi="Calibri"/>
                <w:b w:val="0"/>
                <w:i w:val="0"/>
                <w:color w:val="111827"/>
                <w:sz w:val="17"/>
              </w:rPr>
              <w:t>9</w:t>
            </w:r>
          </w:p>
        </w:tc>
        <w:tc>
          <w:tcPr>
            <w:tcW w:type="dxa" w:w="225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7"/>
              </w:rPr>
              <w:t>DMAS Mastercard / crypto EMV</w:t>
            </w:r>
          </w:p>
        </w:tc>
        <w:tc>
          <w:tcPr>
            <w:tcW w:type="dxa" w:w="646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7"/>
              </w:rPr>
              <w:t>Charge la MDK sous LMK, dérive la clé ICC puis la clé de session, recalcule l'ARQC et, si valide, calcule l'ARPC.</w:t>
            </w:r>
          </w:p>
        </w:tc>
      </w:tr>
      <w:tr>
        <w:tc>
          <w:tcPr>
            <w:tcW w:type="dxa" w:w="650"/>
            <w:tcMar>
              <w:top w:w="80" w:type="dxa"/>
              <w:start w:w="120" w:type="dxa"/>
              <w:bottom w:w="80" w:type="dxa"/>
              <w:end w:w="120" w:type="dxa"/>
            </w:tcMar>
            <w:vAlign w:val="center"/>
          </w:tcPr>
          <w:p>
            <w:pPr>
              <w:spacing w:before="0" w:after="0" w:line="259" w:lineRule="auto"/>
              <w:jc w:val="center"/>
            </w:pPr>
            <w:r/>
            <w:r>
              <w:rPr>
                <w:rFonts w:ascii="Calibri" w:hAnsi="Calibri"/>
                <w:b w:val="0"/>
                <w:i w:val="0"/>
                <w:color w:val="111827"/>
                <w:sz w:val="17"/>
              </w:rPr>
              <w:t>10</w:t>
            </w:r>
          </w:p>
        </w:tc>
        <w:tc>
          <w:tcPr>
            <w:tcW w:type="dxa" w:w="225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7"/>
              </w:rPr>
              <w:t>DMAS Mastercard -&gt; TPE</w:t>
            </w:r>
          </w:p>
        </w:tc>
        <w:tc>
          <w:tcPr>
            <w:tcW w:type="dxa" w:w="646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7"/>
              </w:rPr>
              <w:t>Retour 0110/0210 via DMAS Member puis ServerPOS. RC=00 et tag 91 = ARPC || ARC lorsque l'EMV est approuvé ; ServerPOS pose le MAC terminal.</w:t>
            </w:r>
          </w:p>
        </w:tc>
      </w:tr>
    </w:tbl>
    <w:p>
      <w:pPr>
        <w:pStyle w:val="Heading1"/>
      </w:pPr>
      <w:r>
        <w:t>4. Inventaire des appels HSM et cryptographiques</w:t>
      </w:r>
    </w:p>
    <w:tbl>
      <w:tblPr>
        <w:tblW w:type="dxa" w:w="9360"/>
        <w:tblLayout w:type="fixed"/>
        <w:tblLook w:firstColumn="1" w:firstRow="1" w:lastColumn="0" w:lastRow="0" w:noHBand="0" w:noVBand="1" w:val="04A0"/>
        <w:jc w:val="left"/>
        <w:tblInd w:w="120" w:type="dxa"/>
        <w:tblBorders>
          <w:top w:val="single" w:sz="4" w:color="CCD5DF"/>
          <w:left w:val="single" w:sz="4" w:color="CCD5DF"/>
          <w:bottom w:val="single" w:sz="4" w:color="CCD5DF"/>
          <w:right w:val="single" w:sz="4" w:color="CCD5DF"/>
          <w:insideH w:val="single" w:sz="4" w:color="CCD5DF"/>
          <w:insideV w:val="single" w:sz="4" w:color="CCD5DF"/>
        </w:tblBorders>
      </w:tblPr>
      <w:tblGrid>
        <w:gridCol w:w="1600"/>
        <w:gridCol w:w="2200"/>
        <w:gridCol w:w="1450"/>
        <w:gridCol w:w="4110"/>
      </w:tblGrid>
      <w:tr>
        <w:trPr>
          <w:tblHeader w:val="true"/>
        </w:trPr>
        <w:tc>
          <w:tcPr>
            <w:tcW w:type="dxa" w:w="1600"/>
            <w:tcMar>
              <w:top w:w="80" w:type="dxa"/>
              <w:start w:w="120" w:type="dxa"/>
              <w:bottom w:w="80" w:type="dxa"/>
              <w:end w:w="120" w:type="dxa"/>
            </w:tcMar>
            <w:vAlign w:val="center"/>
            <w:shd w:fill="E8EEF5"/>
          </w:tcPr>
          <w:p>
            <w:pPr>
              <w:spacing w:before="0" w:after="0" w:line="259" w:lineRule="auto"/>
              <w:jc w:val="left"/>
            </w:pPr>
            <w:r/>
            <w:r>
              <w:rPr>
                <w:rFonts w:ascii="Calibri" w:hAnsi="Calibri"/>
                <w:b/>
                <w:i w:val="0"/>
                <w:color w:val="0B2545"/>
                <w:sz w:val="18"/>
              </w:rPr>
              <w:t>Module</w:t>
            </w:r>
          </w:p>
        </w:tc>
        <w:tc>
          <w:tcPr>
            <w:tcW w:type="dxa" w:w="2200"/>
            <w:tcMar>
              <w:top w:w="80" w:type="dxa"/>
              <w:start w:w="120" w:type="dxa"/>
              <w:bottom w:w="80" w:type="dxa"/>
              <w:end w:w="120" w:type="dxa"/>
            </w:tcMar>
            <w:vAlign w:val="center"/>
            <w:shd w:fill="E8EEF5"/>
          </w:tcPr>
          <w:p>
            <w:pPr>
              <w:spacing w:before="0" w:after="0" w:line="259" w:lineRule="auto"/>
              <w:jc w:val="left"/>
            </w:pPr>
            <w:r/>
            <w:r>
              <w:rPr>
                <w:rFonts w:ascii="Calibri" w:hAnsi="Calibri"/>
                <w:b/>
                <w:i w:val="0"/>
                <w:color w:val="0B2545"/>
                <w:sz w:val="18"/>
              </w:rPr>
              <w:t>Appel</w:t>
            </w:r>
          </w:p>
        </w:tc>
        <w:tc>
          <w:tcPr>
            <w:tcW w:type="dxa" w:w="1450"/>
            <w:tcMar>
              <w:top w:w="80" w:type="dxa"/>
              <w:start w:w="120" w:type="dxa"/>
              <w:bottom w:w="80" w:type="dxa"/>
              <w:end w:w="120" w:type="dxa"/>
            </w:tcMar>
            <w:vAlign w:val="center"/>
            <w:shd w:fill="E8EEF5"/>
          </w:tcPr>
          <w:p>
            <w:pPr>
              <w:spacing w:before="0" w:after="0" w:line="259" w:lineRule="auto"/>
              <w:jc w:val="left"/>
            </w:pPr>
            <w:r/>
            <w:r>
              <w:rPr>
                <w:rFonts w:ascii="Calibri" w:hAnsi="Calibri"/>
                <w:b/>
                <w:i w:val="0"/>
                <w:color w:val="0B2545"/>
                <w:sz w:val="18"/>
              </w:rPr>
              <w:t>Phase</w:t>
            </w:r>
          </w:p>
        </w:tc>
        <w:tc>
          <w:tcPr>
            <w:tcW w:type="dxa" w:w="4110"/>
            <w:tcMar>
              <w:top w:w="80" w:type="dxa"/>
              <w:start w:w="120" w:type="dxa"/>
              <w:bottom w:w="80" w:type="dxa"/>
              <w:end w:w="120" w:type="dxa"/>
            </w:tcMar>
            <w:vAlign w:val="center"/>
            <w:shd w:fill="E8EEF5"/>
          </w:tcPr>
          <w:p>
            <w:pPr>
              <w:spacing w:before="0" w:after="0" w:line="259" w:lineRule="auto"/>
              <w:jc w:val="left"/>
            </w:pPr>
            <w:r/>
            <w:r>
              <w:rPr>
                <w:rFonts w:ascii="Calibri" w:hAnsi="Calibri"/>
                <w:b/>
                <w:i w:val="0"/>
                <w:color w:val="0B2545"/>
                <w:sz w:val="18"/>
              </w:rPr>
              <w:t>Rôle</w:t>
            </w:r>
          </w:p>
        </w:tc>
      </w:tr>
      <w:tr>
        <w:tc>
          <w:tcPr>
            <w:tcW w:type="dxa" w:w="160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6"/>
              </w:rPr>
              <w:t>ServerPOS</w:t>
            </w:r>
          </w:p>
        </w:tc>
        <w:tc>
          <w:tcPr>
            <w:tcW w:type="dxa" w:w="220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6"/>
              </w:rPr>
              <w:t>generateTr31WorkingKey</w:t>
            </w:r>
          </w:p>
        </w:tc>
        <w:tc>
          <w:tcPr>
            <w:tcW w:type="dxa" w:w="145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6"/>
              </w:rPr>
              <w:t>RKI</w:t>
            </w:r>
          </w:p>
        </w:tc>
        <w:tc>
          <w:tcPr>
            <w:tcW w:type="dxa" w:w="411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6"/>
              </w:rPr>
              <w:t>Génère TAK/TPK, KCV, représentation sous LMK et bloc TR-31 D0112 sous la clé maître correspondante.</w:t>
            </w:r>
          </w:p>
        </w:tc>
      </w:tr>
      <w:tr>
        <w:tc>
          <w:tcPr>
            <w:tcW w:type="dxa" w:w="160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6"/>
              </w:rPr>
              <w:t>ServerPOS</w:t>
            </w:r>
          </w:p>
        </w:tc>
        <w:tc>
          <w:tcPr>
            <w:tcW w:type="dxa" w:w="220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6"/>
              </w:rPr>
              <w:t>generateWayPosMac</w:t>
            </w:r>
          </w:p>
        </w:tc>
        <w:tc>
          <w:tcPr>
            <w:tcW w:type="dxa" w:w="145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6"/>
              </w:rPr>
              <w:t>RKI / achat</w:t>
            </w:r>
          </w:p>
        </w:tc>
        <w:tc>
          <w:tcPr>
            <w:tcW w:type="dxa" w:w="411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6"/>
              </w:rPr>
              <w:t>Vérifie ou génère le DE64 avec la TAK active.</w:t>
            </w:r>
          </w:p>
        </w:tc>
      </w:tr>
      <w:tr>
        <w:tc>
          <w:tcPr>
            <w:tcW w:type="dxa" w:w="160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6"/>
              </w:rPr>
              <w:t>ServerPOS</w:t>
            </w:r>
          </w:p>
        </w:tc>
        <w:tc>
          <w:tcPr>
            <w:tcW w:type="dxa" w:w="220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6"/>
              </w:rPr>
              <w:t>translatePinBlock</w:t>
            </w:r>
          </w:p>
        </w:tc>
        <w:tc>
          <w:tcPr>
            <w:tcW w:type="dxa" w:w="145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6"/>
              </w:rPr>
              <w:t>Achat PIN</w:t>
            </w:r>
          </w:p>
        </w:tc>
        <w:tc>
          <w:tcPr>
            <w:tcW w:type="dxa" w:w="411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6"/>
              </w:rPr>
              <w:t>Traduit le DE52 ISO-0 de TPK vers PEK sans exposer le PIN clair à ServerPOS.</w:t>
            </w:r>
          </w:p>
        </w:tc>
      </w:tr>
      <w:tr>
        <w:tc>
          <w:tcPr>
            <w:tcW w:type="dxa" w:w="160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6"/>
              </w:rPr>
              <w:t>ServerPOS</w:t>
            </w:r>
          </w:p>
        </w:tc>
        <w:tc>
          <w:tcPr>
            <w:tcW w:type="dxa" w:w="220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6"/>
              </w:rPr>
              <w:t>formClearKey + computeKcv</w:t>
            </w:r>
          </w:p>
        </w:tc>
        <w:tc>
          <w:tcPr>
            <w:tcW w:type="dxa" w:w="145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6"/>
              </w:rPr>
              <w:t>Bootstrap LAB</w:t>
            </w:r>
          </w:p>
        </w:tc>
        <w:tc>
          <w:tcPr>
            <w:tcW w:type="dxa" w:w="411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6"/>
              </w:rPr>
              <w:t>Forme la PEK d'interface sous LMK et contrôle son KCV.</w:t>
            </w:r>
          </w:p>
        </w:tc>
      </w:tr>
      <w:tr>
        <w:tc>
          <w:tcPr>
            <w:tcW w:type="dxa" w:w="160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6"/>
              </w:rPr>
              <w:t>DMAS Member / Mastercard</w:t>
            </w:r>
          </w:p>
        </w:tc>
        <w:tc>
          <w:tcPr>
            <w:tcW w:type="dxa" w:w="220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6"/>
              </w:rPr>
              <w:t>importWorkingKey</w:t>
            </w:r>
          </w:p>
        </w:tc>
        <w:tc>
          <w:tcPr>
            <w:tcW w:type="dxa" w:w="145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6"/>
              </w:rPr>
              <w:t>Bootstrap clés</w:t>
            </w:r>
          </w:p>
        </w:tc>
        <w:tc>
          <w:tcPr>
            <w:tcW w:type="dxa" w:w="411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6"/>
              </w:rPr>
              <w:t>Importe la PEK reçue sous KEK et la conserve sous la LMK locale.</w:t>
            </w:r>
          </w:p>
        </w:tc>
      </w:tr>
      <w:tr>
        <w:tc>
          <w:tcPr>
            <w:tcW w:type="dxa" w:w="160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6"/>
              </w:rPr>
              <w:t>DMAS Mastercard</w:t>
            </w:r>
          </w:p>
        </w:tc>
        <w:tc>
          <w:tcPr>
            <w:tcW w:type="dxa" w:w="220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6"/>
              </w:rPr>
              <w:t>decryptPinBlock</w:t>
            </w:r>
          </w:p>
        </w:tc>
        <w:tc>
          <w:tcPr>
            <w:tcW w:type="dxa" w:w="145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6"/>
              </w:rPr>
              <w:t>Décision LAB</w:t>
            </w:r>
          </w:p>
        </w:tc>
        <w:tc>
          <w:tcPr>
            <w:tcW w:type="dxa" w:w="411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6"/>
              </w:rPr>
              <w:t>Déchiffre le PIN sous PEK pour comparaison avec la carte simulée. À remplacer par une vérification HSM sans PIN clair en production.</w:t>
            </w:r>
          </w:p>
        </w:tc>
      </w:tr>
      <w:tr>
        <w:tc>
          <w:tcPr>
            <w:tcW w:type="dxa" w:w="160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6"/>
              </w:rPr>
              <w:t>DMAS Mastercard</w:t>
            </w:r>
          </w:p>
        </w:tc>
        <w:tc>
          <w:tcPr>
            <w:tcW w:type="dxa" w:w="220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6"/>
              </w:rPr>
              <w:t>exposeClearKey + dérivations EMV</w:t>
            </w:r>
          </w:p>
        </w:tc>
        <w:tc>
          <w:tcPr>
            <w:tcW w:type="dxa" w:w="145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6"/>
              </w:rPr>
              <w:t>ARQC / ARPC LAB</w:t>
            </w:r>
          </w:p>
        </w:tc>
        <w:tc>
          <w:tcPr>
            <w:tcW w:type="dxa" w:w="411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6"/>
              </w:rPr>
              <w:t>Charge temporairement la MDK, dérive ICC/session, recalcule l'ARQC et génère l'ARPC. Un HSM de production doit garder ces opérations dans sa frontière.</w:t>
            </w:r>
          </w:p>
        </w:tc>
      </w:tr>
    </w:tbl>
    <w:p>
      <w:pPr>
        <w:pStyle w:val="Heading1"/>
      </w:pPr>
      <w:r>
        <w:t>5. Points de contrôle avant campagne réelle</w:t>
      </w:r>
    </w:p>
    <w:tbl>
      <w:tblPr>
        <w:tblW w:type="dxa" w:w="9360"/>
        <w:jc w:val="left"/>
        <w:tblLayout w:type="fixed"/>
        <w:tblLook w:firstColumn="1" w:firstRow="1" w:lastColumn="0" w:lastRow="0" w:noHBand="0" w:noVBand="1" w:val="04A0"/>
        <w:tblInd w:w="120" w:type="dxa"/>
        <w:tblBorders>
          <w:top w:val="single" w:sz="4" w:color="CCD5DF"/>
          <w:left w:val="single" w:sz="4" w:color="CCD5DF"/>
          <w:bottom w:val="single" w:sz="4" w:color="CCD5DF"/>
          <w:right w:val="single" w:sz="4" w:color="CCD5DF"/>
          <w:insideH w:val="single" w:sz="4" w:color="CCD5DF"/>
          <w:insideV w:val="single" w:sz="4" w:color="CCD5DF"/>
        </w:tblBorders>
      </w:tblPr>
      <w:tblGrid>
        <w:gridCol w:w="1700"/>
        <w:gridCol w:w="7660"/>
      </w:tblGrid>
      <w:tr>
        <w:tc>
          <w:tcPr>
            <w:tcW w:type="dxa" w:w="1700"/>
            <w:tcMar>
              <w:top w:w="80" w:type="dxa"/>
              <w:start w:w="120" w:type="dxa"/>
              <w:bottom w:w="80" w:type="dxa"/>
              <w:end w:w="120" w:type="dxa"/>
            </w:tcMar>
            <w:vAlign w:val="center"/>
            <w:shd w:fill="DDEFE2"/>
          </w:tcPr>
          <w:p>
            <w:pPr>
              <w:spacing w:before="0" w:after="0" w:line="259" w:lineRule="auto"/>
              <w:jc w:val="left"/>
            </w:pPr>
            <w:r/>
            <w:r>
              <w:rPr>
                <w:rFonts w:ascii="Calibri" w:hAnsi="Calibri"/>
                <w:b/>
                <w:i w:val="0"/>
                <w:color w:val="0B2545"/>
                <w:sz w:val="18"/>
              </w:rPr>
              <w:t>Réseau</w:t>
            </w:r>
          </w:p>
        </w:tc>
        <w:tc>
          <w:tcPr>
            <w:tcW w:type="dxa" w:w="766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8"/>
              </w:rPr>
              <w:t>DMAS Member connecté à localhost:8500 avec status=SIGNON et signed_on=true.</w:t>
            </w:r>
          </w:p>
        </w:tc>
      </w:tr>
      <w:tr>
        <w:tc>
          <w:tcPr>
            <w:tcW w:type="dxa" w:w="1700"/>
            <w:tcMar>
              <w:top w:w="80" w:type="dxa"/>
              <w:start w:w="120" w:type="dxa"/>
              <w:bottom w:w="80" w:type="dxa"/>
              <w:end w:w="120" w:type="dxa"/>
            </w:tcMar>
            <w:vAlign w:val="center"/>
            <w:shd w:fill="DDEFE2"/>
          </w:tcPr>
          <w:p>
            <w:pPr>
              <w:spacing w:before="0" w:after="0" w:line="259" w:lineRule="auto"/>
              <w:jc w:val="left"/>
            </w:pPr>
            <w:r/>
            <w:r>
              <w:rPr>
                <w:rFonts w:ascii="Calibri" w:hAnsi="Calibri"/>
                <w:b/>
                <w:i w:val="0"/>
                <w:color w:val="0B2545"/>
                <w:sz w:val="18"/>
              </w:rPr>
              <w:t>RKI</w:t>
            </w:r>
          </w:p>
        </w:tc>
        <w:tc>
          <w:tcPr>
            <w:tcW w:type="dxa" w:w="766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8"/>
              </w:rPr>
              <w:t>960000 RC=00, puis confirmation 930000 RC=00 avec MAC vérifié.</w:t>
            </w:r>
          </w:p>
        </w:tc>
      </w:tr>
      <w:tr>
        <w:tc>
          <w:tcPr>
            <w:tcW w:type="dxa" w:w="1700"/>
            <w:tcMar>
              <w:top w:w="80" w:type="dxa"/>
              <w:start w:w="120" w:type="dxa"/>
              <w:bottom w:w="80" w:type="dxa"/>
              <w:end w:w="120" w:type="dxa"/>
            </w:tcMar>
            <w:vAlign w:val="center"/>
            <w:shd w:fill="DDEFE2"/>
          </w:tcPr>
          <w:p>
            <w:pPr>
              <w:spacing w:before="0" w:after="0" w:line="259" w:lineRule="auto"/>
              <w:jc w:val="left"/>
            </w:pPr>
            <w:r/>
            <w:r>
              <w:rPr>
                <w:rFonts w:ascii="Calibri" w:hAnsi="Calibri"/>
                <w:b/>
                <w:i w:val="0"/>
                <w:color w:val="0B2545"/>
                <w:sz w:val="18"/>
              </w:rPr>
              <w:t>Routage</w:t>
            </w:r>
          </w:p>
        </w:tc>
        <w:tc>
          <w:tcPr>
            <w:tcW w:type="dxa" w:w="766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8"/>
              </w:rPr>
              <w:t>Les BIN des cartes MTIP ciblent DMAS_MEMBER.</w:t>
            </w:r>
          </w:p>
        </w:tc>
      </w:tr>
      <w:tr>
        <w:tc>
          <w:tcPr>
            <w:tcW w:type="dxa" w:w="1700"/>
            <w:tcMar>
              <w:top w:w="80" w:type="dxa"/>
              <w:start w:w="120" w:type="dxa"/>
              <w:bottom w:w="80" w:type="dxa"/>
              <w:end w:w="120" w:type="dxa"/>
            </w:tcMar>
            <w:vAlign w:val="center"/>
            <w:shd w:fill="DDEFE2"/>
          </w:tcPr>
          <w:p>
            <w:pPr>
              <w:spacing w:before="0" w:after="0" w:line="259" w:lineRule="auto"/>
              <w:jc w:val="left"/>
            </w:pPr>
            <w:r/>
            <w:r>
              <w:rPr>
                <w:rFonts w:ascii="Calibri" w:hAnsi="Calibri"/>
                <w:b/>
                <w:i w:val="0"/>
                <w:color w:val="0B2545"/>
                <w:sz w:val="18"/>
              </w:rPr>
              <w:t>Clés</w:t>
            </w:r>
          </w:p>
        </w:tc>
        <w:tc>
          <w:tcPr>
            <w:tcW w:type="dxa" w:w="766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8"/>
              </w:rPr>
              <w:t>TAK/TPK terminal actives ; PEK identique sur le chemin ServerPOS/DMAS ; MDK active côté Mastercard.</w:t>
            </w:r>
          </w:p>
        </w:tc>
      </w:tr>
      <w:tr>
        <w:tc>
          <w:tcPr>
            <w:tcW w:type="dxa" w:w="1700"/>
            <w:tcMar>
              <w:top w:w="80" w:type="dxa"/>
              <w:start w:w="120" w:type="dxa"/>
              <w:bottom w:w="80" w:type="dxa"/>
              <w:end w:w="120" w:type="dxa"/>
            </w:tcMar>
            <w:vAlign w:val="center"/>
            <w:shd w:fill="DDEFE2"/>
          </w:tcPr>
          <w:p>
            <w:pPr>
              <w:spacing w:before="0" w:after="0" w:line="259" w:lineRule="auto"/>
              <w:jc w:val="left"/>
            </w:pPr>
            <w:r/>
            <w:r>
              <w:rPr>
                <w:rFonts w:ascii="Calibri" w:hAnsi="Calibri"/>
                <w:b/>
                <w:i w:val="0"/>
                <w:color w:val="0B2545"/>
                <w:sz w:val="18"/>
              </w:rPr>
              <w:t>Résultat</w:t>
            </w:r>
          </w:p>
        </w:tc>
        <w:tc>
          <w:tcPr>
            <w:tcW w:type="dxa" w:w="7660"/>
            <w:tcMar>
              <w:top w:w="80" w:type="dxa"/>
              <w:start w:w="120" w:type="dxa"/>
              <w:bottom w:w="80" w:type="dxa"/>
              <w:end w:w="120" w:type="dxa"/>
            </w:tcMar>
            <w:vAlign w:val="center"/>
          </w:tcPr>
          <w:p>
            <w:pPr>
              <w:spacing w:before="0" w:after="0" w:line="259" w:lineRule="auto"/>
              <w:jc w:val="left"/>
            </w:pPr>
            <w:r/>
            <w:r>
              <w:rPr>
                <w:rFonts w:ascii="Calibri" w:hAnsi="Calibri"/>
                <w:b w:val="0"/>
                <w:i w:val="0"/>
                <w:color w:val="111827"/>
                <w:sz w:val="18"/>
              </w:rPr>
              <w:t>Réponse 0110/0210 cohérente ; RC attendu, tag 91 si approbation EMV et MAC terminal valide.</w:t>
            </w:r>
          </w:p>
        </w:tc>
      </w:tr>
    </w:tbl>
    <w:tbl>
      <w:tblPr>
        <w:tblW w:type="dxa" w:w="9360"/>
        <w:jc w:val="left"/>
        <w:tblLayout w:type="fixed"/>
        <w:tblLook w:firstColumn="1" w:firstRow="1" w:lastColumn="0" w:lastRow="0" w:noHBand="0" w:noVBand="1" w:val="04A0"/>
        <w:tblInd w:w="120" w:type="dxa"/>
        <w:tblBorders>
          <w:top w:val="single" w:sz="4" w:color="CCD5DF"/>
          <w:left w:val="single" w:sz="4" w:color="CCD5DF"/>
          <w:bottom w:val="single" w:sz="4" w:color="CCD5DF"/>
          <w:right w:val="single" w:sz="4" w:color="CCD5DF"/>
          <w:insideH w:val="single" w:sz="4" w:color="CCD5DF"/>
          <w:insideV w:val="single" w:sz="4" w:color="CCD5DF"/>
        </w:tblBorders>
      </w:tblPr>
      <w:tblGrid>
        <w:gridCol w:w="9360"/>
      </w:tblGrid>
      <w:tr>
        <w:tc>
          <w:tcPr>
            <w:tcW w:type="dxa" w:w="9360"/>
            <w:tcMar>
              <w:top w:w="80" w:type="dxa"/>
              <w:start w:w="120" w:type="dxa"/>
              <w:bottom w:w="80" w:type="dxa"/>
              <w:end w:w="120" w:type="dxa"/>
            </w:tcMar>
            <w:vAlign w:val="center"/>
            <w:shd w:fill="F8DDDD"/>
          </w:tcPr>
          <w:p>
            <w:pPr>
              <w:spacing w:before="40" w:after="40"/>
            </w:pPr>
            <w:r/>
            <w:r>
              <w:rPr>
                <w:rFonts w:ascii="Calibri" w:hAnsi="Calibri"/>
                <w:b/>
                <w:i w:val="0"/>
                <w:color w:val="0B2545"/>
                <w:sz w:val="20"/>
              </w:rPr>
              <w:t xml:space="preserve">Limite importante  </w:t>
            </w:r>
            <w:r>
              <w:rPr>
                <w:rFonts w:ascii="Calibri" w:hAnsi="Calibri"/>
                <w:b w:val="0"/>
                <w:i w:val="0"/>
                <w:color w:val="111827"/>
                <w:sz w:val="20"/>
              </w:rPr>
              <w:t>Les méthodes LAB qui exposent temporairement une clé ou un PIN clair ne représentent pas la cible de production. L'adaptateur HSM réel devra réaliser les dérivations, validations et traductions à l'intérieur du matériel.</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B6573"/>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Pr>
    <w:r>
      <w:rPr>
        <w:rFonts w:ascii="Calibri" w:hAnsi="Calibri"/>
        <w:b/>
        <w:i w:val="0"/>
        <w:color w:val="5B6573"/>
        <w:sz w:val="17"/>
      </w:rPr>
      <w:t>SCENARIOGENERATOR  |  WAY POS / MTIP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Flux TPE réel, modules et appels HSM</dc:title>
  <dc:subject>Architecture RKI et autorisation EMV Mastercard</dc:subject>
  <dc:creator>ScenarioGenerator</dc:creator>
  <cp:keywords>WayPOS, MTIP, DMAS, HSM, RKI, EMV</cp:keywords>
  <dc:description>Document LAB - clés de test uniquement</dc:description>
  <cp:lastModifiedBy/>
  <cp:revision>1</cp:revision>
  <dcterms:created xsi:type="dcterms:W3CDTF">2013-12-23T23:15:00Z</dcterms:created>
  <dcterms:modified xsi:type="dcterms:W3CDTF">2013-12-23T23:15:00Z</dcterms:modified>
  <cp:category/>
</cp:coreProperties>
</file>