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38EBDF" w14:textId="5EBDB828" w:rsidR="00D15E77" w:rsidRDefault="00D15E77" w:rsidP="00D15E77">
      <w:pPr>
        <w:pStyle w:val="Titre1"/>
        <w:rPr>
          <w:lang w:val="fr-FR"/>
        </w:rPr>
      </w:pPr>
      <w:r w:rsidRPr="00D15E77">
        <w:rPr>
          <w:lang w:val="fr-FR"/>
        </w:rPr>
        <w:t xml:space="preserve">MDR - Mission Design </w:t>
      </w:r>
      <w:proofErr w:type="spellStart"/>
      <w:r w:rsidRPr="00D15E77">
        <w:rPr>
          <w:lang w:val="fr-FR"/>
        </w:rPr>
        <w:t>Review</w:t>
      </w:r>
      <w:proofErr w:type="spellEnd"/>
    </w:p>
    <w:p w14:paraId="1D399CA9" w14:textId="5E07CC63" w:rsidR="00D15E77" w:rsidRPr="00D15E77" w:rsidRDefault="00D15E77" w:rsidP="00D15E77">
      <w:pPr>
        <w:rPr>
          <w:b/>
          <w:bCs/>
          <w:lang w:val="fr-FR"/>
        </w:rPr>
      </w:pPr>
      <w:r w:rsidRPr="00D15E77">
        <w:rPr>
          <w:b/>
          <w:bCs/>
          <w:lang w:val="fr-FR"/>
        </w:rPr>
        <w:t xml:space="preserve">Revue de la conception de la mission (MDR - Mission Design </w:t>
      </w:r>
      <w:proofErr w:type="spellStart"/>
      <w:r w:rsidRPr="00D15E77">
        <w:rPr>
          <w:b/>
          <w:bCs/>
          <w:lang w:val="fr-FR"/>
        </w:rPr>
        <w:t>Review</w:t>
      </w:r>
      <w:proofErr w:type="spellEnd"/>
      <w:r w:rsidRPr="00D15E77">
        <w:rPr>
          <w:b/>
          <w:bCs/>
          <w:lang w:val="fr-FR"/>
        </w:rPr>
        <w:t xml:space="preserve">) pour un </w:t>
      </w:r>
      <w:proofErr w:type="spellStart"/>
      <w:r w:rsidRPr="00D15E77">
        <w:rPr>
          <w:b/>
          <w:bCs/>
          <w:lang w:val="fr-FR"/>
        </w:rPr>
        <w:t>CubeSat</w:t>
      </w:r>
      <w:proofErr w:type="spellEnd"/>
      <w:r w:rsidRPr="00D15E77">
        <w:rPr>
          <w:b/>
          <w:bCs/>
          <w:lang w:val="fr-FR"/>
        </w:rPr>
        <w:t xml:space="preserve"> 1U dédié à la transmission</w:t>
      </w:r>
    </w:p>
    <w:p w14:paraId="463BB019" w14:textId="77777777" w:rsidR="00D15E77" w:rsidRPr="00D15E77" w:rsidRDefault="00D15E77" w:rsidP="00D15E77">
      <w:pPr>
        <w:rPr>
          <w:lang w:val="fr-FR"/>
        </w:rPr>
      </w:pPr>
      <w:r w:rsidRPr="00D15E77">
        <w:rPr>
          <w:lang w:val="fr-FR"/>
        </w:rPr>
        <w:t xml:space="preserve">La </w:t>
      </w:r>
      <w:r w:rsidRPr="00D15E77">
        <w:rPr>
          <w:b/>
          <w:bCs/>
          <w:lang w:val="fr-FR"/>
        </w:rPr>
        <w:t xml:space="preserve">Mission Design </w:t>
      </w:r>
      <w:proofErr w:type="spellStart"/>
      <w:r w:rsidRPr="00D15E77">
        <w:rPr>
          <w:b/>
          <w:bCs/>
          <w:lang w:val="fr-FR"/>
        </w:rPr>
        <w:t>Review</w:t>
      </w:r>
      <w:proofErr w:type="spellEnd"/>
      <w:r w:rsidRPr="00D15E77">
        <w:rPr>
          <w:b/>
          <w:bCs/>
          <w:lang w:val="fr-FR"/>
        </w:rPr>
        <w:t xml:space="preserve"> (MDR)</w:t>
      </w:r>
      <w:r w:rsidRPr="00D15E77">
        <w:rPr>
          <w:lang w:val="fr-FR"/>
        </w:rPr>
        <w:t xml:space="preserve"> est une étape clé après la Revue des Exigences Système (SRR). Son objectif est de </w:t>
      </w:r>
      <w:r w:rsidRPr="00D15E77">
        <w:rPr>
          <w:b/>
          <w:bCs/>
          <w:lang w:val="fr-FR"/>
        </w:rPr>
        <w:t>valider la faisabilité de la mission et la cohérence de l'architecture globale</w:t>
      </w:r>
      <w:r w:rsidRPr="00D15E77">
        <w:rPr>
          <w:lang w:val="fr-FR"/>
        </w:rPr>
        <w:t xml:space="preserve"> avant d’entrer en phase de conception détaillée (Phase B).</w:t>
      </w:r>
    </w:p>
    <w:p w14:paraId="7ADF8B77" w14:textId="77777777" w:rsidR="00D15E77" w:rsidRPr="00D15E77" w:rsidRDefault="00D15E77" w:rsidP="00D15E77">
      <w:r w:rsidRPr="00D15E77">
        <w:pict w14:anchorId="2EFED2FF">
          <v:rect id="_x0000_i1067" style="width:0;height:1.5pt" o:hralign="center" o:hrstd="t" o:hr="t" fillcolor="#a0a0a0" stroked="f"/>
        </w:pict>
      </w:r>
    </w:p>
    <w:p w14:paraId="6CF65302" w14:textId="77777777" w:rsidR="00D15E77" w:rsidRPr="00D15E77" w:rsidRDefault="00D15E77" w:rsidP="00D15E77">
      <w:pPr>
        <w:rPr>
          <w:b/>
          <w:bCs/>
          <w:lang w:val="fr-FR"/>
        </w:rPr>
      </w:pPr>
      <w:r w:rsidRPr="00D15E77">
        <w:rPr>
          <w:b/>
          <w:bCs/>
          <w:lang w:val="fr-FR"/>
        </w:rPr>
        <w:t>1. Objectifs de la MDR</w:t>
      </w:r>
    </w:p>
    <w:p w14:paraId="40DB5A74" w14:textId="77777777" w:rsidR="00D15E77" w:rsidRPr="00D15E77" w:rsidRDefault="00D15E77" w:rsidP="00D15E77">
      <w:pPr>
        <w:rPr>
          <w:lang w:val="fr-FR"/>
        </w:rPr>
      </w:pPr>
      <w:r w:rsidRPr="00D15E77">
        <w:rPr>
          <w:rFonts w:ascii="Segoe UI Emoji" w:hAnsi="Segoe UI Emoji" w:cs="Segoe UI Emoji"/>
          <w:lang w:val="fr-FR"/>
        </w:rPr>
        <w:t>✅</w:t>
      </w:r>
      <w:r w:rsidRPr="00D15E77">
        <w:rPr>
          <w:lang w:val="fr-FR"/>
        </w:rPr>
        <w:t xml:space="preserve"> </w:t>
      </w:r>
      <w:r w:rsidRPr="00D15E77">
        <w:rPr>
          <w:b/>
          <w:bCs/>
          <w:lang w:val="fr-FR"/>
        </w:rPr>
        <w:t>Évaluer la cohérence entre la mission et la conception préliminaire</w:t>
      </w:r>
      <w:r w:rsidRPr="00D15E77">
        <w:rPr>
          <w:lang w:val="fr-FR"/>
        </w:rPr>
        <w:t>.</w:t>
      </w:r>
      <w:r w:rsidRPr="00D15E77">
        <w:rPr>
          <w:lang w:val="fr-FR"/>
        </w:rPr>
        <w:br/>
      </w:r>
      <w:r w:rsidRPr="00D15E77">
        <w:rPr>
          <w:rFonts w:ascii="Segoe UI Emoji" w:hAnsi="Segoe UI Emoji" w:cs="Segoe UI Emoji"/>
          <w:lang w:val="fr-FR"/>
        </w:rPr>
        <w:t>✅</w:t>
      </w:r>
      <w:r w:rsidRPr="00D15E77">
        <w:rPr>
          <w:lang w:val="fr-FR"/>
        </w:rPr>
        <w:t xml:space="preserve"> </w:t>
      </w:r>
      <w:r w:rsidRPr="00D15E77">
        <w:rPr>
          <w:b/>
          <w:bCs/>
          <w:lang w:val="fr-FR"/>
        </w:rPr>
        <w:t>Vérifier la faisabilité technique</w:t>
      </w:r>
      <w:r w:rsidRPr="00D15E77">
        <w:rPr>
          <w:lang w:val="fr-FR"/>
        </w:rPr>
        <w:t xml:space="preserve"> dans les contraintes d’un </w:t>
      </w:r>
      <w:proofErr w:type="spellStart"/>
      <w:r w:rsidRPr="00D15E77">
        <w:rPr>
          <w:lang w:val="fr-FR"/>
        </w:rPr>
        <w:t>CubeSat</w:t>
      </w:r>
      <w:proofErr w:type="spellEnd"/>
      <w:r w:rsidRPr="00D15E77">
        <w:rPr>
          <w:lang w:val="fr-FR"/>
        </w:rPr>
        <w:t xml:space="preserve"> 1U.</w:t>
      </w:r>
      <w:r w:rsidRPr="00D15E77">
        <w:rPr>
          <w:lang w:val="fr-FR"/>
        </w:rPr>
        <w:br/>
      </w:r>
      <w:r w:rsidRPr="00D15E77">
        <w:rPr>
          <w:rFonts w:ascii="Segoe UI Emoji" w:hAnsi="Segoe UI Emoji" w:cs="Segoe UI Emoji"/>
          <w:lang w:val="fr-FR"/>
        </w:rPr>
        <w:t>✅</w:t>
      </w:r>
      <w:r w:rsidRPr="00D15E77">
        <w:rPr>
          <w:lang w:val="fr-FR"/>
        </w:rPr>
        <w:t xml:space="preserve"> </w:t>
      </w:r>
      <w:r w:rsidRPr="00D15E77">
        <w:rPr>
          <w:b/>
          <w:bCs/>
          <w:lang w:val="fr-FR"/>
        </w:rPr>
        <w:t>Confirmer l’alignement avec les exigences système</w:t>
      </w:r>
      <w:r w:rsidRPr="00D15E77">
        <w:rPr>
          <w:lang w:val="fr-FR"/>
        </w:rPr>
        <w:t xml:space="preserve"> définies lors de la SRR.</w:t>
      </w:r>
      <w:r w:rsidRPr="00D15E77">
        <w:rPr>
          <w:lang w:val="fr-FR"/>
        </w:rPr>
        <w:br/>
      </w:r>
      <w:r w:rsidRPr="00D15E77">
        <w:rPr>
          <w:rFonts w:ascii="Segoe UI Emoji" w:hAnsi="Segoe UI Emoji" w:cs="Segoe UI Emoji"/>
          <w:lang w:val="fr-FR"/>
        </w:rPr>
        <w:t>✅</w:t>
      </w:r>
      <w:r w:rsidRPr="00D15E77">
        <w:rPr>
          <w:lang w:val="fr-FR"/>
        </w:rPr>
        <w:t xml:space="preserve"> </w:t>
      </w:r>
      <w:r w:rsidRPr="00D15E77">
        <w:rPr>
          <w:b/>
          <w:bCs/>
          <w:lang w:val="fr-FR"/>
        </w:rPr>
        <w:t>Identifier les risques potentiels et les stratégies d’atténuation</w:t>
      </w:r>
      <w:r w:rsidRPr="00D15E77">
        <w:rPr>
          <w:lang w:val="fr-FR"/>
        </w:rPr>
        <w:t>.</w:t>
      </w:r>
      <w:r w:rsidRPr="00D15E77">
        <w:rPr>
          <w:lang w:val="fr-FR"/>
        </w:rPr>
        <w:br/>
      </w:r>
      <w:r w:rsidRPr="00D15E77">
        <w:rPr>
          <w:rFonts w:ascii="Segoe UI Emoji" w:hAnsi="Segoe UI Emoji" w:cs="Segoe UI Emoji"/>
          <w:lang w:val="fr-FR"/>
        </w:rPr>
        <w:t>✅</w:t>
      </w:r>
      <w:r w:rsidRPr="00D15E77">
        <w:rPr>
          <w:lang w:val="fr-FR"/>
        </w:rPr>
        <w:t xml:space="preserve"> </w:t>
      </w:r>
      <w:r w:rsidRPr="00D15E77">
        <w:rPr>
          <w:b/>
          <w:bCs/>
          <w:lang w:val="fr-FR"/>
        </w:rPr>
        <w:t>Valider le plan de développement et la transition vers la conception préliminaire (Phase B)</w:t>
      </w:r>
      <w:r w:rsidRPr="00D15E77">
        <w:rPr>
          <w:lang w:val="fr-FR"/>
        </w:rPr>
        <w:t>.</w:t>
      </w:r>
    </w:p>
    <w:p w14:paraId="3A29EF2E" w14:textId="77777777" w:rsidR="00D15E77" w:rsidRPr="00D15E77" w:rsidRDefault="00D15E77" w:rsidP="00D15E77">
      <w:r w:rsidRPr="00D15E77">
        <w:pict w14:anchorId="00F15276">
          <v:rect id="_x0000_i1068" style="width:0;height:1.5pt" o:hralign="center" o:hrstd="t" o:hr="t" fillcolor="#a0a0a0" stroked="f"/>
        </w:pict>
      </w:r>
    </w:p>
    <w:p w14:paraId="75C985C9" w14:textId="77777777" w:rsidR="00D15E77" w:rsidRPr="00D15E77" w:rsidRDefault="00D15E77" w:rsidP="00D15E77">
      <w:pPr>
        <w:rPr>
          <w:b/>
          <w:bCs/>
          <w:lang w:val="fr-FR"/>
        </w:rPr>
      </w:pPr>
      <w:r w:rsidRPr="00D15E77">
        <w:rPr>
          <w:b/>
          <w:bCs/>
          <w:lang w:val="fr-FR"/>
        </w:rPr>
        <w:t xml:space="preserve">2. Description de la mission du </w:t>
      </w:r>
      <w:proofErr w:type="spellStart"/>
      <w:r w:rsidRPr="00D15E77">
        <w:rPr>
          <w:b/>
          <w:bCs/>
          <w:lang w:val="fr-FR"/>
        </w:rPr>
        <w:t>CubeSat</w:t>
      </w:r>
      <w:proofErr w:type="spellEnd"/>
      <w:r w:rsidRPr="00D15E77">
        <w:rPr>
          <w:b/>
          <w:bCs/>
          <w:lang w:val="fr-FR"/>
        </w:rPr>
        <w:t xml:space="preserve"> 1U</w:t>
      </w:r>
    </w:p>
    <w:p w14:paraId="4F1E5433" w14:textId="77777777" w:rsidR="00D15E77" w:rsidRPr="00D15E77" w:rsidRDefault="00D15E77" w:rsidP="00D15E77">
      <w:pPr>
        <w:rPr>
          <w:lang w:val="fr-FR"/>
        </w:rPr>
      </w:pPr>
      <w:r w:rsidRPr="00D15E77">
        <w:rPr>
          <w:rFonts w:ascii="Segoe UI Emoji" w:hAnsi="Segoe UI Emoji" w:cs="Segoe UI Emoji"/>
        </w:rPr>
        <w:t>📡</w:t>
      </w:r>
      <w:r w:rsidRPr="00D15E77">
        <w:rPr>
          <w:lang w:val="fr-FR"/>
        </w:rPr>
        <w:t xml:space="preserve"> </w:t>
      </w:r>
      <w:r w:rsidRPr="00D15E77">
        <w:rPr>
          <w:b/>
          <w:bCs/>
          <w:lang w:val="fr-FR"/>
        </w:rPr>
        <w:t xml:space="preserve">Mission </w:t>
      </w:r>
      <w:proofErr w:type="gramStart"/>
      <w:r w:rsidRPr="00D15E77">
        <w:rPr>
          <w:b/>
          <w:bCs/>
          <w:lang w:val="fr-FR"/>
        </w:rPr>
        <w:t>principale :</w:t>
      </w:r>
      <w:proofErr w:type="gramEnd"/>
      <w:r w:rsidRPr="00D15E77">
        <w:rPr>
          <w:lang w:val="fr-FR"/>
        </w:rPr>
        <w:t xml:space="preserve"> Transmettre des données vers des stations terrestres.</w:t>
      </w:r>
      <w:r w:rsidRPr="00D15E77">
        <w:rPr>
          <w:lang w:val="fr-FR"/>
        </w:rPr>
        <w:br/>
      </w:r>
      <w:r w:rsidRPr="00D15E77">
        <w:rPr>
          <w:rFonts w:ascii="Segoe UI Emoji" w:hAnsi="Segoe UI Emoji" w:cs="Segoe UI Emoji"/>
        </w:rPr>
        <w:t>🚀</w:t>
      </w:r>
      <w:r w:rsidRPr="00D15E77">
        <w:t xml:space="preserve"> </w:t>
      </w:r>
      <w:proofErr w:type="spellStart"/>
      <w:r w:rsidRPr="00D15E77">
        <w:rPr>
          <w:b/>
          <w:bCs/>
        </w:rPr>
        <w:t>Orbite</w:t>
      </w:r>
      <w:proofErr w:type="spellEnd"/>
      <w:r w:rsidRPr="00D15E77">
        <w:rPr>
          <w:b/>
          <w:bCs/>
        </w:rPr>
        <w:t xml:space="preserve"> </w:t>
      </w:r>
      <w:proofErr w:type="spellStart"/>
      <w:r w:rsidRPr="00D15E77">
        <w:rPr>
          <w:b/>
          <w:bCs/>
        </w:rPr>
        <w:t>cible</w:t>
      </w:r>
      <w:proofErr w:type="spellEnd"/>
      <w:r w:rsidRPr="00D15E77">
        <w:rPr>
          <w:b/>
          <w:bCs/>
        </w:rPr>
        <w:t xml:space="preserve"> :</w:t>
      </w:r>
      <w:r w:rsidRPr="00D15E77">
        <w:t xml:space="preserve"> LEO (Low Earth Orbit), altitude 400-600 km, </w:t>
      </w:r>
      <w:proofErr w:type="spellStart"/>
      <w:r w:rsidRPr="00D15E77">
        <w:t>inclinaison</w:t>
      </w:r>
      <w:proofErr w:type="spellEnd"/>
      <w:r w:rsidRPr="00D15E77">
        <w:t xml:space="preserve"> 98° (</w:t>
      </w:r>
      <w:proofErr w:type="spellStart"/>
      <w:r w:rsidRPr="00D15E77">
        <w:t>Sunsynchronous</w:t>
      </w:r>
      <w:proofErr w:type="spellEnd"/>
      <w:r w:rsidRPr="00D15E77">
        <w:t xml:space="preserve">) </w:t>
      </w:r>
      <w:proofErr w:type="spellStart"/>
      <w:r w:rsidRPr="00D15E77">
        <w:t>ou</w:t>
      </w:r>
      <w:proofErr w:type="spellEnd"/>
      <w:r w:rsidRPr="00D15E77">
        <w:t xml:space="preserve"> 51° (ISS).</w:t>
      </w:r>
      <w:r w:rsidRPr="00D15E77">
        <w:br/>
      </w:r>
      <w:r w:rsidRPr="00D15E77">
        <w:rPr>
          <w:rFonts w:ascii="Segoe UI Emoji" w:hAnsi="Segoe UI Emoji" w:cs="Segoe UI Emoji"/>
          <w:lang w:val="fr-FR"/>
        </w:rPr>
        <w:t>⏳</w:t>
      </w:r>
      <w:r w:rsidRPr="00D15E77">
        <w:rPr>
          <w:lang w:val="fr-FR"/>
        </w:rPr>
        <w:t xml:space="preserve"> </w:t>
      </w:r>
      <w:r w:rsidRPr="00D15E77">
        <w:rPr>
          <w:b/>
          <w:bCs/>
          <w:lang w:val="fr-FR"/>
        </w:rPr>
        <w:t>Durée de mission :</w:t>
      </w:r>
      <w:r w:rsidRPr="00D15E77">
        <w:rPr>
          <w:lang w:val="fr-FR"/>
        </w:rPr>
        <w:t xml:space="preserve"> 6 mois à 2 ans selon la désorbitation naturelle.</w:t>
      </w:r>
      <w:r w:rsidRPr="00D15E77">
        <w:rPr>
          <w:lang w:val="fr-FR"/>
        </w:rPr>
        <w:br/>
      </w:r>
      <w:r w:rsidRPr="00D15E77">
        <w:rPr>
          <w:rFonts w:ascii="Segoe UI Emoji" w:hAnsi="Segoe UI Emoji" w:cs="Segoe UI Emoji"/>
        </w:rPr>
        <w:t>📡</w:t>
      </w:r>
      <w:r w:rsidRPr="00D15E77">
        <w:rPr>
          <w:lang w:val="fr-FR"/>
        </w:rPr>
        <w:t xml:space="preserve"> </w:t>
      </w:r>
      <w:r w:rsidRPr="00D15E77">
        <w:rPr>
          <w:b/>
          <w:bCs/>
          <w:lang w:val="fr-FR"/>
        </w:rPr>
        <w:t>Lien de communication :</w:t>
      </w:r>
      <w:r w:rsidRPr="00D15E77">
        <w:rPr>
          <w:lang w:val="fr-FR"/>
        </w:rPr>
        <w:t xml:space="preserve"> UHF/VHF (radio amateur) ou S-band/X-band selon les besoins.</w:t>
      </w:r>
    </w:p>
    <w:p w14:paraId="5990FCD2" w14:textId="77777777" w:rsidR="00D15E77" w:rsidRPr="00D15E77" w:rsidRDefault="00D15E77" w:rsidP="00D15E77">
      <w:r w:rsidRPr="00D15E77">
        <w:pict w14:anchorId="44F539D4">
          <v:rect id="_x0000_i1069" style="width:0;height:1.5pt" o:hralign="center" o:hrstd="t" o:hr="t" fillcolor="#a0a0a0" stroked="f"/>
        </w:pict>
      </w:r>
    </w:p>
    <w:p w14:paraId="2A3FEB64" w14:textId="77777777" w:rsidR="00D15E77" w:rsidRPr="00D15E77" w:rsidRDefault="00D15E77" w:rsidP="00D15E77">
      <w:pPr>
        <w:rPr>
          <w:b/>
          <w:bCs/>
          <w:lang w:val="fr-FR"/>
        </w:rPr>
      </w:pPr>
      <w:r w:rsidRPr="00D15E77">
        <w:rPr>
          <w:b/>
          <w:bCs/>
          <w:lang w:val="fr-FR"/>
        </w:rPr>
        <w:t>3. Évaluation de la conception préliminaire</w:t>
      </w:r>
    </w:p>
    <w:p w14:paraId="713632C4" w14:textId="77777777" w:rsidR="00D15E77" w:rsidRPr="00D15E77" w:rsidRDefault="00D15E77" w:rsidP="00D15E77">
      <w:pPr>
        <w:rPr>
          <w:b/>
          <w:bCs/>
          <w:lang w:val="fr-FR"/>
        </w:rPr>
      </w:pPr>
      <w:r w:rsidRPr="00D15E77">
        <w:rPr>
          <w:b/>
          <w:bCs/>
          <w:lang w:val="fr-FR"/>
        </w:rPr>
        <w:t>A. Architecture du satellite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1"/>
        <w:gridCol w:w="6233"/>
      </w:tblGrid>
      <w:tr w:rsidR="00D15E77" w:rsidRPr="00D15E77" w14:paraId="52B296B1" w14:textId="77777777" w:rsidTr="00D15E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746886E" w14:textId="77777777" w:rsidR="00D15E77" w:rsidRPr="00D15E77" w:rsidRDefault="00D15E77" w:rsidP="00D15E77">
            <w:pPr>
              <w:rPr>
                <w:b/>
                <w:bCs/>
              </w:rPr>
            </w:pPr>
            <w:r w:rsidRPr="00D15E77">
              <w:rPr>
                <w:b/>
                <w:bCs/>
              </w:rPr>
              <w:t>Sous-</w:t>
            </w:r>
            <w:proofErr w:type="spellStart"/>
            <w:r w:rsidRPr="00D15E77">
              <w:rPr>
                <w:b/>
                <w:bCs/>
              </w:rPr>
              <w:t>système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7ECCE48" w14:textId="77777777" w:rsidR="00D15E77" w:rsidRPr="00D15E77" w:rsidRDefault="00D15E77" w:rsidP="00D15E77">
            <w:pPr>
              <w:rPr>
                <w:b/>
                <w:bCs/>
              </w:rPr>
            </w:pPr>
            <w:proofErr w:type="spellStart"/>
            <w:r w:rsidRPr="00D15E77">
              <w:rPr>
                <w:b/>
                <w:bCs/>
              </w:rPr>
              <w:t>Spécifications</w:t>
            </w:r>
            <w:proofErr w:type="spellEnd"/>
            <w:r w:rsidRPr="00D15E77">
              <w:rPr>
                <w:b/>
                <w:bCs/>
              </w:rPr>
              <w:t xml:space="preserve"> </w:t>
            </w:r>
            <w:proofErr w:type="spellStart"/>
            <w:r w:rsidRPr="00D15E77">
              <w:rPr>
                <w:b/>
                <w:bCs/>
              </w:rPr>
              <w:t>préliminaires</w:t>
            </w:r>
            <w:proofErr w:type="spellEnd"/>
          </w:p>
        </w:tc>
      </w:tr>
      <w:tr w:rsidR="00D15E77" w:rsidRPr="00D15E77" w14:paraId="2FDEA706" w14:textId="77777777" w:rsidTr="00D15E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4BEBEE" w14:textId="77777777" w:rsidR="00D15E77" w:rsidRPr="00D15E77" w:rsidRDefault="00D15E77" w:rsidP="00D15E77">
            <w:r w:rsidRPr="00D15E77">
              <w:rPr>
                <w:b/>
                <w:bCs/>
              </w:rPr>
              <w:t>Structure</w:t>
            </w:r>
          </w:p>
        </w:tc>
        <w:tc>
          <w:tcPr>
            <w:tcW w:w="0" w:type="auto"/>
            <w:vAlign w:val="center"/>
            <w:hideMark/>
          </w:tcPr>
          <w:p w14:paraId="03A6C4F5" w14:textId="77777777" w:rsidR="00D15E77" w:rsidRPr="00D15E77" w:rsidRDefault="00D15E77" w:rsidP="00D15E77">
            <w:r w:rsidRPr="00D15E77">
              <w:t>Format 1U (10 cm x 10 cm x 10 cm), compatible P-POD/</w:t>
            </w:r>
            <w:proofErr w:type="spellStart"/>
            <w:r w:rsidRPr="00D15E77">
              <w:t>Nanoracks</w:t>
            </w:r>
            <w:proofErr w:type="spellEnd"/>
          </w:p>
        </w:tc>
      </w:tr>
      <w:tr w:rsidR="00D15E77" w:rsidRPr="00D15E77" w14:paraId="0CB3231F" w14:textId="77777777" w:rsidTr="00D15E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BA579E" w14:textId="77777777" w:rsidR="00D15E77" w:rsidRPr="00D15E77" w:rsidRDefault="00D15E77" w:rsidP="00D15E77">
            <w:r w:rsidRPr="00D15E77">
              <w:rPr>
                <w:b/>
                <w:bCs/>
              </w:rPr>
              <w:t>Alimentation (EPS)</w:t>
            </w:r>
          </w:p>
        </w:tc>
        <w:tc>
          <w:tcPr>
            <w:tcW w:w="0" w:type="auto"/>
            <w:vAlign w:val="center"/>
            <w:hideMark/>
          </w:tcPr>
          <w:p w14:paraId="06BFF1FD" w14:textId="77777777" w:rsidR="00D15E77" w:rsidRPr="00D15E77" w:rsidRDefault="00D15E77" w:rsidP="00D15E77">
            <w:pPr>
              <w:rPr>
                <w:lang w:val="fr-FR"/>
              </w:rPr>
            </w:pPr>
            <w:r w:rsidRPr="00D15E77">
              <w:rPr>
                <w:lang w:val="fr-FR"/>
              </w:rPr>
              <w:t>2 panneaux solaires (fixes ou déployables), batterie Li-ion (10-20 Wh)</w:t>
            </w:r>
          </w:p>
        </w:tc>
      </w:tr>
      <w:tr w:rsidR="00D15E77" w:rsidRPr="00D15E77" w14:paraId="627903DD" w14:textId="77777777" w:rsidTr="00D15E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57162E" w14:textId="77777777" w:rsidR="00D15E77" w:rsidRPr="00D15E77" w:rsidRDefault="00D15E77" w:rsidP="00D15E77">
            <w:proofErr w:type="spellStart"/>
            <w:r w:rsidRPr="00D15E77">
              <w:rPr>
                <w:b/>
                <w:bCs/>
              </w:rPr>
              <w:t>Contrôle</w:t>
            </w:r>
            <w:proofErr w:type="spellEnd"/>
            <w:r w:rsidRPr="00D15E77">
              <w:rPr>
                <w:b/>
                <w:bCs/>
              </w:rPr>
              <w:t xml:space="preserve"> </w:t>
            </w:r>
            <w:proofErr w:type="spellStart"/>
            <w:r w:rsidRPr="00D15E77">
              <w:rPr>
                <w:b/>
                <w:bCs/>
              </w:rPr>
              <w:t>thermique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AFACC35" w14:textId="77777777" w:rsidR="00D15E77" w:rsidRPr="00D15E77" w:rsidRDefault="00D15E77" w:rsidP="00D15E77">
            <w:proofErr w:type="spellStart"/>
            <w:r w:rsidRPr="00D15E77">
              <w:t>Revêtement</w:t>
            </w:r>
            <w:proofErr w:type="spellEnd"/>
            <w:r w:rsidRPr="00D15E77">
              <w:t xml:space="preserve"> MLI + </w:t>
            </w:r>
            <w:proofErr w:type="spellStart"/>
            <w:r w:rsidRPr="00D15E77">
              <w:t>régulation</w:t>
            </w:r>
            <w:proofErr w:type="spellEnd"/>
            <w:r w:rsidRPr="00D15E77">
              <w:t xml:space="preserve"> passive</w:t>
            </w:r>
          </w:p>
        </w:tc>
      </w:tr>
      <w:tr w:rsidR="00D15E77" w:rsidRPr="00D15E77" w14:paraId="4254CCEE" w14:textId="77777777" w:rsidTr="00D15E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9623BA" w14:textId="77777777" w:rsidR="00D15E77" w:rsidRPr="00D15E77" w:rsidRDefault="00D15E77" w:rsidP="00D15E77">
            <w:r w:rsidRPr="00D15E77">
              <w:rPr>
                <w:b/>
                <w:bCs/>
              </w:rPr>
              <w:t>OBC (On-Board Computer)</w:t>
            </w:r>
          </w:p>
        </w:tc>
        <w:tc>
          <w:tcPr>
            <w:tcW w:w="0" w:type="auto"/>
            <w:vAlign w:val="center"/>
            <w:hideMark/>
          </w:tcPr>
          <w:p w14:paraId="35E58CBC" w14:textId="77777777" w:rsidR="00D15E77" w:rsidRPr="00D15E77" w:rsidRDefault="00D15E77" w:rsidP="00D15E77">
            <w:pPr>
              <w:rPr>
                <w:lang w:val="fr-FR"/>
              </w:rPr>
            </w:pPr>
            <w:r w:rsidRPr="00D15E77">
              <w:rPr>
                <w:lang w:val="fr-FR"/>
              </w:rPr>
              <w:t>Microcontrôleur basse consommation (</w:t>
            </w:r>
            <w:proofErr w:type="spellStart"/>
            <w:r w:rsidRPr="00D15E77">
              <w:rPr>
                <w:lang w:val="fr-FR"/>
              </w:rPr>
              <w:t>Cubesat</w:t>
            </w:r>
            <w:proofErr w:type="spellEnd"/>
            <w:r w:rsidRPr="00D15E77">
              <w:rPr>
                <w:lang w:val="fr-FR"/>
              </w:rPr>
              <w:t xml:space="preserve"> Kit, ISIS, etc.)</w:t>
            </w:r>
          </w:p>
        </w:tc>
      </w:tr>
      <w:tr w:rsidR="00D15E77" w:rsidRPr="00D15E77" w14:paraId="53FD54E6" w14:textId="77777777" w:rsidTr="00D15E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46AEFC" w14:textId="77777777" w:rsidR="00D15E77" w:rsidRPr="00D15E77" w:rsidRDefault="00D15E77" w:rsidP="00D15E77">
            <w:r w:rsidRPr="00D15E77">
              <w:rPr>
                <w:b/>
                <w:bCs/>
              </w:rPr>
              <w:t>ADCS (</w:t>
            </w:r>
            <w:proofErr w:type="spellStart"/>
            <w:r w:rsidRPr="00D15E77">
              <w:rPr>
                <w:b/>
                <w:bCs/>
              </w:rPr>
              <w:t>Contrôle</w:t>
            </w:r>
            <w:proofErr w:type="spellEnd"/>
            <w:r w:rsidRPr="00D15E77">
              <w:rPr>
                <w:b/>
                <w:bCs/>
              </w:rPr>
              <w:t xml:space="preserve"> </w:t>
            </w:r>
            <w:proofErr w:type="spellStart"/>
            <w:r w:rsidRPr="00D15E77">
              <w:rPr>
                <w:b/>
                <w:bCs/>
              </w:rPr>
              <w:t>d’attitude</w:t>
            </w:r>
            <w:proofErr w:type="spellEnd"/>
            <w:r w:rsidRPr="00D15E77">
              <w:rPr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14B3E24D" w14:textId="77777777" w:rsidR="00D15E77" w:rsidRPr="00D15E77" w:rsidRDefault="00D15E77" w:rsidP="00D15E77">
            <w:pPr>
              <w:rPr>
                <w:lang w:val="fr-FR"/>
              </w:rPr>
            </w:pPr>
            <w:r w:rsidRPr="00D15E77">
              <w:rPr>
                <w:lang w:val="fr-FR"/>
              </w:rPr>
              <w:t xml:space="preserve">Stabilisation par gradient de gravité ou </w:t>
            </w:r>
            <w:proofErr w:type="spellStart"/>
            <w:r w:rsidRPr="00D15E77">
              <w:rPr>
                <w:lang w:val="fr-FR"/>
              </w:rPr>
              <w:t>magnétorquers</w:t>
            </w:r>
            <w:proofErr w:type="spellEnd"/>
          </w:p>
        </w:tc>
      </w:tr>
      <w:tr w:rsidR="00D15E77" w:rsidRPr="00D15E77" w14:paraId="6E1821F3" w14:textId="77777777" w:rsidTr="00D15E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AEECD9" w14:textId="77777777" w:rsidR="00D15E77" w:rsidRPr="00D15E77" w:rsidRDefault="00D15E77" w:rsidP="00D15E77">
            <w:r w:rsidRPr="00D15E77">
              <w:rPr>
                <w:b/>
                <w:bCs/>
              </w:rPr>
              <w:t>Charge utile</w:t>
            </w:r>
          </w:p>
        </w:tc>
        <w:tc>
          <w:tcPr>
            <w:tcW w:w="0" w:type="auto"/>
            <w:vAlign w:val="center"/>
            <w:hideMark/>
          </w:tcPr>
          <w:p w14:paraId="29C10CE3" w14:textId="77777777" w:rsidR="00D15E77" w:rsidRPr="00D15E77" w:rsidRDefault="00D15E77" w:rsidP="00D15E77">
            <w:pPr>
              <w:rPr>
                <w:lang w:val="fr-FR"/>
              </w:rPr>
            </w:pPr>
            <w:r w:rsidRPr="00D15E77">
              <w:rPr>
                <w:lang w:val="fr-FR"/>
              </w:rPr>
              <w:t>Émetteur-récepteur SDR, antennes pliables (dipôle, patch)</w:t>
            </w:r>
          </w:p>
        </w:tc>
      </w:tr>
      <w:tr w:rsidR="00D15E77" w:rsidRPr="00D15E77" w14:paraId="709E5D18" w14:textId="77777777" w:rsidTr="00D15E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DB5E0A" w14:textId="77777777" w:rsidR="00D15E77" w:rsidRPr="00D15E77" w:rsidRDefault="00D15E77" w:rsidP="00D15E77">
            <w:r w:rsidRPr="00D15E77">
              <w:rPr>
                <w:b/>
                <w:bCs/>
              </w:rPr>
              <w:t>Communication</w:t>
            </w:r>
          </w:p>
        </w:tc>
        <w:tc>
          <w:tcPr>
            <w:tcW w:w="0" w:type="auto"/>
            <w:vAlign w:val="center"/>
            <w:hideMark/>
          </w:tcPr>
          <w:p w14:paraId="30B37BBA" w14:textId="77777777" w:rsidR="00D15E77" w:rsidRPr="00D15E77" w:rsidRDefault="00D15E77" w:rsidP="00D15E77">
            <w:pPr>
              <w:rPr>
                <w:lang w:val="fr-FR"/>
              </w:rPr>
            </w:pPr>
            <w:r w:rsidRPr="00D15E77">
              <w:rPr>
                <w:lang w:val="fr-FR"/>
              </w:rPr>
              <w:t>Modulation BPSK/QPSK, protocole CCSDS ou AX.25, débit ajustable</w:t>
            </w:r>
          </w:p>
        </w:tc>
      </w:tr>
      <w:tr w:rsidR="00D15E77" w:rsidRPr="00D15E77" w14:paraId="5361DEE7" w14:textId="77777777" w:rsidTr="00D15E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664959" w14:textId="77777777" w:rsidR="00D15E77" w:rsidRPr="00D15E77" w:rsidRDefault="00D15E77" w:rsidP="00D15E77">
            <w:r w:rsidRPr="00D15E77">
              <w:rPr>
                <w:b/>
                <w:bCs/>
              </w:rPr>
              <w:lastRenderedPageBreak/>
              <w:t>Propulsion (</w:t>
            </w:r>
            <w:proofErr w:type="spellStart"/>
            <w:r w:rsidRPr="00D15E77">
              <w:rPr>
                <w:b/>
                <w:bCs/>
              </w:rPr>
              <w:t>optionnelle</w:t>
            </w:r>
            <w:proofErr w:type="spellEnd"/>
            <w:r w:rsidRPr="00D15E77">
              <w:rPr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1D1896E7" w14:textId="77777777" w:rsidR="00D15E77" w:rsidRPr="00D15E77" w:rsidRDefault="00D15E77" w:rsidP="00D15E77">
            <w:pPr>
              <w:rPr>
                <w:lang w:val="fr-FR"/>
              </w:rPr>
            </w:pPr>
            <w:r w:rsidRPr="00D15E77">
              <w:rPr>
                <w:lang w:val="fr-FR"/>
              </w:rPr>
              <w:t>Aucune, désorbitation naturelle (conforme ISO 24113)</w:t>
            </w:r>
          </w:p>
        </w:tc>
      </w:tr>
    </w:tbl>
    <w:p w14:paraId="6CB12C97" w14:textId="77777777" w:rsidR="00D15E77" w:rsidRPr="00D15E77" w:rsidRDefault="00D15E77" w:rsidP="00D15E77">
      <w:r w:rsidRPr="00D15E77">
        <w:pict w14:anchorId="0EB8665E">
          <v:rect id="_x0000_i1070" style="width:0;height:1.5pt" o:hralign="center" o:hrstd="t" o:hr="t" fillcolor="#a0a0a0" stroked="f"/>
        </w:pict>
      </w:r>
    </w:p>
    <w:p w14:paraId="6408938A" w14:textId="77777777" w:rsidR="00D15E77" w:rsidRPr="00D15E77" w:rsidRDefault="00D15E77" w:rsidP="00D15E77">
      <w:pPr>
        <w:rPr>
          <w:b/>
          <w:bCs/>
          <w:lang w:val="fr-FR"/>
        </w:rPr>
      </w:pPr>
      <w:r w:rsidRPr="00D15E77">
        <w:rPr>
          <w:b/>
          <w:bCs/>
          <w:lang w:val="fr-FR"/>
        </w:rPr>
        <w:t>B. Budget de liaison (Link Budget)</w:t>
      </w:r>
    </w:p>
    <w:p w14:paraId="38110A8C" w14:textId="77777777" w:rsidR="00D15E77" w:rsidRPr="00D15E77" w:rsidRDefault="00D15E77" w:rsidP="00D15E77">
      <w:pPr>
        <w:rPr>
          <w:lang w:val="fr-FR"/>
        </w:rPr>
      </w:pPr>
      <w:r w:rsidRPr="00D15E77">
        <w:rPr>
          <w:lang w:val="fr-FR"/>
        </w:rPr>
        <w:t xml:space="preserve">Une analyse du </w:t>
      </w:r>
      <w:r w:rsidRPr="00D15E77">
        <w:rPr>
          <w:b/>
          <w:bCs/>
          <w:lang w:val="fr-FR"/>
        </w:rPr>
        <w:t>budget de liaison</w:t>
      </w:r>
      <w:r w:rsidRPr="00D15E77">
        <w:rPr>
          <w:lang w:val="fr-FR"/>
        </w:rPr>
        <w:t xml:space="preserve"> est essentielle pour garantir une </w:t>
      </w:r>
      <w:r w:rsidRPr="00D15E77">
        <w:rPr>
          <w:b/>
          <w:bCs/>
          <w:lang w:val="fr-FR"/>
        </w:rPr>
        <w:t>transmission fiable</w:t>
      </w:r>
      <w:r w:rsidRPr="00D15E77">
        <w:rPr>
          <w:lang w:val="fr-FR"/>
        </w:rPr>
        <w:t xml:space="preserve"> des données vers la station sol.</w:t>
      </w:r>
    </w:p>
    <w:p w14:paraId="00CE688B" w14:textId="77777777" w:rsidR="00D15E77" w:rsidRPr="00D15E77" w:rsidRDefault="00D15E77" w:rsidP="00D15E77">
      <w:pPr>
        <w:rPr>
          <w:b/>
          <w:bCs/>
        </w:rPr>
      </w:pPr>
      <w:proofErr w:type="spellStart"/>
      <w:r w:rsidRPr="00D15E77">
        <w:rPr>
          <w:b/>
          <w:bCs/>
        </w:rPr>
        <w:t>Hypothèses</w:t>
      </w:r>
      <w:proofErr w:type="spellEnd"/>
      <w:r w:rsidRPr="00D15E77">
        <w:rPr>
          <w:b/>
          <w:bCs/>
        </w:rPr>
        <w:t xml:space="preserve"> de </w:t>
      </w:r>
      <w:proofErr w:type="spellStart"/>
      <w:proofErr w:type="gramStart"/>
      <w:r w:rsidRPr="00D15E77">
        <w:rPr>
          <w:b/>
          <w:bCs/>
        </w:rPr>
        <w:t>calcul</w:t>
      </w:r>
      <w:proofErr w:type="spellEnd"/>
      <w:r w:rsidRPr="00D15E77">
        <w:rPr>
          <w:b/>
          <w:bCs/>
        </w:rPr>
        <w:t xml:space="preserve"> :</w:t>
      </w:r>
      <w:proofErr w:type="gramEnd"/>
    </w:p>
    <w:p w14:paraId="098D3B25" w14:textId="77777777" w:rsidR="00D15E77" w:rsidRPr="00D15E77" w:rsidRDefault="00D15E77" w:rsidP="00D15E77">
      <w:pPr>
        <w:numPr>
          <w:ilvl w:val="0"/>
          <w:numId w:val="1"/>
        </w:numPr>
      </w:pPr>
      <w:proofErr w:type="spellStart"/>
      <w:proofErr w:type="gramStart"/>
      <w:r w:rsidRPr="00D15E77">
        <w:rPr>
          <w:b/>
          <w:bCs/>
        </w:rPr>
        <w:t>Fréquence</w:t>
      </w:r>
      <w:proofErr w:type="spellEnd"/>
      <w:r w:rsidRPr="00D15E77">
        <w:t xml:space="preserve"> :</w:t>
      </w:r>
      <w:proofErr w:type="gramEnd"/>
      <w:r w:rsidRPr="00D15E77">
        <w:t xml:space="preserve"> UHF (435 MHz) </w:t>
      </w:r>
      <w:proofErr w:type="spellStart"/>
      <w:r w:rsidRPr="00D15E77">
        <w:t>ou</w:t>
      </w:r>
      <w:proofErr w:type="spellEnd"/>
      <w:r w:rsidRPr="00D15E77">
        <w:t xml:space="preserve"> S-band (2.2 GHz).</w:t>
      </w:r>
    </w:p>
    <w:p w14:paraId="0A22B916" w14:textId="77777777" w:rsidR="00D15E77" w:rsidRPr="00D15E77" w:rsidRDefault="00D15E77" w:rsidP="00D15E77">
      <w:pPr>
        <w:numPr>
          <w:ilvl w:val="0"/>
          <w:numId w:val="1"/>
        </w:numPr>
      </w:pPr>
      <w:r w:rsidRPr="00D15E77">
        <w:rPr>
          <w:b/>
          <w:bCs/>
        </w:rPr>
        <w:t xml:space="preserve">Puissance </w:t>
      </w:r>
      <w:proofErr w:type="spellStart"/>
      <w:proofErr w:type="gramStart"/>
      <w:r w:rsidRPr="00D15E77">
        <w:rPr>
          <w:b/>
          <w:bCs/>
        </w:rPr>
        <w:t>d’émission</w:t>
      </w:r>
      <w:proofErr w:type="spellEnd"/>
      <w:r w:rsidRPr="00D15E77">
        <w:t xml:space="preserve"> :</w:t>
      </w:r>
      <w:proofErr w:type="gramEnd"/>
      <w:r w:rsidRPr="00D15E77">
        <w:t xml:space="preserve"> 1-2 W.</w:t>
      </w:r>
    </w:p>
    <w:p w14:paraId="71233A46" w14:textId="77777777" w:rsidR="00D15E77" w:rsidRPr="00D15E77" w:rsidRDefault="00D15E77" w:rsidP="00D15E77">
      <w:pPr>
        <w:numPr>
          <w:ilvl w:val="0"/>
          <w:numId w:val="1"/>
        </w:numPr>
        <w:rPr>
          <w:lang w:val="fr-FR"/>
        </w:rPr>
      </w:pPr>
      <w:r w:rsidRPr="00D15E77">
        <w:rPr>
          <w:b/>
          <w:bCs/>
          <w:lang w:val="fr-FR"/>
        </w:rPr>
        <w:t>Antenne à bord</w:t>
      </w:r>
      <w:r w:rsidRPr="00D15E77">
        <w:rPr>
          <w:lang w:val="fr-FR"/>
        </w:rPr>
        <w:t xml:space="preserve"> : Gain de 0-5 </w:t>
      </w:r>
      <w:proofErr w:type="spellStart"/>
      <w:r w:rsidRPr="00D15E77">
        <w:rPr>
          <w:lang w:val="fr-FR"/>
        </w:rPr>
        <w:t>dBi</w:t>
      </w:r>
      <w:proofErr w:type="spellEnd"/>
      <w:r w:rsidRPr="00D15E77">
        <w:rPr>
          <w:lang w:val="fr-FR"/>
        </w:rPr>
        <w:t xml:space="preserve"> selon le design.</w:t>
      </w:r>
    </w:p>
    <w:p w14:paraId="6F7F773E" w14:textId="77777777" w:rsidR="00D15E77" w:rsidRPr="00D15E77" w:rsidRDefault="00D15E77" w:rsidP="00D15E77">
      <w:pPr>
        <w:numPr>
          <w:ilvl w:val="0"/>
          <w:numId w:val="1"/>
        </w:numPr>
        <w:rPr>
          <w:lang w:val="fr-FR"/>
        </w:rPr>
      </w:pPr>
      <w:r w:rsidRPr="00D15E77">
        <w:rPr>
          <w:b/>
          <w:bCs/>
          <w:lang w:val="fr-FR"/>
        </w:rPr>
        <w:t>Antenne sol</w:t>
      </w:r>
      <w:r w:rsidRPr="00D15E77">
        <w:rPr>
          <w:lang w:val="fr-FR"/>
        </w:rPr>
        <w:t xml:space="preserve"> : Gain de 10-20 </w:t>
      </w:r>
      <w:proofErr w:type="spellStart"/>
      <w:r w:rsidRPr="00D15E77">
        <w:rPr>
          <w:lang w:val="fr-FR"/>
        </w:rPr>
        <w:t>dBi</w:t>
      </w:r>
      <w:proofErr w:type="spellEnd"/>
      <w:r w:rsidRPr="00D15E77">
        <w:rPr>
          <w:lang w:val="fr-FR"/>
        </w:rPr>
        <w:t xml:space="preserve"> selon la station.</w:t>
      </w:r>
    </w:p>
    <w:p w14:paraId="080E65A9" w14:textId="77777777" w:rsidR="00D15E77" w:rsidRPr="00D15E77" w:rsidRDefault="00D15E77" w:rsidP="00D15E77">
      <w:pPr>
        <w:numPr>
          <w:ilvl w:val="0"/>
          <w:numId w:val="1"/>
        </w:numPr>
        <w:rPr>
          <w:lang w:val="fr-FR"/>
        </w:rPr>
      </w:pPr>
      <w:r w:rsidRPr="00D15E77">
        <w:rPr>
          <w:b/>
          <w:bCs/>
          <w:lang w:val="fr-FR"/>
        </w:rPr>
        <w:t>Perte de propagation (free-</w:t>
      </w:r>
      <w:proofErr w:type="spellStart"/>
      <w:r w:rsidRPr="00D15E77">
        <w:rPr>
          <w:b/>
          <w:bCs/>
          <w:lang w:val="fr-FR"/>
        </w:rPr>
        <w:t>space</w:t>
      </w:r>
      <w:proofErr w:type="spellEnd"/>
      <w:r w:rsidRPr="00D15E77">
        <w:rPr>
          <w:b/>
          <w:bCs/>
          <w:lang w:val="fr-FR"/>
        </w:rPr>
        <w:t xml:space="preserve"> </w:t>
      </w:r>
      <w:proofErr w:type="spellStart"/>
      <w:r w:rsidRPr="00D15E77">
        <w:rPr>
          <w:b/>
          <w:bCs/>
          <w:lang w:val="fr-FR"/>
        </w:rPr>
        <w:t>loss</w:t>
      </w:r>
      <w:proofErr w:type="spellEnd"/>
      <w:r w:rsidRPr="00D15E77">
        <w:rPr>
          <w:b/>
          <w:bCs/>
          <w:lang w:val="fr-FR"/>
        </w:rPr>
        <w:t>)</w:t>
      </w:r>
      <w:r w:rsidRPr="00D15E77">
        <w:rPr>
          <w:lang w:val="fr-FR"/>
        </w:rPr>
        <w:t xml:space="preserve"> : Dépend de l’altitude et de la fréquence.</w:t>
      </w:r>
    </w:p>
    <w:p w14:paraId="2B5EB9AC" w14:textId="77777777" w:rsidR="00D15E77" w:rsidRPr="00D15E77" w:rsidRDefault="00D15E77" w:rsidP="00D15E77">
      <w:pPr>
        <w:rPr>
          <w:lang w:val="fr-FR"/>
        </w:rPr>
      </w:pPr>
      <w:r w:rsidRPr="00D15E77">
        <w:rPr>
          <w:rFonts w:ascii="Segoe UI Emoji" w:hAnsi="Segoe UI Emoji" w:cs="Segoe UI Emoji"/>
        </w:rPr>
        <w:t>🔹</w:t>
      </w:r>
      <w:r w:rsidRPr="00D15E77">
        <w:rPr>
          <w:lang w:val="fr-FR"/>
        </w:rPr>
        <w:t xml:space="preserve"> </w:t>
      </w:r>
      <w:r w:rsidRPr="00D15E77">
        <w:rPr>
          <w:b/>
          <w:bCs/>
          <w:lang w:val="fr-FR"/>
        </w:rPr>
        <w:t xml:space="preserve">Résultat </w:t>
      </w:r>
      <w:proofErr w:type="gramStart"/>
      <w:r w:rsidRPr="00D15E77">
        <w:rPr>
          <w:b/>
          <w:bCs/>
          <w:lang w:val="fr-FR"/>
        </w:rPr>
        <w:t>attendu :</w:t>
      </w:r>
      <w:proofErr w:type="gramEnd"/>
      <w:r w:rsidRPr="00D15E77">
        <w:rPr>
          <w:lang w:val="fr-FR"/>
        </w:rPr>
        <w:t xml:space="preserve"> La marge de liaison (Link </w:t>
      </w:r>
      <w:proofErr w:type="spellStart"/>
      <w:r w:rsidRPr="00D15E77">
        <w:rPr>
          <w:lang w:val="fr-FR"/>
        </w:rPr>
        <w:t>Margin</w:t>
      </w:r>
      <w:proofErr w:type="spellEnd"/>
      <w:r w:rsidRPr="00D15E77">
        <w:rPr>
          <w:lang w:val="fr-FR"/>
        </w:rPr>
        <w:t xml:space="preserve">) doit être </w:t>
      </w:r>
      <w:r w:rsidRPr="00D15E77">
        <w:rPr>
          <w:b/>
          <w:bCs/>
          <w:lang w:val="fr-FR"/>
        </w:rPr>
        <w:t>supérieure à 3 dB</w:t>
      </w:r>
      <w:r w:rsidRPr="00D15E77">
        <w:rPr>
          <w:lang w:val="fr-FR"/>
        </w:rPr>
        <w:t xml:space="preserve"> pour assurer une transmission robuste.</w:t>
      </w:r>
    </w:p>
    <w:p w14:paraId="6C05B494" w14:textId="77777777" w:rsidR="00D15E77" w:rsidRPr="00D15E77" w:rsidRDefault="00D15E77" w:rsidP="00D15E77">
      <w:r w:rsidRPr="00D15E77">
        <w:pict w14:anchorId="533BD5C0">
          <v:rect id="_x0000_i1071" style="width:0;height:1.5pt" o:hralign="center" o:hrstd="t" o:hr="t" fillcolor="#a0a0a0" stroked="f"/>
        </w:pict>
      </w:r>
    </w:p>
    <w:p w14:paraId="31ED7B57" w14:textId="77777777" w:rsidR="00D15E77" w:rsidRPr="00D15E77" w:rsidRDefault="00D15E77" w:rsidP="00D15E77">
      <w:pPr>
        <w:rPr>
          <w:b/>
          <w:bCs/>
          <w:lang w:val="fr-FR"/>
        </w:rPr>
      </w:pPr>
      <w:r w:rsidRPr="00D15E77">
        <w:rPr>
          <w:b/>
          <w:bCs/>
          <w:lang w:val="fr-FR"/>
        </w:rPr>
        <w:t>C. Plan de mission et opérations</w:t>
      </w:r>
    </w:p>
    <w:p w14:paraId="7EA18FE5" w14:textId="77777777" w:rsidR="00D15E77" w:rsidRPr="00D15E77" w:rsidRDefault="00D15E77" w:rsidP="00D15E77">
      <w:pPr>
        <w:rPr>
          <w:lang w:val="fr-FR"/>
        </w:rPr>
      </w:pPr>
      <w:r w:rsidRPr="00D15E77">
        <w:rPr>
          <w:rFonts w:ascii="Segoe UI Emoji" w:hAnsi="Segoe UI Emoji" w:cs="Segoe UI Emoji"/>
        </w:rPr>
        <w:t>📍</w:t>
      </w:r>
      <w:r w:rsidRPr="00D15E77">
        <w:rPr>
          <w:lang w:val="fr-FR"/>
        </w:rPr>
        <w:t xml:space="preserve"> </w:t>
      </w:r>
      <w:r w:rsidRPr="00D15E77">
        <w:rPr>
          <w:b/>
          <w:bCs/>
          <w:lang w:val="fr-FR"/>
        </w:rPr>
        <w:t xml:space="preserve">Phases de la </w:t>
      </w:r>
      <w:proofErr w:type="gramStart"/>
      <w:r w:rsidRPr="00D15E77">
        <w:rPr>
          <w:b/>
          <w:bCs/>
          <w:lang w:val="fr-FR"/>
        </w:rPr>
        <w:t>mission :</w:t>
      </w:r>
      <w:proofErr w:type="gramEnd"/>
      <w:r w:rsidRPr="00D15E77">
        <w:rPr>
          <w:lang w:val="fr-FR"/>
        </w:rPr>
        <w:br/>
        <w:t>1</w:t>
      </w:r>
      <w:r w:rsidRPr="00D15E77">
        <w:t>️</w:t>
      </w:r>
      <w:r w:rsidRPr="00D15E77">
        <w:rPr>
          <w:rFonts w:ascii="Segoe UI Symbol" w:hAnsi="Segoe UI Symbol" w:cs="Segoe UI Symbol"/>
          <w:lang w:val="fr-FR"/>
        </w:rPr>
        <w:t>⃣</w:t>
      </w:r>
      <w:r w:rsidRPr="00D15E77">
        <w:rPr>
          <w:lang w:val="fr-FR"/>
        </w:rPr>
        <w:t xml:space="preserve"> </w:t>
      </w:r>
      <w:r w:rsidRPr="00D15E77">
        <w:rPr>
          <w:b/>
          <w:bCs/>
          <w:lang w:val="fr-FR"/>
        </w:rPr>
        <w:t>Lancement et déploiement</w:t>
      </w:r>
      <w:r w:rsidRPr="00D15E77">
        <w:rPr>
          <w:lang w:val="fr-FR"/>
        </w:rPr>
        <w:t xml:space="preserve"> : Intégration au </w:t>
      </w:r>
      <w:proofErr w:type="spellStart"/>
      <w:r w:rsidRPr="00D15E77">
        <w:rPr>
          <w:lang w:val="fr-FR"/>
        </w:rPr>
        <w:t>déployeur</w:t>
      </w:r>
      <w:proofErr w:type="spellEnd"/>
      <w:r w:rsidRPr="00D15E77">
        <w:rPr>
          <w:lang w:val="fr-FR"/>
        </w:rPr>
        <w:t xml:space="preserve"> (P-POD, </w:t>
      </w:r>
      <w:proofErr w:type="spellStart"/>
      <w:r w:rsidRPr="00D15E77">
        <w:rPr>
          <w:lang w:val="fr-FR"/>
        </w:rPr>
        <w:t>Nanoracks</w:t>
      </w:r>
      <w:proofErr w:type="spellEnd"/>
      <w:r w:rsidRPr="00D15E77">
        <w:rPr>
          <w:lang w:val="fr-FR"/>
        </w:rPr>
        <w:t>).</w:t>
      </w:r>
      <w:r w:rsidRPr="00D15E77">
        <w:rPr>
          <w:lang w:val="fr-FR"/>
        </w:rPr>
        <w:br/>
        <w:t>2</w:t>
      </w:r>
      <w:r w:rsidRPr="00D15E77">
        <w:t>️</w:t>
      </w:r>
      <w:r w:rsidRPr="00D15E77">
        <w:rPr>
          <w:rFonts w:ascii="Segoe UI Symbol" w:hAnsi="Segoe UI Symbol" w:cs="Segoe UI Symbol"/>
          <w:lang w:val="fr-FR"/>
        </w:rPr>
        <w:t>⃣</w:t>
      </w:r>
      <w:r w:rsidRPr="00D15E77">
        <w:rPr>
          <w:lang w:val="fr-FR"/>
        </w:rPr>
        <w:t xml:space="preserve"> </w:t>
      </w:r>
      <w:r w:rsidRPr="00D15E77">
        <w:rPr>
          <w:b/>
          <w:bCs/>
          <w:lang w:val="fr-FR"/>
        </w:rPr>
        <w:t>Phase de mise en service (Commissioning)</w:t>
      </w:r>
      <w:r w:rsidRPr="00D15E77">
        <w:rPr>
          <w:lang w:val="fr-FR"/>
        </w:rPr>
        <w:t xml:space="preserve"> : Vérification des sous-systèmes en orbite.</w:t>
      </w:r>
      <w:r w:rsidRPr="00D15E77">
        <w:rPr>
          <w:lang w:val="fr-FR"/>
        </w:rPr>
        <w:br/>
        <w:t>3</w:t>
      </w:r>
      <w:r w:rsidRPr="00D15E77">
        <w:t>️</w:t>
      </w:r>
      <w:r w:rsidRPr="00D15E77">
        <w:rPr>
          <w:rFonts w:ascii="Segoe UI Symbol" w:hAnsi="Segoe UI Symbol" w:cs="Segoe UI Symbol"/>
          <w:lang w:val="fr-FR"/>
        </w:rPr>
        <w:t>⃣</w:t>
      </w:r>
      <w:r w:rsidRPr="00D15E77">
        <w:rPr>
          <w:lang w:val="fr-FR"/>
        </w:rPr>
        <w:t xml:space="preserve"> </w:t>
      </w:r>
      <w:r w:rsidRPr="00D15E77">
        <w:rPr>
          <w:b/>
          <w:bCs/>
          <w:lang w:val="fr-FR"/>
        </w:rPr>
        <w:t>Opérations nominales</w:t>
      </w:r>
      <w:r w:rsidRPr="00D15E77">
        <w:rPr>
          <w:lang w:val="fr-FR"/>
        </w:rPr>
        <w:t xml:space="preserve"> : Transmission régulière des données, gestion de l’énergie.</w:t>
      </w:r>
      <w:r w:rsidRPr="00D15E77">
        <w:rPr>
          <w:lang w:val="fr-FR"/>
        </w:rPr>
        <w:br/>
        <w:t>4</w:t>
      </w:r>
      <w:r w:rsidRPr="00D15E77">
        <w:t>️</w:t>
      </w:r>
      <w:r w:rsidRPr="00D15E77">
        <w:rPr>
          <w:rFonts w:ascii="Segoe UI Symbol" w:hAnsi="Segoe UI Symbol" w:cs="Segoe UI Symbol"/>
          <w:lang w:val="fr-FR"/>
        </w:rPr>
        <w:t>⃣</w:t>
      </w:r>
      <w:r w:rsidRPr="00D15E77">
        <w:rPr>
          <w:lang w:val="fr-FR"/>
        </w:rPr>
        <w:t xml:space="preserve"> </w:t>
      </w:r>
      <w:r w:rsidRPr="00D15E77">
        <w:rPr>
          <w:b/>
          <w:bCs/>
          <w:lang w:val="fr-FR"/>
        </w:rPr>
        <w:t>Fin de mission</w:t>
      </w:r>
      <w:r w:rsidRPr="00D15E77">
        <w:rPr>
          <w:lang w:val="fr-FR"/>
        </w:rPr>
        <w:t xml:space="preserve"> : Désorbitation naturelle selon les normes spatiales.</w:t>
      </w:r>
    </w:p>
    <w:p w14:paraId="171A357C" w14:textId="77777777" w:rsidR="00D15E77" w:rsidRPr="00D15E77" w:rsidRDefault="00D15E77" w:rsidP="00D15E77">
      <w:r w:rsidRPr="00D15E77">
        <w:rPr>
          <w:rFonts w:ascii="Segoe UI Emoji" w:hAnsi="Segoe UI Emoji" w:cs="Segoe UI Emoji"/>
        </w:rPr>
        <w:t>📡</w:t>
      </w:r>
      <w:r w:rsidRPr="00D15E77">
        <w:t xml:space="preserve"> </w:t>
      </w:r>
      <w:r w:rsidRPr="00D15E77">
        <w:rPr>
          <w:b/>
          <w:bCs/>
        </w:rPr>
        <w:t xml:space="preserve">Stations sol </w:t>
      </w:r>
      <w:proofErr w:type="spellStart"/>
      <w:proofErr w:type="gramStart"/>
      <w:r w:rsidRPr="00D15E77">
        <w:rPr>
          <w:b/>
          <w:bCs/>
        </w:rPr>
        <w:t>envisagées</w:t>
      </w:r>
      <w:proofErr w:type="spellEnd"/>
      <w:r w:rsidRPr="00D15E77">
        <w:rPr>
          <w:b/>
          <w:bCs/>
        </w:rPr>
        <w:t xml:space="preserve"> :</w:t>
      </w:r>
      <w:proofErr w:type="gramEnd"/>
    </w:p>
    <w:p w14:paraId="6382A219" w14:textId="77777777" w:rsidR="00D15E77" w:rsidRPr="00D15E77" w:rsidRDefault="00D15E77" w:rsidP="00D15E77">
      <w:pPr>
        <w:numPr>
          <w:ilvl w:val="0"/>
          <w:numId w:val="2"/>
        </w:numPr>
        <w:rPr>
          <w:lang w:val="fr-FR"/>
        </w:rPr>
      </w:pPr>
      <w:r w:rsidRPr="00D15E77">
        <w:rPr>
          <w:lang w:val="fr-FR"/>
        </w:rPr>
        <w:t xml:space="preserve">Station universitaire ou radioamateur (ex : réseau </w:t>
      </w:r>
      <w:proofErr w:type="spellStart"/>
      <w:r w:rsidRPr="00D15E77">
        <w:rPr>
          <w:lang w:val="fr-FR"/>
        </w:rPr>
        <w:t>SatNOGS</w:t>
      </w:r>
      <w:proofErr w:type="spellEnd"/>
      <w:r w:rsidRPr="00D15E77">
        <w:rPr>
          <w:lang w:val="fr-FR"/>
        </w:rPr>
        <w:t>).</w:t>
      </w:r>
    </w:p>
    <w:p w14:paraId="259180EF" w14:textId="77777777" w:rsidR="00D15E77" w:rsidRPr="00D15E77" w:rsidRDefault="00D15E77" w:rsidP="00D15E77">
      <w:pPr>
        <w:numPr>
          <w:ilvl w:val="0"/>
          <w:numId w:val="2"/>
        </w:numPr>
        <w:rPr>
          <w:lang w:val="fr-FR"/>
        </w:rPr>
      </w:pPr>
      <w:r w:rsidRPr="00D15E77">
        <w:rPr>
          <w:lang w:val="fr-FR"/>
        </w:rPr>
        <w:t>Infrastructure de communication professionnelle si bande S/X.</w:t>
      </w:r>
    </w:p>
    <w:p w14:paraId="5A0C2139" w14:textId="77777777" w:rsidR="00D15E77" w:rsidRPr="00D15E77" w:rsidRDefault="00D15E77" w:rsidP="00D15E77">
      <w:r w:rsidRPr="00D15E77">
        <w:pict w14:anchorId="39840A08">
          <v:rect id="_x0000_i1072" style="width:0;height:1.5pt" o:hralign="center" o:hrstd="t" o:hr="t" fillcolor="#a0a0a0" stroked="f"/>
        </w:pict>
      </w:r>
    </w:p>
    <w:p w14:paraId="1E635DBA" w14:textId="77777777" w:rsidR="00D15E77" w:rsidRPr="00D15E77" w:rsidRDefault="00D15E77" w:rsidP="00D15E77">
      <w:pPr>
        <w:rPr>
          <w:b/>
          <w:bCs/>
          <w:lang w:val="fr-FR"/>
        </w:rPr>
      </w:pPr>
      <w:r w:rsidRPr="00D15E77">
        <w:rPr>
          <w:b/>
          <w:bCs/>
          <w:lang w:val="fr-FR"/>
        </w:rPr>
        <w:t>D. Analyse des risques et atténuation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8"/>
        <w:gridCol w:w="1958"/>
        <w:gridCol w:w="4560"/>
      </w:tblGrid>
      <w:tr w:rsidR="00D15E77" w:rsidRPr="00D15E77" w14:paraId="312B5E2D" w14:textId="77777777" w:rsidTr="00D15E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50F7020" w14:textId="77777777" w:rsidR="00D15E77" w:rsidRPr="00D15E77" w:rsidRDefault="00D15E77" w:rsidP="00D15E77">
            <w:pPr>
              <w:rPr>
                <w:b/>
                <w:bCs/>
              </w:rPr>
            </w:pPr>
            <w:r w:rsidRPr="00D15E77">
              <w:rPr>
                <w:b/>
                <w:bCs/>
              </w:rPr>
              <w:t>Risque</w:t>
            </w:r>
          </w:p>
        </w:tc>
        <w:tc>
          <w:tcPr>
            <w:tcW w:w="0" w:type="auto"/>
            <w:vAlign w:val="center"/>
            <w:hideMark/>
          </w:tcPr>
          <w:p w14:paraId="1C4D6760" w14:textId="77777777" w:rsidR="00D15E77" w:rsidRPr="00D15E77" w:rsidRDefault="00D15E77" w:rsidP="00D15E77">
            <w:pPr>
              <w:rPr>
                <w:b/>
                <w:bCs/>
              </w:rPr>
            </w:pPr>
            <w:r w:rsidRPr="00D15E77">
              <w:rPr>
                <w:b/>
                <w:bCs/>
              </w:rPr>
              <w:t>Impact</w:t>
            </w:r>
          </w:p>
        </w:tc>
        <w:tc>
          <w:tcPr>
            <w:tcW w:w="0" w:type="auto"/>
            <w:vAlign w:val="center"/>
            <w:hideMark/>
          </w:tcPr>
          <w:p w14:paraId="608388FE" w14:textId="77777777" w:rsidR="00D15E77" w:rsidRPr="00D15E77" w:rsidRDefault="00D15E77" w:rsidP="00D15E77">
            <w:pPr>
              <w:rPr>
                <w:b/>
                <w:bCs/>
              </w:rPr>
            </w:pPr>
            <w:proofErr w:type="spellStart"/>
            <w:r w:rsidRPr="00D15E77">
              <w:rPr>
                <w:b/>
                <w:bCs/>
              </w:rPr>
              <w:t>Stratégie</w:t>
            </w:r>
            <w:proofErr w:type="spellEnd"/>
            <w:r w:rsidRPr="00D15E77">
              <w:rPr>
                <w:b/>
                <w:bCs/>
              </w:rPr>
              <w:t xml:space="preserve"> </w:t>
            </w:r>
            <w:proofErr w:type="spellStart"/>
            <w:r w:rsidRPr="00D15E77">
              <w:rPr>
                <w:b/>
                <w:bCs/>
              </w:rPr>
              <w:t>d’atténuation</w:t>
            </w:r>
            <w:proofErr w:type="spellEnd"/>
          </w:p>
        </w:tc>
      </w:tr>
      <w:tr w:rsidR="00D15E77" w:rsidRPr="00D15E77" w14:paraId="680375C8" w14:textId="77777777" w:rsidTr="00D15E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C8BF62" w14:textId="77777777" w:rsidR="00D15E77" w:rsidRPr="00D15E77" w:rsidRDefault="00D15E77" w:rsidP="00D15E77">
            <w:proofErr w:type="spellStart"/>
            <w:r w:rsidRPr="00D15E77">
              <w:t>Défaillance</w:t>
            </w:r>
            <w:proofErr w:type="spellEnd"/>
            <w:r w:rsidRPr="00D15E77">
              <w:t xml:space="preserve"> des </w:t>
            </w:r>
            <w:proofErr w:type="spellStart"/>
            <w:r w:rsidRPr="00D15E77">
              <w:t>panneaux</w:t>
            </w:r>
            <w:proofErr w:type="spellEnd"/>
            <w:r w:rsidRPr="00D15E77">
              <w:t xml:space="preserve"> </w:t>
            </w:r>
            <w:proofErr w:type="spellStart"/>
            <w:r w:rsidRPr="00D15E77">
              <w:t>solaires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B63070B" w14:textId="77777777" w:rsidR="00D15E77" w:rsidRPr="00D15E77" w:rsidRDefault="00D15E77" w:rsidP="00D15E77">
            <w:r w:rsidRPr="00D15E77">
              <w:t xml:space="preserve">Perte </w:t>
            </w:r>
            <w:proofErr w:type="spellStart"/>
            <w:r w:rsidRPr="00D15E77">
              <w:t>d’énergie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111EED0" w14:textId="77777777" w:rsidR="00D15E77" w:rsidRPr="00D15E77" w:rsidRDefault="00D15E77" w:rsidP="00D15E77">
            <w:pPr>
              <w:rPr>
                <w:lang w:val="fr-FR"/>
              </w:rPr>
            </w:pPr>
            <w:r w:rsidRPr="00D15E77">
              <w:rPr>
                <w:lang w:val="fr-FR"/>
              </w:rPr>
              <w:t>Redondance des panneaux, gestion optimisée de la charge</w:t>
            </w:r>
          </w:p>
        </w:tc>
      </w:tr>
      <w:tr w:rsidR="00D15E77" w:rsidRPr="00D15E77" w14:paraId="4913661D" w14:textId="77777777" w:rsidTr="00D15E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CA59CA" w14:textId="77777777" w:rsidR="00D15E77" w:rsidRPr="00D15E77" w:rsidRDefault="00D15E77" w:rsidP="00D15E77">
            <w:proofErr w:type="spellStart"/>
            <w:r w:rsidRPr="00D15E77">
              <w:t>Problème</w:t>
            </w:r>
            <w:proofErr w:type="spellEnd"/>
            <w:r w:rsidRPr="00D15E77">
              <w:t xml:space="preserve"> de liaison radio</w:t>
            </w:r>
          </w:p>
        </w:tc>
        <w:tc>
          <w:tcPr>
            <w:tcW w:w="0" w:type="auto"/>
            <w:vAlign w:val="center"/>
            <w:hideMark/>
          </w:tcPr>
          <w:p w14:paraId="58E375F2" w14:textId="77777777" w:rsidR="00D15E77" w:rsidRPr="00D15E77" w:rsidRDefault="00D15E77" w:rsidP="00D15E77">
            <w:r w:rsidRPr="00D15E77">
              <w:t>Perte de communication</w:t>
            </w:r>
          </w:p>
        </w:tc>
        <w:tc>
          <w:tcPr>
            <w:tcW w:w="0" w:type="auto"/>
            <w:vAlign w:val="center"/>
            <w:hideMark/>
          </w:tcPr>
          <w:p w14:paraId="29309D68" w14:textId="77777777" w:rsidR="00D15E77" w:rsidRPr="00D15E77" w:rsidRDefault="00D15E77" w:rsidP="00D15E77">
            <w:pPr>
              <w:rPr>
                <w:lang w:val="fr-FR"/>
              </w:rPr>
            </w:pPr>
            <w:r w:rsidRPr="00D15E77">
              <w:rPr>
                <w:lang w:val="fr-FR"/>
              </w:rPr>
              <w:t>Ajustement du débit et de la puissance d’émission, diversité d’antennes</w:t>
            </w:r>
          </w:p>
        </w:tc>
      </w:tr>
      <w:tr w:rsidR="00D15E77" w:rsidRPr="00D15E77" w14:paraId="04F1F55E" w14:textId="77777777" w:rsidTr="00D15E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413D61" w14:textId="77777777" w:rsidR="00D15E77" w:rsidRPr="00D15E77" w:rsidRDefault="00D15E77" w:rsidP="00D15E77">
            <w:proofErr w:type="spellStart"/>
            <w:r w:rsidRPr="00D15E77">
              <w:lastRenderedPageBreak/>
              <w:t>Mauvaise</w:t>
            </w:r>
            <w:proofErr w:type="spellEnd"/>
            <w:r w:rsidRPr="00D15E77">
              <w:t xml:space="preserve"> orientation</w:t>
            </w:r>
          </w:p>
        </w:tc>
        <w:tc>
          <w:tcPr>
            <w:tcW w:w="0" w:type="auto"/>
            <w:vAlign w:val="center"/>
            <w:hideMark/>
          </w:tcPr>
          <w:p w14:paraId="49DC79B8" w14:textId="77777777" w:rsidR="00D15E77" w:rsidRPr="00D15E77" w:rsidRDefault="00D15E77" w:rsidP="00D15E77">
            <w:proofErr w:type="spellStart"/>
            <w:r w:rsidRPr="00D15E77">
              <w:t>Dégradation</w:t>
            </w:r>
            <w:proofErr w:type="spellEnd"/>
            <w:r w:rsidRPr="00D15E77">
              <w:t xml:space="preserve"> du signal</w:t>
            </w:r>
          </w:p>
        </w:tc>
        <w:tc>
          <w:tcPr>
            <w:tcW w:w="0" w:type="auto"/>
            <w:vAlign w:val="center"/>
            <w:hideMark/>
          </w:tcPr>
          <w:p w14:paraId="2A366CA0" w14:textId="77777777" w:rsidR="00D15E77" w:rsidRPr="00D15E77" w:rsidRDefault="00D15E77" w:rsidP="00D15E77">
            <w:pPr>
              <w:rPr>
                <w:lang w:val="fr-FR"/>
              </w:rPr>
            </w:pPr>
            <w:r w:rsidRPr="00D15E77">
              <w:rPr>
                <w:lang w:val="fr-FR"/>
              </w:rPr>
              <w:t>ADCS simplifié, algorithmes de pointage optimisés</w:t>
            </w:r>
          </w:p>
        </w:tc>
      </w:tr>
      <w:tr w:rsidR="00D15E77" w:rsidRPr="00D15E77" w14:paraId="7FB5105A" w14:textId="77777777" w:rsidTr="00D15E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5ED650" w14:textId="77777777" w:rsidR="00D15E77" w:rsidRPr="00D15E77" w:rsidRDefault="00D15E77" w:rsidP="00D15E77">
            <w:proofErr w:type="spellStart"/>
            <w:r w:rsidRPr="00D15E77">
              <w:t>Défaillance</w:t>
            </w:r>
            <w:proofErr w:type="spellEnd"/>
            <w:r w:rsidRPr="00D15E77">
              <w:t xml:space="preserve"> du </w:t>
            </w:r>
            <w:proofErr w:type="spellStart"/>
            <w:r w:rsidRPr="00D15E77">
              <w:t>microcontrôleur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E50999F" w14:textId="77777777" w:rsidR="00D15E77" w:rsidRPr="00D15E77" w:rsidRDefault="00D15E77" w:rsidP="00D15E77">
            <w:proofErr w:type="spellStart"/>
            <w:r w:rsidRPr="00D15E77">
              <w:t>Blocage</w:t>
            </w:r>
            <w:proofErr w:type="spellEnd"/>
            <w:r w:rsidRPr="00D15E77">
              <w:t xml:space="preserve"> des </w:t>
            </w:r>
            <w:proofErr w:type="spellStart"/>
            <w:r w:rsidRPr="00D15E77">
              <w:t>opérations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5224B71" w14:textId="77777777" w:rsidR="00D15E77" w:rsidRPr="00D15E77" w:rsidRDefault="00D15E77" w:rsidP="00D15E77">
            <w:pPr>
              <w:rPr>
                <w:lang w:val="fr-FR"/>
              </w:rPr>
            </w:pPr>
            <w:proofErr w:type="spellStart"/>
            <w:r w:rsidRPr="00D15E77">
              <w:rPr>
                <w:lang w:val="fr-FR"/>
              </w:rPr>
              <w:t>Watchdog</w:t>
            </w:r>
            <w:proofErr w:type="spellEnd"/>
            <w:r w:rsidRPr="00D15E77">
              <w:rPr>
                <w:lang w:val="fr-FR"/>
              </w:rPr>
              <w:t xml:space="preserve"> </w:t>
            </w:r>
            <w:proofErr w:type="spellStart"/>
            <w:r w:rsidRPr="00D15E77">
              <w:rPr>
                <w:lang w:val="fr-FR"/>
              </w:rPr>
              <w:t>Timer</w:t>
            </w:r>
            <w:proofErr w:type="spellEnd"/>
            <w:r w:rsidRPr="00D15E77">
              <w:rPr>
                <w:lang w:val="fr-FR"/>
              </w:rPr>
              <w:t>, mode de secours minimaliste</w:t>
            </w:r>
          </w:p>
        </w:tc>
      </w:tr>
    </w:tbl>
    <w:p w14:paraId="604158E2" w14:textId="77777777" w:rsidR="00D15E77" w:rsidRPr="00D15E77" w:rsidRDefault="00D15E77" w:rsidP="00D15E77">
      <w:r w:rsidRPr="00D15E77">
        <w:pict w14:anchorId="1981A23C">
          <v:rect id="_x0000_i1073" style="width:0;height:1.5pt" o:hralign="center" o:hrstd="t" o:hr="t" fillcolor="#a0a0a0" stroked="f"/>
        </w:pict>
      </w:r>
    </w:p>
    <w:p w14:paraId="45FBD09C" w14:textId="77777777" w:rsidR="00D15E77" w:rsidRPr="00D15E77" w:rsidRDefault="00D15E77" w:rsidP="00D15E77">
      <w:pPr>
        <w:rPr>
          <w:b/>
          <w:bCs/>
          <w:lang w:val="fr-FR"/>
        </w:rPr>
      </w:pPr>
      <w:r w:rsidRPr="00D15E77">
        <w:rPr>
          <w:b/>
          <w:bCs/>
          <w:lang w:val="fr-FR"/>
        </w:rPr>
        <w:t>4. Résultats attendus de la MDR</w:t>
      </w:r>
    </w:p>
    <w:p w14:paraId="687EC9D6" w14:textId="77777777" w:rsidR="00D15E77" w:rsidRPr="00D15E77" w:rsidRDefault="00D15E77" w:rsidP="00D15E77">
      <w:pPr>
        <w:rPr>
          <w:lang w:val="fr-FR"/>
        </w:rPr>
      </w:pPr>
      <w:r w:rsidRPr="00D15E77">
        <w:rPr>
          <w:rFonts w:ascii="Segoe UI Emoji" w:hAnsi="Segoe UI Emoji" w:cs="Segoe UI Emoji"/>
        </w:rPr>
        <w:t>📍</w:t>
      </w:r>
      <w:r w:rsidRPr="00D15E77">
        <w:rPr>
          <w:lang w:val="fr-FR"/>
        </w:rPr>
        <w:t xml:space="preserve"> </w:t>
      </w:r>
      <w:r w:rsidRPr="00D15E77">
        <w:rPr>
          <w:b/>
          <w:bCs/>
          <w:lang w:val="fr-FR"/>
        </w:rPr>
        <w:t xml:space="preserve">Décision finale après la </w:t>
      </w:r>
      <w:proofErr w:type="gramStart"/>
      <w:r w:rsidRPr="00D15E77">
        <w:rPr>
          <w:b/>
          <w:bCs/>
          <w:lang w:val="fr-FR"/>
        </w:rPr>
        <w:t>revue :</w:t>
      </w:r>
      <w:proofErr w:type="gramEnd"/>
      <w:r w:rsidRPr="00D15E77">
        <w:rPr>
          <w:lang w:val="fr-FR"/>
        </w:rPr>
        <w:br/>
      </w:r>
      <w:r w:rsidRPr="00D15E77">
        <w:rPr>
          <w:rFonts w:ascii="Segoe UI Emoji" w:hAnsi="Segoe UI Emoji" w:cs="Segoe UI Emoji"/>
        </w:rPr>
        <w:t>🔄</w:t>
      </w:r>
      <w:r w:rsidRPr="00D15E77">
        <w:rPr>
          <w:lang w:val="fr-FR"/>
        </w:rPr>
        <w:t xml:space="preserve"> </w:t>
      </w:r>
      <w:r w:rsidRPr="00D15E77">
        <w:rPr>
          <w:b/>
          <w:bCs/>
          <w:lang w:val="fr-FR"/>
        </w:rPr>
        <w:t>Affinement de la conception si des incohérences sont identifiées</w:t>
      </w:r>
      <w:r w:rsidRPr="00D15E77">
        <w:rPr>
          <w:lang w:val="fr-FR"/>
        </w:rPr>
        <w:t>.</w:t>
      </w:r>
      <w:r w:rsidRPr="00D15E77">
        <w:rPr>
          <w:lang w:val="fr-FR"/>
        </w:rPr>
        <w:br/>
      </w:r>
      <w:r w:rsidRPr="00D15E77">
        <w:rPr>
          <w:rFonts w:ascii="Segoe UI Emoji" w:hAnsi="Segoe UI Emoji" w:cs="Segoe UI Emoji"/>
          <w:lang w:val="fr-FR"/>
        </w:rPr>
        <w:t>✅</w:t>
      </w:r>
      <w:r w:rsidRPr="00D15E77">
        <w:rPr>
          <w:lang w:val="fr-FR"/>
        </w:rPr>
        <w:t xml:space="preserve"> </w:t>
      </w:r>
      <w:r w:rsidRPr="00D15E77">
        <w:rPr>
          <w:b/>
          <w:bCs/>
          <w:lang w:val="fr-FR"/>
        </w:rPr>
        <w:t>Validation du concept et passage à la Phase B pour détailler la conception préliminaire</w:t>
      </w:r>
      <w:r w:rsidRPr="00D15E77">
        <w:rPr>
          <w:lang w:val="fr-FR"/>
        </w:rPr>
        <w:t>.</w:t>
      </w:r>
    </w:p>
    <w:p w14:paraId="6311F66C" w14:textId="77777777" w:rsidR="00D15E77" w:rsidRPr="00D15E77" w:rsidRDefault="00D15E77" w:rsidP="00D15E77">
      <w:pPr>
        <w:rPr>
          <w:b/>
          <w:bCs/>
          <w:lang w:val="fr-FR"/>
        </w:rPr>
      </w:pPr>
      <w:r w:rsidRPr="00D15E77">
        <w:rPr>
          <w:b/>
          <w:bCs/>
          <w:lang w:val="fr-FR"/>
        </w:rPr>
        <w:t>Conclusion</w:t>
      </w:r>
    </w:p>
    <w:p w14:paraId="43278BB7" w14:textId="77777777" w:rsidR="00D15E77" w:rsidRPr="00D15E77" w:rsidRDefault="00D15E77" w:rsidP="00D15E77">
      <w:r w:rsidRPr="00D15E77">
        <w:rPr>
          <w:lang w:val="fr-FR"/>
        </w:rPr>
        <w:t xml:space="preserve">La </w:t>
      </w:r>
      <w:r w:rsidRPr="00D15E77">
        <w:rPr>
          <w:b/>
          <w:bCs/>
          <w:lang w:val="fr-FR"/>
        </w:rPr>
        <w:t>MDR est un jalon critique</w:t>
      </w:r>
      <w:r w:rsidRPr="00D15E77">
        <w:rPr>
          <w:lang w:val="fr-FR"/>
        </w:rPr>
        <w:t xml:space="preserve"> qui permet de valider la cohérence du </w:t>
      </w:r>
      <w:proofErr w:type="spellStart"/>
      <w:r w:rsidRPr="00D15E77">
        <w:rPr>
          <w:lang w:val="fr-FR"/>
        </w:rPr>
        <w:t>CubeSat</w:t>
      </w:r>
      <w:proofErr w:type="spellEnd"/>
      <w:r w:rsidRPr="00D15E77">
        <w:rPr>
          <w:lang w:val="fr-FR"/>
        </w:rPr>
        <w:t xml:space="preserve"> avant de plonger dans le développement détaillé. Elle s’assure que la conception actuelle peut répondre aux objectifs de la mission et respecte les contraintes techniques, réglementaires et opérationnelles. </w:t>
      </w:r>
      <w:r w:rsidRPr="00D15E77">
        <w:rPr>
          <w:rFonts w:ascii="Segoe UI Emoji" w:hAnsi="Segoe UI Emoji" w:cs="Segoe UI Emoji"/>
        </w:rPr>
        <w:t>🚀</w:t>
      </w:r>
    </w:p>
    <w:p w14:paraId="5F27B655" w14:textId="77777777" w:rsidR="00D15E77" w:rsidRPr="00D15E77" w:rsidRDefault="00D15E77" w:rsidP="00D15E77">
      <w:r w:rsidRPr="00D15E77">
        <w:t>4o</w:t>
      </w:r>
    </w:p>
    <w:p w14:paraId="496C7559" w14:textId="77777777" w:rsidR="00F75F6F" w:rsidRDefault="00F75F6F"/>
    <w:sectPr w:rsidR="00F75F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3CF18AC"/>
    <w:multiLevelType w:val="multilevel"/>
    <w:tmpl w:val="6C5A4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5B14ABD"/>
    <w:multiLevelType w:val="multilevel"/>
    <w:tmpl w:val="0A9EC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15034259">
    <w:abstractNumId w:val="1"/>
  </w:num>
  <w:num w:numId="2" w16cid:durableId="14279217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E77"/>
    <w:rsid w:val="00436300"/>
    <w:rsid w:val="007D3B02"/>
    <w:rsid w:val="00C86704"/>
    <w:rsid w:val="00D15E77"/>
    <w:rsid w:val="00F562BF"/>
    <w:rsid w:val="00F75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8282B"/>
  <w15:chartTrackingRefBased/>
  <w15:docId w15:val="{E1AF1C2A-82C0-402F-A7A4-B31CA5A4B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15E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15E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15E7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15E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15E7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15E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15E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15E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15E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15E7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D15E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D15E7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D15E77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D15E77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D15E77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D15E77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D15E77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D15E77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D15E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15E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15E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D15E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D15E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D15E77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D15E77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D15E77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15E7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15E77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D15E7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15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69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3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264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23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653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1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78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976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065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94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0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481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501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436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3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90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635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605</Words>
  <Characters>3450</Characters>
  <Application>Microsoft Office Word</Application>
  <DocSecurity>0</DocSecurity>
  <Lines>28</Lines>
  <Paragraphs>8</Paragraphs>
  <ScaleCrop>false</ScaleCrop>
  <Company/>
  <LinksUpToDate>false</LinksUpToDate>
  <CharactersWithSpaces>4047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Youssef OUADINE</dc:creator>
  <cp:keywords/>
  <dc:description/>
  <cp:lastModifiedBy>Ahmed Youssef OUADINE</cp:lastModifiedBy>
  <cp:revision>1</cp:revision>
  <dcterms:created xsi:type="dcterms:W3CDTF">2025-02-10T19:51:00Z</dcterms:created>
  <dcterms:modified xsi:type="dcterms:W3CDTF">2025-02-10T19:51:00Z</dcterms:modified>
</cp:coreProperties>
</file>