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981B9" w14:textId="7DF24170" w:rsidR="000F76D3" w:rsidRDefault="000F76D3" w:rsidP="000F76D3">
      <w:pPr>
        <w:pStyle w:val="Titre1"/>
        <w:rPr>
          <w:lang w:val="fr-FR"/>
        </w:rPr>
      </w:pPr>
      <w:r w:rsidRPr="000F76D3">
        <w:rPr>
          <w:lang w:val="fr-FR"/>
        </w:rPr>
        <w:t xml:space="preserve">SRR - System </w:t>
      </w:r>
      <w:proofErr w:type="spellStart"/>
      <w:r w:rsidRPr="000F76D3">
        <w:rPr>
          <w:lang w:val="fr-FR"/>
        </w:rPr>
        <w:t>Requirements</w:t>
      </w:r>
      <w:proofErr w:type="spellEnd"/>
      <w:r w:rsidRPr="000F76D3">
        <w:rPr>
          <w:lang w:val="fr-FR"/>
        </w:rPr>
        <w:t xml:space="preserve"> </w:t>
      </w:r>
      <w:proofErr w:type="spellStart"/>
      <w:r w:rsidRPr="000F76D3">
        <w:rPr>
          <w:lang w:val="fr-FR"/>
        </w:rPr>
        <w:t>Review</w:t>
      </w:r>
      <w:proofErr w:type="spellEnd"/>
    </w:p>
    <w:p w14:paraId="4D916975" w14:textId="3C00F666" w:rsidR="000F76D3" w:rsidRPr="000F76D3" w:rsidRDefault="000F76D3" w:rsidP="000F76D3">
      <w:pPr>
        <w:rPr>
          <w:b/>
          <w:bCs/>
          <w:lang w:val="fr-FR"/>
        </w:rPr>
      </w:pPr>
      <w:r w:rsidRPr="000F76D3">
        <w:rPr>
          <w:b/>
          <w:bCs/>
          <w:lang w:val="fr-FR"/>
        </w:rPr>
        <w:t xml:space="preserve">Revue des exigences système (SRR - System </w:t>
      </w:r>
      <w:proofErr w:type="spellStart"/>
      <w:r w:rsidRPr="000F76D3">
        <w:rPr>
          <w:b/>
          <w:bCs/>
          <w:lang w:val="fr-FR"/>
        </w:rPr>
        <w:t>Requirements</w:t>
      </w:r>
      <w:proofErr w:type="spellEnd"/>
      <w:r w:rsidRPr="000F76D3">
        <w:rPr>
          <w:b/>
          <w:bCs/>
          <w:lang w:val="fr-FR"/>
        </w:rPr>
        <w:t xml:space="preserve"> </w:t>
      </w:r>
      <w:proofErr w:type="spellStart"/>
      <w:r w:rsidRPr="000F76D3">
        <w:rPr>
          <w:b/>
          <w:bCs/>
          <w:lang w:val="fr-FR"/>
        </w:rPr>
        <w:t>Review</w:t>
      </w:r>
      <w:proofErr w:type="spellEnd"/>
      <w:r w:rsidRPr="000F76D3">
        <w:rPr>
          <w:b/>
          <w:bCs/>
          <w:lang w:val="fr-FR"/>
        </w:rPr>
        <w:t xml:space="preserve">) pour un </w:t>
      </w:r>
      <w:proofErr w:type="spellStart"/>
      <w:r w:rsidRPr="000F76D3">
        <w:rPr>
          <w:b/>
          <w:bCs/>
          <w:lang w:val="fr-FR"/>
        </w:rPr>
        <w:t>CubeSat</w:t>
      </w:r>
      <w:proofErr w:type="spellEnd"/>
      <w:r w:rsidRPr="000F76D3">
        <w:rPr>
          <w:b/>
          <w:bCs/>
          <w:lang w:val="fr-FR"/>
        </w:rPr>
        <w:t xml:space="preserve"> 1U dédié à la transmission</w:t>
      </w:r>
    </w:p>
    <w:p w14:paraId="5E878159" w14:textId="77777777" w:rsidR="000F76D3" w:rsidRPr="000F76D3" w:rsidRDefault="000F76D3" w:rsidP="000F76D3">
      <w:pPr>
        <w:rPr>
          <w:lang w:val="fr-FR"/>
        </w:rPr>
      </w:pPr>
      <w:r w:rsidRPr="000F76D3">
        <w:rPr>
          <w:lang w:val="fr-FR"/>
        </w:rPr>
        <w:t xml:space="preserve">La </w:t>
      </w:r>
      <w:r w:rsidRPr="000F76D3">
        <w:rPr>
          <w:b/>
          <w:bCs/>
          <w:lang w:val="fr-FR"/>
        </w:rPr>
        <w:t>Revue des Exigences Système (SRR)</w:t>
      </w:r>
      <w:r w:rsidRPr="000F76D3">
        <w:rPr>
          <w:lang w:val="fr-FR"/>
        </w:rPr>
        <w:t xml:space="preserve"> est une étape clé qui permet de s’assurer que les exigences du </w:t>
      </w:r>
      <w:proofErr w:type="spellStart"/>
      <w:r w:rsidRPr="000F76D3">
        <w:rPr>
          <w:lang w:val="fr-FR"/>
        </w:rPr>
        <w:t>CubeSat</w:t>
      </w:r>
      <w:proofErr w:type="spellEnd"/>
      <w:r w:rsidRPr="000F76D3">
        <w:rPr>
          <w:lang w:val="fr-FR"/>
        </w:rPr>
        <w:t xml:space="preserve"> sont bien définies et alignées avec les objectifs de la mission avant d’entamer la conception détaillée.</w:t>
      </w:r>
    </w:p>
    <w:p w14:paraId="0F7A16FD" w14:textId="77777777" w:rsidR="000F76D3" w:rsidRPr="000F76D3" w:rsidRDefault="000F76D3" w:rsidP="000F76D3">
      <w:r w:rsidRPr="000F76D3">
        <w:pict w14:anchorId="75B1D62D">
          <v:rect id="_x0000_i1067" style="width:0;height:1.5pt" o:hralign="center" o:hrstd="t" o:hr="t" fillcolor="#a0a0a0" stroked="f"/>
        </w:pict>
      </w:r>
    </w:p>
    <w:p w14:paraId="59D0B1B7" w14:textId="77777777" w:rsidR="000F76D3" w:rsidRPr="000F76D3" w:rsidRDefault="000F76D3" w:rsidP="000F76D3">
      <w:pPr>
        <w:rPr>
          <w:b/>
          <w:bCs/>
          <w:lang w:val="fr-FR"/>
        </w:rPr>
      </w:pPr>
      <w:r w:rsidRPr="000F76D3">
        <w:rPr>
          <w:b/>
          <w:bCs/>
          <w:lang w:val="fr-FR"/>
        </w:rPr>
        <w:t>1. Objectifs de la SRR</w:t>
      </w:r>
    </w:p>
    <w:p w14:paraId="363E9019" w14:textId="77777777" w:rsidR="000F76D3" w:rsidRPr="000F76D3" w:rsidRDefault="000F76D3" w:rsidP="000F76D3">
      <w:pPr>
        <w:rPr>
          <w:lang w:val="fr-FR"/>
        </w:rPr>
      </w:pPr>
      <w:r w:rsidRPr="000F76D3">
        <w:rPr>
          <w:lang w:val="fr-FR"/>
        </w:rPr>
        <w:t>La SRR vise à :</w:t>
      </w:r>
      <w:r w:rsidRPr="000F76D3">
        <w:rPr>
          <w:lang w:val="fr-FR"/>
        </w:rPr>
        <w:br/>
      </w:r>
      <w:r w:rsidRPr="000F76D3">
        <w:rPr>
          <w:rFonts w:ascii="Segoe UI Emoji" w:hAnsi="Segoe UI Emoji" w:cs="Segoe UI Emoji"/>
          <w:lang w:val="fr-FR"/>
        </w:rPr>
        <w:t>✅</w:t>
      </w:r>
      <w:r w:rsidRPr="000F76D3">
        <w:rPr>
          <w:lang w:val="fr-FR"/>
        </w:rPr>
        <w:t xml:space="preserve"> V</w:t>
      </w:r>
      <w:r w:rsidRPr="000F76D3">
        <w:rPr>
          <w:rFonts w:ascii="Calibri" w:hAnsi="Calibri" w:cs="Calibri"/>
          <w:lang w:val="fr-FR"/>
        </w:rPr>
        <w:t>é</w:t>
      </w:r>
      <w:r w:rsidRPr="000F76D3">
        <w:rPr>
          <w:lang w:val="fr-FR"/>
        </w:rPr>
        <w:t xml:space="preserve">rifier que les </w:t>
      </w:r>
      <w:r w:rsidRPr="000F76D3">
        <w:rPr>
          <w:b/>
          <w:bCs/>
          <w:lang w:val="fr-FR"/>
        </w:rPr>
        <w:t>exigences système</w:t>
      </w:r>
      <w:r w:rsidRPr="000F76D3">
        <w:rPr>
          <w:lang w:val="fr-FR"/>
        </w:rPr>
        <w:t xml:space="preserve"> sont claires, complètes et cohérentes.</w:t>
      </w:r>
      <w:r w:rsidRPr="000F76D3">
        <w:rPr>
          <w:lang w:val="fr-FR"/>
        </w:rPr>
        <w:br/>
      </w:r>
      <w:r w:rsidRPr="000F76D3">
        <w:rPr>
          <w:rFonts w:ascii="Segoe UI Emoji" w:hAnsi="Segoe UI Emoji" w:cs="Segoe UI Emoji"/>
          <w:lang w:val="fr-FR"/>
        </w:rPr>
        <w:t>✅</w:t>
      </w:r>
      <w:r w:rsidRPr="000F76D3">
        <w:rPr>
          <w:lang w:val="fr-FR"/>
        </w:rPr>
        <w:t xml:space="preserve"> S</w:t>
      </w:r>
      <w:r w:rsidRPr="000F76D3">
        <w:rPr>
          <w:rFonts w:ascii="Calibri" w:hAnsi="Calibri" w:cs="Calibri"/>
          <w:lang w:val="fr-FR"/>
        </w:rPr>
        <w:t>’</w:t>
      </w:r>
      <w:r w:rsidRPr="000F76D3">
        <w:rPr>
          <w:lang w:val="fr-FR"/>
        </w:rPr>
        <w:t xml:space="preserve">assurer que la </w:t>
      </w:r>
      <w:r w:rsidRPr="000F76D3">
        <w:rPr>
          <w:b/>
          <w:bCs/>
          <w:lang w:val="fr-FR"/>
        </w:rPr>
        <w:t>mission est faisable</w:t>
      </w:r>
      <w:r w:rsidRPr="000F76D3">
        <w:rPr>
          <w:lang w:val="fr-FR"/>
        </w:rPr>
        <w:t xml:space="preserve"> dans les contraintes d’un </w:t>
      </w:r>
      <w:proofErr w:type="spellStart"/>
      <w:r w:rsidRPr="000F76D3">
        <w:rPr>
          <w:lang w:val="fr-FR"/>
        </w:rPr>
        <w:t>CubeSat</w:t>
      </w:r>
      <w:proofErr w:type="spellEnd"/>
      <w:r w:rsidRPr="000F76D3">
        <w:rPr>
          <w:lang w:val="fr-FR"/>
        </w:rPr>
        <w:t xml:space="preserve"> 1U.</w:t>
      </w:r>
      <w:r w:rsidRPr="000F76D3">
        <w:rPr>
          <w:lang w:val="fr-FR"/>
        </w:rPr>
        <w:br/>
      </w:r>
      <w:r w:rsidRPr="000F76D3">
        <w:rPr>
          <w:rFonts w:ascii="Segoe UI Emoji" w:hAnsi="Segoe UI Emoji" w:cs="Segoe UI Emoji"/>
          <w:lang w:val="fr-FR"/>
        </w:rPr>
        <w:t>✅</w:t>
      </w:r>
      <w:r w:rsidRPr="000F76D3">
        <w:rPr>
          <w:lang w:val="fr-FR"/>
        </w:rPr>
        <w:t xml:space="preserve"> Identifier les </w:t>
      </w:r>
      <w:r w:rsidRPr="000F76D3">
        <w:rPr>
          <w:b/>
          <w:bCs/>
          <w:lang w:val="fr-FR"/>
        </w:rPr>
        <w:t>risques techniques</w:t>
      </w:r>
      <w:r w:rsidRPr="000F76D3">
        <w:rPr>
          <w:lang w:val="fr-FR"/>
        </w:rPr>
        <w:t xml:space="preserve"> et proposer des stratégies d’atténuation.</w:t>
      </w:r>
      <w:r w:rsidRPr="000F76D3">
        <w:rPr>
          <w:lang w:val="fr-FR"/>
        </w:rPr>
        <w:br/>
      </w:r>
      <w:r w:rsidRPr="000F76D3">
        <w:rPr>
          <w:rFonts w:ascii="Segoe UI Emoji" w:hAnsi="Segoe UI Emoji" w:cs="Segoe UI Emoji"/>
          <w:lang w:val="fr-FR"/>
        </w:rPr>
        <w:t>✅</w:t>
      </w:r>
      <w:r w:rsidRPr="000F76D3">
        <w:rPr>
          <w:lang w:val="fr-FR"/>
        </w:rPr>
        <w:t xml:space="preserve"> Confirmer l</w:t>
      </w:r>
      <w:r w:rsidRPr="000F76D3">
        <w:rPr>
          <w:rFonts w:ascii="Calibri" w:hAnsi="Calibri" w:cs="Calibri"/>
          <w:lang w:val="fr-FR"/>
        </w:rPr>
        <w:t>’</w:t>
      </w:r>
      <w:r w:rsidRPr="000F76D3">
        <w:rPr>
          <w:b/>
          <w:bCs/>
          <w:lang w:val="fr-FR"/>
        </w:rPr>
        <w:t>alignement avec les normes et réglementations</w:t>
      </w:r>
      <w:r w:rsidRPr="000F76D3">
        <w:rPr>
          <w:lang w:val="fr-FR"/>
        </w:rPr>
        <w:t xml:space="preserve"> (fréquences, lancement, sécurité).</w:t>
      </w:r>
    </w:p>
    <w:p w14:paraId="192AE806" w14:textId="77777777" w:rsidR="000F76D3" w:rsidRPr="000F76D3" w:rsidRDefault="000F76D3" w:rsidP="000F76D3">
      <w:r w:rsidRPr="000F76D3">
        <w:pict w14:anchorId="427270A3">
          <v:rect id="_x0000_i1068" style="width:0;height:1.5pt" o:hralign="center" o:hrstd="t" o:hr="t" fillcolor="#a0a0a0" stroked="f"/>
        </w:pict>
      </w:r>
    </w:p>
    <w:p w14:paraId="1E13F8F6" w14:textId="77777777" w:rsidR="000F76D3" w:rsidRPr="000F76D3" w:rsidRDefault="000F76D3" w:rsidP="000F76D3">
      <w:pPr>
        <w:rPr>
          <w:b/>
          <w:bCs/>
          <w:lang w:val="fr-FR"/>
        </w:rPr>
      </w:pPr>
      <w:r w:rsidRPr="000F76D3">
        <w:rPr>
          <w:b/>
          <w:bCs/>
          <w:lang w:val="fr-FR"/>
        </w:rPr>
        <w:t xml:space="preserve">2. Exigences système du </w:t>
      </w:r>
      <w:proofErr w:type="spellStart"/>
      <w:r w:rsidRPr="000F76D3">
        <w:rPr>
          <w:b/>
          <w:bCs/>
          <w:lang w:val="fr-FR"/>
        </w:rPr>
        <w:t>CubeSat</w:t>
      </w:r>
      <w:proofErr w:type="spellEnd"/>
      <w:r w:rsidRPr="000F76D3">
        <w:rPr>
          <w:b/>
          <w:bCs/>
          <w:lang w:val="fr-FR"/>
        </w:rPr>
        <w:t xml:space="preserve"> 1U pour transmission</w:t>
      </w:r>
    </w:p>
    <w:p w14:paraId="7F42B37B" w14:textId="77777777" w:rsidR="000F76D3" w:rsidRPr="000F76D3" w:rsidRDefault="000F76D3" w:rsidP="000F76D3">
      <w:pPr>
        <w:rPr>
          <w:lang w:val="fr-FR"/>
        </w:rPr>
      </w:pPr>
      <w:r w:rsidRPr="000F76D3">
        <w:rPr>
          <w:lang w:val="fr-FR"/>
        </w:rPr>
        <w:t>Les exigences sont classées en plusieurs catégories :</w:t>
      </w:r>
    </w:p>
    <w:p w14:paraId="3CEC65C7" w14:textId="77777777" w:rsidR="000F76D3" w:rsidRPr="000F76D3" w:rsidRDefault="000F76D3" w:rsidP="000F76D3">
      <w:pPr>
        <w:rPr>
          <w:b/>
          <w:bCs/>
          <w:lang w:val="fr-FR"/>
        </w:rPr>
      </w:pPr>
      <w:r w:rsidRPr="000F76D3">
        <w:rPr>
          <w:b/>
          <w:bCs/>
          <w:lang w:val="fr-FR"/>
        </w:rPr>
        <w:t>A. Exigences de mission</w:t>
      </w:r>
    </w:p>
    <w:p w14:paraId="540952F1" w14:textId="77777777" w:rsidR="000F76D3" w:rsidRPr="000F76D3" w:rsidRDefault="000F76D3" w:rsidP="000F76D3">
      <w:pPr>
        <w:rPr>
          <w:lang w:val="fr-FR"/>
        </w:rPr>
      </w:pPr>
      <w:r w:rsidRPr="000F76D3">
        <w:rPr>
          <w:rFonts w:ascii="Segoe UI Emoji" w:hAnsi="Segoe UI Emoji" w:cs="Segoe UI Emoji"/>
        </w:rPr>
        <w:t>📌</w:t>
      </w:r>
      <w:r w:rsidRPr="000F76D3">
        <w:rPr>
          <w:lang w:val="fr-FR"/>
        </w:rPr>
        <w:t xml:space="preserve"> </w:t>
      </w:r>
      <w:proofErr w:type="gramStart"/>
      <w:r w:rsidRPr="000F76D3">
        <w:rPr>
          <w:b/>
          <w:bCs/>
          <w:lang w:val="fr-FR"/>
        </w:rPr>
        <w:t>Mission</w:t>
      </w:r>
      <w:r w:rsidRPr="000F76D3">
        <w:rPr>
          <w:lang w:val="fr-FR"/>
        </w:rPr>
        <w:t xml:space="preserve"> :</w:t>
      </w:r>
      <w:proofErr w:type="gramEnd"/>
      <w:r w:rsidRPr="000F76D3">
        <w:rPr>
          <w:lang w:val="fr-FR"/>
        </w:rPr>
        <w:t xml:space="preserve"> Assurer une transmission fiable des données à une ou plusieurs stations terrestres.</w:t>
      </w:r>
      <w:r w:rsidRPr="000F76D3">
        <w:rPr>
          <w:lang w:val="fr-FR"/>
        </w:rPr>
        <w:br/>
      </w:r>
      <w:r w:rsidRPr="000F76D3">
        <w:rPr>
          <w:rFonts w:ascii="Segoe UI Emoji" w:hAnsi="Segoe UI Emoji" w:cs="Segoe UI Emoji"/>
        </w:rPr>
        <w:t>📌</w:t>
      </w:r>
      <w:r w:rsidRPr="000F76D3">
        <w:rPr>
          <w:lang w:val="fr-FR"/>
        </w:rPr>
        <w:t xml:space="preserve"> </w:t>
      </w:r>
      <w:r w:rsidRPr="000F76D3">
        <w:rPr>
          <w:b/>
          <w:bCs/>
          <w:lang w:val="fr-FR"/>
        </w:rPr>
        <w:t>Orbite</w:t>
      </w:r>
      <w:r w:rsidRPr="000F76D3">
        <w:rPr>
          <w:lang w:val="fr-FR"/>
        </w:rPr>
        <w:t xml:space="preserve"> : LEO (Low </w:t>
      </w:r>
      <w:proofErr w:type="spellStart"/>
      <w:r w:rsidRPr="000F76D3">
        <w:rPr>
          <w:lang w:val="fr-FR"/>
        </w:rPr>
        <w:t>Earth</w:t>
      </w:r>
      <w:proofErr w:type="spellEnd"/>
      <w:r w:rsidRPr="000F76D3">
        <w:rPr>
          <w:lang w:val="fr-FR"/>
        </w:rPr>
        <w:t xml:space="preserve"> </w:t>
      </w:r>
      <w:proofErr w:type="spellStart"/>
      <w:r w:rsidRPr="000F76D3">
        <w:rPr>
          <w:lang w:val="fr-FR"/>
        </w:rPr>
        <w:t>Orbit</w:t>
      </w:r>
      <w:proofErr w:type="spellEnd"/>
      <w:r w:rsidRPr="000F76D3">
        <w:rPr>
          <w:lang w:val="fr-FR"/>
        </w:rPr>
        <w:t>) entre 400 et 600 km, adaptée aux communications.</w:t>
      </w:r>
      <w:r w:rsidRPr="000F76D3">
        <w:rPr>
          <w:lang w:val="fr-FR"/>
        </w:rPr>
        <w:br/>
      </w:r>
      <w:r w:rsidRPr="000F76D3">
        <w:rPr>
          <w:rFonts w:ascii="Segoe UI Emoji" w:hAnsi="Segoe UI Emoji" w:cs="Segoe UI Emoji"/>
        </w:rPr>
        <w:t>📌</w:t>
      </w:r>
      <w:r w:rsidRPr="000F76D3">
        <w:rPr>
          <w:lang w:val="fr-FR"/>
        </w:rPr>
        <w:t xml:space="preserve"> </w:t>
      </w:r>
      <w:r w:rsidRPr="000F76D3">
        <w:rPr>
          <w:b/>
          <w:bCs/>
          <w:lang w:val="fr-FR"/>
        </w:rPr>
        <w:t>Durée de mission</w:t>
      </w:r>
      <w:r w:rsidRPr="000F76D3">
        <w:rPr>
          <w:lang w:val="fr-FR"/>
        </w:rPr>
        <w:t xml:space="preserve"> : 6 mois à 2 ans selon la désorbitation naturelle.</w:t>
      </w:r>
    </w:p>
    <w:p w14:paraId="04BFC49E" w14:textId="77777777" w:rsidR="000F76D3" w:rsidRPr="000F76D3" w:rsidRDefault="000F76D3" w:rsidP="000F76D3">
      <w:r w:rsidRPr="000F76D3">
        <w:pict w14:anchorId="3B57F375">
          <v:rect id="_x0000_i1069" style="width:0;height:1.5pt" o:hralign="center" o:hrstd="t" o:hr="t" fillcolor="#a0a0a0" stroked="f"/>
        </w:pict>
      </w:r>
    </w:p>
    <w:p w14:paraId="4BE68570" w14:textId="77777777" w:rsidR="000F76D3" w:rsidRPr="000F76D3" w:rsidRDefault="000F76D3" w:rsidP="000F76D3">
      <w:pPr>
        <w:rPr>
          <w:b/>
          <w:bCs/>
          <w:lang w:val="fr-FR"/>
        </w:rPr>
      </w:pPr>
      <w:r w:rsidRPr="000F76D3">
        <w:rPr>
          <w:b/>
          <w:bCs/>
          <w:lang w:val="fr-FR"/>
        </w:rPr>
        <w:t>B. Exigences fonctionnelles</w:t>
      </w:r>
    </w:p>
    <w:p w14:paraId="659A01B0" w14:textId="77777777" w:rsidR="000F76D3" w:rsidRPr="000F76D3" w:rsidRDefault="000F76D3" w:rsidP="000F76D3">
      <w:pPr>
        <w:rPr>
          <w:lang w:val="fr-FR"/>
        </w:rPr>
      </w:pPr>
      <w:r w:rsidRPr="000F76D3">
        <w:rPr>
          <w:rFonts w:ascii="Segoe UI Emoji" w:hAnsi="Segoe UI Emoji" w:cs="Segoe UI Emoji"/>
        </w:rPr>
        <w:t>🔹</w:t>
      </w:r>
      <w:r w:rsidRPr="000F76D3">
        <w:rPr>
          <w:lang w:val="fr-FR"/>
        </w:rPr>
        <w:t xml:space="preserve"> </w:t>
      </w:r>
      <w:r w:rsidRPr="000F76D3">
        <w:rPr>
          <w:b/>
          <w:bCs/>
          <w:lang w:val="fr-FR"/>
        </w:rPr>
        <w:t>Transmission des données</w:t>
      </w:r>
    </w:p>
    <w:p w14:paraId="603F9B45" w14:textId="77777777" w:rsidR="000F76D3" w:rsidRPr="000F76D3" w:rsidRDefault="000F76D3" w:rsidP="000F76D3">
      <w:pPr>
        <w:numPr>
          <w:ilvl w:val="0"/>
          <w:numId w:val="1"/>
        </w:numPr>
        <w:rPr>
          <w:lang w:val="fr-FR"/>
        </w:rPr>
      </w:pPr>
      <w:r w:rsidRPr="000F76D3">
        <w:rPr>
          <w:lang w:val="fr-FR"/>
        </w:rPr>
        <w:t>Fréquence : VHF/UHF, S-band ou X-band selon les besoins.</w:t>
      </w:r>
    </w:p>
    <w:p w14:paraId="03349A36" w14:textId="77777777" w:rsidR="000F76D3" w:rsidRPr="000F76D3" w:rsidRDefault="000F76D3" w:rsidP="000F76D3">
      <w:pPr>
        <w:numPr>
          <w:ilvl w:val="0"/>
          <w:numId w:val="1"/>
        </w:numPr>
        <w:rPr>
          <w:lang w:val="fr-FR"/>
        </w:rPr>
      </w:pPr>
      <w:r w:rsidRPr="000F76D3">
        <w:rPr>
          <w:lang w:val="fr-FR"/>
        </w:rPr>
        <w:t>Débit : 9,6 kbps (radioamateur) à plusieurs Mbps (bande S/X).</w:t>
      </w:r>
    </w:p>
    <w:p w14:paraId="140CAB90" w14:textId="77777777" w:rsidR="000F76D3" w:rsidRPr="000F76D3" w:rsidRDefault="000F76D3" w:rsidP="000F76D3">
      <w:pPr>
        <w:numPr>
          <w:ilvl w:val="0"/>
          <w:numId w:val="1"/>
        </w:numPr>
        <w:rPr>
          <w:lang w:val="fr-FR"/>
        </w:rPr>
      </w:pPr>
      <w:r w:rsidRPr="000F76D3">
        <w:rPr>
          <w:lang w:val="fr-FR"/>
        </w:rPr>
        <w:t>Couverture : Au moins une liaison réussie par passage orbital.</w:t>
      </w:r>
    </w:p>
    <w:p w14:paraId="451E71A8" w14:textId="77777777" w:rsidR="000F76D3" w:rsidRPr="000F76D3" w:rsidRDefault="000F76D3" w:rsidP="000F76D3">
      <w:pPr>
        <w:numPr>
          <w:ilvl w:val="0"/>
          <w:numId w:val="1"/>
        </w:numPr>
        <w:rPr>
          <w:lang w:val="fr-FR"/>
        </w:rPr>
      </w:pPr>
      <w:r w:rsidRPr="000F76D3">
        <w:rPr>
          <w:lang w:val="fr-FR"/>
        </w:rPr>
        <w:t>Protocole : AX.25 (radioamateur) ou CCSDS pour des transmissions standardisées.</w:t>
      </w:r>
    </w:p>
    <w:p w14:paraId="3BFB094E" w14:textId="77777777" w:rsidR="000F76D3" w:rsidRPr="000F76D3" w:rsidRDefault="000F76D3" w:rsidP="000F76D3">
      <w:pPr>
        <w:rPr>
          <w:lang w:val="fr-FR"/>
        </w:rPr>
      </w:pPr>
      <w:r w:rsidRPr="000F76D3">
        <w:rPr>
          <w:rFonts w:ascii="Segoe UI Emoji" w:hAnsi="Segoe UI Emoji" w:cs="Segoe UI Emoji"/>
        </w:rPr>
        <w:t>🔹</w:t>
      </w:r>
      <w:r w:rsidRPr="000F76D3">
        <w:rPr>
          <w:lang w:val="fr-FR"/>
        </w:rPr>
        <w:t xml:space="preserve"> </w:t>
      </w:r>
      <w:r w:rsidRPr="000F76D3">
        <w:rPr>
          <w:b/>
          <w:bCs/>
          <w:lang w:val="fr-FR"/>
        </w:rPr>
        <w:t>Réception et gestion des données</w:t>
      </w:r>
    </w:p>
    <w:p w14:paraId="28A0D5EC" w14:textId="77777777" w:rsidR="000F76D3" w:rsidRPr="000F76D3" w:rsidRDefault="000F76D3" w:rsidP="000F76D3">
      <w:pPr>
        <w:numPr>
          <w:ilvl w:val="0"/>
          <w:numId w:val="2"/>
        </w:numPr>
        <w:rPr>
          <w:lang w:val="fr-FR"/>
        </w:rPr>
      </w:pPr>
      <w:r w:rsidRPr="000F76D3">
        <w:rPr>
          <w:lang w:val="fr-FR"/>
        </w:rPr>
        <w:t>Capacité de stockage temporaire en cas de non-disponibilité des stations sol.</w:t>
      </w:r>
    </w:p>
    <w:p w14:paraId="3D3B7761" w14:textId="77777777" w:rsidR="000F76D3" w:rsidRPr="000F76D3" w:rsidRDefault="000F76D3" w:rsidP="000F76D3">
      <w:pPr>
        <w:numPr>
          <w:ilvl w:val="0"/>
          <w:numId w:val="2"/>
        </w:numPr>
        <w:rPr>
          <w:lang w:val="fr-FR"/>
        </w:rPr>
      </w:pPr>
      <w:r w:rsidRPr="000F76D3">
        <w:rPr>
          <w:lang w:val="fr-FR"/>
        </w:rPr>
        <w:t>Redondance pour éviter la perte critique de données.</w:t>
      </w:r>
    </w:p>
    <w:p w14:paraId="2D5FAA5E" w14:textId="77777777" w:rsidR="000F76D3" w:rsidRPr="000F76D3" w:rsidRDefault="000F76D3" w:rsidP="000F76D3">
      <w:pPr>
        <w:rPr>
          <w:lang w:val="fr-FR"/>
        </w:rPr>
      </w:pPr>
      <w:r w:rsidRPr="000F76D3">
        <w:rPr>
          <w:rFonts w:ascii="Segoe UI Emoji" w:hAnsi="Segoe UI Emoji" w:cs="Segoe UI Emoji"/>
        </w:rPr>
        <w:t>🔹</w:t>
      </w:r>
      <w:r w:rsidRPr="000F76D3">
        <w:rPr>
          <w:lang w:val="fr-FR"/>
        </w:rPr>
        <w:t xml:space="preserve"> </w:t>
      </w:r>
      <w:r w:rsidRPr="000F76D3">
        <w:rPr>
          <w:b/>
          <w:bCs/>
          <w:lang w:val="fr-FR"/>
        </w:rPr>
        <w:t>Autonomie et gestion de l’énergie</w:t>
      </w:r>
    </w:p>
    <w:p w14:paraId="4A17A1BA" w14:textId="77777777" w:rsidR="000F76D3" w:rsidRPr="000F76D3" w:rsidRDefault="000F76D3" w:rsidP="000F76D3">
      <w:pPr>
        <w:numPr>
          <w:ilvl w:val="0"/>
          <w:numId w:val="3"/>
        </w:numPr>
        <w:rPr>
          <w:lang w:val="fr-FR"/>
        </w:rPr>
      </w:pPr>
      <w:r w:rsidRPr="000F76D3">
        <w:rPr>
          <w:lang w:val="fr-FR"/>
        </w:rPr>
        <w:t>Alimentation suffisante pour assurer la transmission (batteries et panneaux solaires).</w:t>
      </w:r>
    </w:p>
    <w:p w14:paraId="07A444A6" w14:textId="77777777" w:rsidR="000F76D3" w:rsidRPr="000F76D3" w:rsidRDefault="000F76D3" w:rsidP="000F76D3">
      <w:pPr>
        <w:numPr>
          <w:ilvl w:val="0"/>
          <w:numId w:val="3"/>
        </w:numPr>
        <w:rPr>
          <w:lang w:val="fr-FR"/>
        </w:rPr>
      </w:pPr>
      <w:r w:rsidRPr="000F76D3">
        <w:rPr>
          <w:lang w:val="fr-FR"/>
        </w:rPr>
        <w:lastRenderedPageBreak/>
        <w:t>Optimisation de la consommation énergétique pour maximiser le temps de transmission.</w:t>
      </w:r>
    </w:p>
    <w:p w14:paraId="43EA533F" w14:textId="77777777" w:rsidR="000F76D3" w:rsidRPr="000F76D3" w:rsidRDefault="000F76D3" w:rsidP="000F76D3">
      <w:pPr>
        <w:rPr>
          <w:lang w:val="fr-FR"/>
        </w:rPr>
      </w:pPr>
      <w:r w:rsidRPr="000F76D3">
        <w:rPr>
          <w:rFonts w:ascii="Segoe UI Emoji" w:hAnsi="Segoe UI Emoji" w:cs="Segoe UI Emoji"/>
        </w:rPr>
        <w:t>🔹</w:t>
      </w:r>
      <w:r w:rsidRPr="000F76D3">
        <w:rPr>
          <w:lang w:val="fr-FR"/>
        </w:rPr>
        <w:t xml:space="preserve"> </w:t>
      </w:r>
      <w:r w:rsidRPr="000F76D3">
        <w:rPr>
          <w:b/>
          <w:bCs/>
          <w:lang w:val="fr-FR"/>
        </w:rPr>
        <w:t>Interface avec la station sol</w:t>
      </w:r>
    </w:p>
    <w:p w14:paraId="0F88618B" w14:textId="77777777" w:rsidR="000F76D3" w:rsidRPr="000F76D3" w:rsidRDefault="000F76D3" w:rsidP="000F76D3">
      <w:pPr>
        <w:numPr>
          <w:ilvl w:val="0"/>
          <w:numId w:val="4"/>
        </w:numPr>
        <w:rPr>
          <w:lang w:val="fr-FR"/>
        </w:rPr>
      </w:pPr>
      <w:r w:rsidRPr="000F76D3">
        <w:rPr>
          <w:lang w:val="fr-FR"/>
        </w:rPr>
        <w:t>Suivi et contrôle du satellite via une liaison descendante spécifique.</w:t>
      </w:r>
    </w:p>
    <w:p w14:paraId="7E12DA2C" w14:textId="77777777" w:rsidR="000F76D3" w:rsidRPr="000F76D3" w:rsidRDefault="000F76D3" w:rsidP="000F76D3">
      <w:pPr>
        <w:numPr>
          <w:ilvl w:val="0"/>
          <w:numId w:val="4"/>
        </w:numPr>
        <w:rPr>
          <w:lang w:val="fr-FR"/>
        </w:rPr>
      </w:pPr>
      <w:r w:rsidRPr="000F76D3">
        <w:rPr>
          <w:lang w:val="fr-FR"/>
        </w:rPr>
        <w:t>Vérification de l’intégrité des données transmises et reçues.</w:t>
      </w:r>
    </w:p>
    <w:p w14:paraId="3448D188" w14:textId="77777777" w:rsidR="000F76D3" w:rsidRPr="000F76D3" w:rsidRDefault="000F76D3" w:rsidP="000F76D3">
      <w:r w:rsidRPr="000F76D3">
        <w:pict w14:anchorId="3823ABF7">
          <v:rect id="_x0000_i1070" style="width:0;height:1.5pt" o:hralign="center" o:hrstd="t" o:hr="t" fillcolor="#a0a0a0" stroked="f"/>
        </w:pict>
      </w:r>
    </w:p>
    <w:p w14:paraId="689B1882" w14:textId="77777777" w:rsidR="000F76D3" w:rsidRPr="000F76D3" w:rsidRDefault="000F76D3" w:rsidP="000F76D3">
      <w:pPr>
        <w:rPr>
          <w:b/>
          <w:bCs/>
          <w:lang w:val="fr-FR"/>
        </w:rPr>
      </w:pPr>
      <w:r w:rsidRPr="000F76D3">
        <w:rPr>
          <w:b/>
          <w:bCs/>
          <w:lang w:val="fr-FR"/>
        </w:rPr>
        <w:t>C. Exigences physiques et structurelles</w:t>
      </w:r>
    </w:p>
    <w:p w14:paraId="210825B8" w14:textId="77777777" w:rsidR="000F76D3" w:rsidRPr="000F76D3" w:rsidRDefault="000F76D3" w:rsidP="000F76D3">
      <w:r w:rsidRPr="000F76D3">
        <w:rPr>
          <w:rFonts w:ascii="Segoe UI Emoji" w:hAnsi="Segoe UI Emoji" w:cs="Segoe UI Emoji"/>
        </w:rPr>
        <w:t>📦</w:t>
      </w:r>
      <w:r w:rsidRPr="000F76D3">
        <w:rPr>
          <w:lang w:val="fr-FR"/>
        </w:rPr>
        <w:t xml:space="preserve"> </w:t>
      </w:r>
      <w:r w:rsidRPr="000F76D3">
        <w:rPr>
          <w:b/>
          <w:bCs/>
          <w:lang w:val="fr-FR"/>
        </w:rPr>
        <w:t xml:space="preserve">Format </w:t>
      </w:r>
      <w:proofErr w:type="spellStart"/>
      <w:r w:rsidRPr="000F76D3">
        <w:rPr>
          <w:b/>
          <w:bCs/>
          <w:lang w:val="fr-FR"/>
        </w:rPr>
        <w:t>CubeSat</w:t>
      </w:r>
      <w:proofErr w:type="spellEnd"/>
      <w:r w:rsidRPr="000F76D3">
        <w:rPr>
          <w:b/>
          <w:bCs/>
          <w:lang w:val="fr-FR"/>
        </w:rPr>
        <w:t xml:space="preserve"> 1</w:t>
      </w:r>
      <w:proofErr w:type="gramStart"/>
      <w:r w:rsidRPr="000F76D3">
        <w:rPr>
          <w:b/>
          <w:bCs/>
          <w:lang w:val="fr-FR"/>
        </w:rPr>
        <w:t>U</w:t>
      </w:r>
      <w:r w:rsidRPr="000F76D3">
        <w:rPr>
          <w:lang w:val="fr-FR"/>
        </w:rPr>
        <w:t xml:space="preserve"> :</w:t>
      </w:r>
      <w:proofErr w:type="gramEnd"/>
      <w:r w:rsidRPr="000F76D3">
        <w:rPr>
          <w:lang w:val="fr-FR"/>
        </w:rPr>
        <w:t xml:space="preserve"> 10 cm x 10 cm x 10 cm, ≤ 1,33 kg.</w:t>
      </w:r>
      <w:r w:rsidRPr="000F76D3">
        <w:rPr>
          <w:lang w:val="fr-FR"/>
        </w:rPr>
        <w:br/>
      </w:r>
      <w:r w:rsidRPr="000F76D3">
        <w:rPr>
          <w:rFonts w:ascii="Segoe UI Emoji" w:hAnsi="Segoe UI Emoji" w:cs="Segoe UI Emoji"/>
        </w:rPr>
        <w:t>🔗</w:t>
      </w:r>
      <w:r w:rsidRPr="000F76D3">
        <w:rPr>
          <w:lang w:val="fr-FR"/>
        </w:rPr>
        <w:t xml:space="preserve"> </w:t>
      </w:r>
      <w:r w:rsidRPr="000F76D3">
        <w:rPr>
          <w:b/>
          <w:bCs/>
          <w:lang w:val="fr-FR"/>
        </w:rPr>
        <w:t xml:space="preserve">Compatibilité avec le </w:t>
      </w:r>
      <w:proofErr w:type="spellStart"/>
      <w:r w:rsidRPr="000F76D3">
        <w:rPr>
          <w:b/>
          <w:bCs/>
          <w:lang w:val="fr-FR"/>
        </w:rPr>
        <w:t>déployeur</w:t>
      </w:r>
      <w:proofErr w:type="spellEnd"/>
      <w:r w:rsidRPr="000F76D3">
        <w:rPr>
          <w:lang w:val="fr-FR"/>
        </w:rPr>
        <w:t xml:space="preserve"> (ex. P-POD, </w:t>
      </w:r>
      <w:proofErr w:type="spellStart"/>
      <w:r w:rsidRPr="000F76D3">
        <w:rPr>
          <w:lang w:val="fr-FR"/>
        </w:rPr>
        <w:t>Nanoracks</w:t>
      </w:r>
      <w:proofErr w:type="spellEnd"/>
      <w:r w:rsidRPr="000F76D3">
        <w:rPr>
          <w:lang w:val="fr-FR"/>
        </w:rPr>
        <w:t>).</w:t>
      </w:r>
      <w:r w:rsidRPr="000F76D3">
        <w:rPr>
          <w:lang w:val="fr-FR"/>
        </w:rPr>
        <w:br/>
      </w:r>
      <w:r w:rsidRPr="000F76D3">
        <w:rPr>
          <w:rFonts w:ascii="Segoe UI Emoji" w:hAnsi="Segoe UI Emoji" w:cs="Segoe UI Emoji"/>
        </w:rPr>
        <w:t>🚀</w:t>
      </w:r>
      <w:r w:rsidRPr="000F76D3">
        <w:rPr>
          <w:lang w:val="fr-FR"/>
        </w:rPr>
        <w:t xml:space="preserve"> </w:t>
      </w:r>
      <w:r w:rsidRPr="000F76D3">
        <w:rPr>
          <w:b/>
          <w:bCs/>
          <w:lang w:val="fr-FR"/>
        </w:rPr>
        <w:t>Résistance aux vibrations et aux chocs du lancement</w:t>
      </w:r>
      <w:r w:rsidRPr="000F76D3">
        <w:rPr>
          <w:lang w:val="fr-FR"/>
        </w:rPr>
        <w:t>.</w:t>
      </w:r>
      <w:r w:rsidRPr="000F76D3">
        <w:rPr>
          <w:lang w:val="fr-FR"/>
        </w:rPr>
        <w:br/>
      </w:r>
      <w:r w:rsidRPr="000F76D3">
        <w:rPr>
          <w:rFonts w:ascii="Segoe UI Symbol" w:hAnsi="Segoe UI Symbol" w:cs="Segoe UI Symbol"/>
        </w:rPr>
        <w:t>🌡</w:t>
      </w:r>
      <w:r w:rsidRPr="000F76D3">
        <w:t xml:space="preserve"> </w:t>
      </w:r>
      <w:proofErr w:type="spellStart"/>
      <w:r w:rsidRPr="000F76D3">
        <w:rPr>
          <w:b/>
          <w:bCs/>
        </w:rPr>
        <w:t>Tolérance</w:t>
      </w:r>
      <w:proofErr w:type="spellEnd"/>
      <w:r w:rsidRPr="000F76D3">
        <w:rPr>
          <w:b/>
          <w:bCs/>
        </w:rPr>
        <w:t xml:space="preserve"> </w:t>
      </w:r>
      <w:proofErr w:type="spellStart"/>
      <w:r w:rsidRPr="000F76D3">
        <w:rPr>
          <w:b/>
          <w:bCs/>
        </w:rPr>
        <w:t>thermique</w:t>
      </w:r>
      <w:proofErr w:type="spellEnd"/>
      <w:r w:rsidRPr="000F76D3">
        <w:t xml:space="preserve"> pour </w:t>
      </w:r>
      <w:proofErr w:type="spellStart"/>
      <w:r w:rsidRPr="000F76D3">
        <w:t>fonctionner</w:t>
      </w:r>
      <w:proofErr w:type="spellEnd"/>
      <w:r w:rsidRPr="000F76D3">
        <w:t xml:space="preserve"> entre -40°C et +85°C.</w:t>
      </w:r>
    </w:p>
    <w:p w14:paraId="509BCC4C" w14:textId="77777777" w:rsidR="000F76D3" w:rsidRPr="000F76D3" w:rsidRDefault="000F76D3" w:rsidP="000F76D3">
      <w:r w:rsidRPr="000F76D3">
        <w:pict w14:anchorId="4B89021D">
          <v:rect id="_x0000_i1071" style="width:0;height:1.5pt" o:hralign="center" o:hrstd="t" o:hr="t" fillcolor="#a0a0a0" stroked="f"/>
        </w:pict>
      </w:r>
    </w:p>
    <w:p w14:paraId="03F97241" w14:textId="77777777" w:rsidR="000F76D3" w:rsidRPr="000F76D3" w:rsidRDefault="000F76D3" w:rsidP="000F76D3">
      <w:pPr>
        <w:rPr>
          <w:b/>
          <w:bCs/>
          <w:lang w:val="fr-FR"/>
        </w:rPr>
      </w:pPr>
      <w:r w:rsidRPr="000F76D3">
        <w:rPr>
          <w:b/>
          <w:bCs/>
          <w:lang w:val="fr-FR"/>
        </w:rPr>
        <w:t>D. Exigences de sous-systèmes</w:t>
      </w:r>
    </w:p>
    <w:p w14:paraId="13A0D7A5" w14:textId="77777777" w:rsidR="000F76D3" w:rsidRPr="000F76D3" w:rsidRDefault="000F76D3" w:rsidP="000F76D3">
      <w:pPr>
        <w:rPr>
          <w:lang w:val="fr-FR"/>
        </w:rPr>
      </w:pPr>
      <w:r w:rsidRPr="000F76D3">
        <w:rPr>
          <w:rFonts w:ascii="Segoe UI Emoji" w:hAnsi="Segoe UI Emoji" w:cs="Segoe UI Emoji"/>
        </w:rPr>
        <w:t>💡</w:t>
      </w:r>
      <w:r w:rsidRPr="000F76D3">
        <w:rPr>
          <w:lang w:val="fr-FR"/>
        </w:rPr>
        <w:t xml:space="preserve"> </w:t>
      </w:r>
      <w:r w:rsidRPr="000F76D3">
        <w:rPr>
          <w:b/>
          <w:bCs/>
          <w:lang w:val="fr-FR"/>
        </w:rPr>
        <w:t xml:space="preserve">Alimentation (EPS - </w:t>
      </w:r>
      <w:proofErr w:type="spellStart"/>
      <w:r w:rsidRPr="000F76D3">
        <w:rPr>
          <w:b/>
          <w:bCs/>
          <w:lang w:val="fr-FR"/>
        </w:rPr>
        <w:t>Electrical</w:t>
      </w:r>
      <w:proofErr w:type="spellEnd"/>
      <w:r w:rsidRPr="000F76D3">
        <w:rPr>
          <w:b/>
          <w:bCs/>
          <w:lang w:val="fr-FR"/>
        </w:rPr>
        <w:t xml:space="preserve"> Power System)</w:t>
      </w:r>
    </w:p>
    <w:p w14:paraId="1C7D98FB" w14:textId="77777777" w:rsidR="000F76D3" w:rsidRPr="000F76D3" w:rsidRDefault="000F76D3" w:rsidP="000F76D3">
      <w:pPr>
        <w:numPr>
          <w:ilvl w:val="0"/>
          <w:numId w:val="5"/>
        </w:numPr>
        <w:rPr>
          <w:lang w:val="fr-FR"/>
        </w:rPr>
      </w:pPr>
      <w:r w:rsidRPr="000F76D3">
        <w:rPr>
          <w:lang w:val="fr-FR"/>
        </w:rPr>
        <w:t>Production d’énergie : Panneaux solaires déployables ou fixes.</w:t>
      </w:r>
    </w:p>
    <w:p w14:paraId="196285F7" w14:textId="77777777" w:rsidR="000F76D3" w:rsidRPr="000F76D3" w:rsidRDefault="000F76D3" w:rsidP="000F76D3">
      <w:pPr>
        <w:numPr>
          <w:ilvl w:val="0"/>
          <w:numId w:val="5"/>
        </w:numPr>
        <w:rPr>
          <w:lang w:val="fr-FR"/>
        </w:rPr>
      </w:pPr>
      <w:r w:rsidRPr="000F76D3">
        <w:rPr>
          <w:lang w:val="fr-FR"/>
        </w:rPr>
        <w:t>Stockage : Batterie Li-ion ou Li-</w:t>
      </w:r>
      <w:proofErr w:type="spellStart"/>
      <w:r w:rsidRPr="000F76D3">
        <w:rPr>
          <w:lang w:val="fr-FR"/>
        </w:rPr>
        <w:t>FePO</w:t>
      </w:r>
      <w:proofErr w:type="spellEnd"/>
      <w:r w:rsidRPr="000F76D3">
        <w:rPr>
          <w:lang w:val="fr-FR"/>
        </w:rPr>
        <w:t>₄ avec capacité suffisante.</w:t>
      </w:r>
    </w:p>
    <w:p w14:paraId="73BA11B8" w14:textId="77777777" w:rsidR="000F76D3" w:rsidRPr="000F76D3" w:rsidRDefault="000F76D3" w:rsidP="000F76D3">
      <w:pPr>
        <w:numPr>
          <w:ilvl w:val="0"/>
          <w:numId w:val="5"/>
        </w:numPr>
        <w:rPr>
          <w:lang w:val="fr-FR"/>
        </w:rPr>
      </w:pPr>
      <w:r w:rsidRPr="000F76D3">
        <w:rPr>
          <w:lang w:val="fr-FR"/>
        </w:rPr>
        <w:t>Gestion : Régulation de la distribution d’énergie pour éviter les surtensions.</w:t>
      </w:r>
    </w:p>
    <w:p w14:paraId="4446BA80" w14:textId="77777777" w:rsidR="000F76D3" w:rsidRPr="000F76D3" w:rsidRDefault="000F76D3" w:rsidP="000F76D3">
      <w:pPr>
        <w:rPr>
          <w:lang w:val="fr-FR"/>
        </w:rPr>
      </w:pPr>
      <w:r w:rsidRPr="000F76D3">
        <w:rPr>
          <w:rFonts w:ascii="Segoe UI Emoji" w:hAnsi="Segoe UI Emoji" w:cs="Segoe UI Emoji"/>
        </w:rPr>
        <w:t>📡</w:t>
      </w:r>
      <w:r w:rsidRPr="000F76D3">
        <w:rPr>
          <w:lang w:val="fr-FR"/>
        </w:rPr>
        <w:t xml:space="preserve"> </w:t>
      </w:r>
      <w:r w:rsidRPr="000F76D3">
        <w:rPr>
          <w:b/>
          <w:bCs/>
          <w:lang w:val="fr-FR"/>
        </w:rPr>
        <w:t>Charge utile (Radio, Antenne)</w:t>
      </w:r>
    </w:p>
    <w:p w14:paraId="686DA7AD" w14:textId="77777777" w:rsidR="000F76D3" w:rsidRPr="000F76D3" w:rsidRDefault="000F76D3" w:rsidP="000F76D3">
      <w:pPr>
        <w:numPr>
          <w:ilvl w:val="0"/>
          <w:numId w:val="6"/>
        </w:numPr>
        <w:rPr>
          <w:lang w:val="fr-FR"/>
        </w:rPr>
      </w:pPr>
      <w:r w:rsidRPr="000F76D3">
        <w:rPr>
          <w:lang w:val="fr-FR"/>
        </w:rPr>
        <w:t>Type d’antenne : Hélice, dipôle, patch ou déployable.</w:t>
      </w:r>
    </w:p>
    <w:p w14:paraId="51C67642" w14:textId="77777777" w:rsidR="000F76D3" w:rsidRPr="000F76D3" w:rsidRDefault="000F76D3" w:rsidP="000F76D3">
      <w:pPr>
        <w:numPr>
          <w:ilvl w:val="0"/>
          <w:numId w:val="6"/>
        </w:numPr>
        <w:rPr>
          <w:lang w:val="fr-FR"/>
        </w:rPr>
      </w:pPr>
      <w:r w:rsidRPr="000F76D3">
        <w:rPr>
          <w:lang w:val="fr-FR"/>
        </w:rPr>
        <w:t>Émetteur-récepteur : Compatible avec la fréquence choisie.</w:t>
      </w:r>
    </w:p>
    <w:p w14:paraId="45B396B8" w14:textId="77777777" w:rsidR="000F76D3" w:rsidRPr="000F76D3" w:rsidRDefault="000F76D3" w:rsidP="000F76D3">
      <w:pPr>
        <w:numPr>
          <w:ilvl w:val="0"/>
          <w:numId w:val="6"/>
        </w:numPr>
        <w:rPr>
          <w:lang w:val="fr-FR"/>
        </w:rPr>
      </w:pPr>
      <w:r w:rsidRPr="000F76D3">
        <w:rPr>
          <w:lang w:val="fr-FR"/>
        </w:rPr>
        <w:t>Budget de liaison (Link Budget) validé par simulation.</w:t>
      </w:r>
    </w:p>
    <w:p w14:paraId="15A9FB65" w14:textId="77777777" w:rsidR="000F76D3" w:rsidRPr="000F76D3" w:rsidRDefault="000F76D3" w:rsidP="000F76D3">
      <w:r w:rsidRPr="000F76D3">
        <w:rPr>
          <w:rFonts w:ascii="Segoe UI Emoji" w:hAnsi="Segoe UI Emoji" w:cs="Segoe UI Emoji"/>
        </w:rPr>
        <w:t>🔄</w:t>
      </w:r>
      <w:r w:rsidRPr="000F76D3">
        <w:t xml:space="preserve"> </w:t>
      </w:r>
      <w:proofErr w:type="spellStart"/>
      <w:r w:rsidRPr="000F76D3">
        <w:rPr>
          <w:b/>
          <w:bCs/>
        </w:rPr>
        <w:t>Contrôle</w:t>
      </w:r>
      <w:proofErr w:type="spellEnd"/>
      <w:r w:rsidRPr="000F76D3">
        <w:rPr>
          <w:b/>
          <w:bCs/>
        </w:rPr>
        <w:t xml:space="preserve"> </w:t>
      </w:r>
      <w:proofErr w:type="spellStart"/>
      <w:r w:rsidRPr="000F76D3">
        <w:rPr>
          <w:b/>
          <w:bCs/>
        </w:rPr>
        <w:t>d’attitude</w:t>
      </w:r>
      <w:proofErr w:type="spellEnd"/>
      <w:r w:rsidRPr="000F76D3">
        <w:rPr>
          <w:b/>
          <w:bCs/>
        </w:rPr>
        <w:t xml:space="preserve"> (ADCS - Attitude Determination and Control System)</w:t>
      </w:r>
    </w:p>
    <w:p w14:paraId="351E1068" w14:textId="77777777" w:rsidR="000F76D3" w:rsidRPr="000F76D3" w:rsidRDefault="000F76D3" w:rsidP="000F76D3">
      <w:pPr>
        <w:numPr>
          <w:ilvl w:val="0"/>
          <w:numId w:val="7"/>
        </w:numPr>
        <w:rPr>
          <w:lang w:val="fr-FR"/>
        </w:rPr>
      </w:pPr>
      <w:r w:rsidRPr="000F76D3">
        <w:rPr>
          <w:lang w:val="fr-FR"/>
        </w:rPr>
        <w:t>Nécessaire si pointage précis vers la Terre requis.</w:t>
      </w:r>
    </w:p>
    <w:p w14:paraId="5D6840E5" w14:textId="77777777" w:rsidR="000F76D3" w:rsidRPr="000F76D3" w:rsidRDefault="000F76D3" w:rsidP="000F76D3">
      <w:pPr>
        <w:numPr>
          <w:ilvl w:val="0"/>
          <w:numId w:val="7"/>
        </w:numPr>
        <w:rPr>
          <w:lang w:val="fr-FR"/>
        </w:rPr>
      </w:pPr>
      <w:r w:rsidRPr="000F76D3">
        <w:rPr>
          <w:lang w:val="fr-FR"/>
        </w:rPr>
        <w:t xml:space="preserve">Option : </w:t>
      </w:r>
      <w:proofErr w:type="spellStart"/>
      <w:r w:rsidRPr="000F76D3">
        <w:rPr>
          <w:lang w:val="fr-FR"/>
        </w:rPr>
        <w:t>Magnétorquer</w:t>
      </w:r>
      <w:proofErr w:type="spellEnd"/>
      <w:r w:rsidRPr="000F76D3">
        <w:rPr>
          <w:lang w:val="fr-FR"/>
        </w:rPr>
        <w:t>, gyroscopes, capteurs solaires.</w:t>
      </w:r>
    </w:p>
    <w:p w14:paraId="038E663D" w14:textId="77777777" w:rsidR="000F76D3" w:rsidRPr="000F76D3" w:rsidRDefault="000F76D3" w:rsidP="000F76D3">
      <w:r w:rsidRPr="000F76D3">
        <w:rPr>
          <w:rFonts w:ascii="Segoe UI Symbol" w:hAnsi="Segoe UI Symbol" w:cs="Segoe UI Symbol"/>
        </w:rPr>
        <w:t>🖥</w:t>
      </w:r>
      <w:r w:rsidRPr="000F76D3">
        <w:t xml:space="preserve"> </w:t>
      </w:r>
      <w:proofErr w:type="spellStart"/>
      <w:r w:rsidRPr="000F76D3">
        <w:rPr>
          <w:b/>
          <w:bCs/>
        </w:rPr>
        <w:t>Ordinateur</w:t>
      </w:r>
      <w:proofErr w:type="spellEnd"/>
      <w:r w:rsidRPr="000F76D3">
        <w:rPr>
          <w:b/>
          <w:bCs/>
        </w:rPr>
        <w:t xml:space="preserve"> de bord (OBC - On-Board Computer)</w:t>
      </w:r>
    </w:p>
    <w:p w14:paraId="08F4EBDC" w14:textId="77777777" w:rsidR="000F76D3" w:rsidRPr="000F76D3" w:rsidRDefault="000F76D3" w:rsidP="000F76D3">
      <w:pPr>
        <w:numPr>
          <w:ilvl w:val="0"/>
          <w:numId w:val="8"/>
        </w:numPr>
        <w:rPr>
          <w:lang w:val="fr-FR"/>
        </w:rPr>
      </w:pPr>
      <w:r w:rsidRPr="000F76D3">
        <w:rPr>
          <w:lang w:val="fr-FR"/>
        </w:rPr>
        <w:t>Gestion des transmissions et de la télémétrie.</w:t>
      </w:r>
    </w:p>
    <w:p w14:paraId="37090527" w14:textId="77777777" w:rsidR="000F76D3" w:rsidRPr="000F76D3" w:rsidRDefault="000F76D3" w:rsidP="000F76D3">
      <w:pPr>
        <w:numPr>
          <w:ilvl w:val="0"/>
          <w:numId w:val="8"/>
        </w:numPr>
        <w:rPr>
          <w:lang w:val="fr-FR"/>
        </w:rPr>
      </w:pPr>
      <w:r w:rsidRPr="000F76D3">
        <w:rPr>
          <w:lang w:val="fr-FR"/>
        </w:rPr>
        <w:t>Logiciel de contrôle et protocole de communication avec le sol.</w:t>
      </w:r>
    </w:p>
    <w:p w14:paraId="701785C7" w14:textId="77777777" w:rsidR="000F76D3" w:rsidRPr="000F76D3" w:rsidRDefault="000F76D3" w:rsidP="000F76D3">
      <w:r w:rsidRPr="000F76D3">
        <w:pict w14:anchorId="6222F524">
          <v:rect id="_x0000_i1072" style="width:0;height:1.5pt" o:hralign="center" o:hrstd="t" o:hr="t" fillcolor="#a0a0a0" stroked="f"/>
        </w:pict>
      </w:r>
    </w:p>
    <w:p w14:paraId="5174109D" w14:textId="77777777" w:rsidR="000F76D3" w:rsidRPr="000F76D3" w:rsidRDefault="000F76D3" w:rsidP="000F76D3">
      <w:pPr>
        <w:rPr>
          <w:b/>
          <w:bCs/>
          <w:lang w:val="fr-FR"/>
        </w:rPr>
      </w:pPr>
      <w:r w:rsidRPr="000F76D3">
        <w:rPr>
          <w:b/>
          <w:bCs/>
          <w:lang w:val="fr-FR"/>
        </w:rPr>
        <w:t>E. Exigences réglementaires et de sécurité</w:t>
      </w:r>
    </w:p>
    <w:p w14:paraId="6CAE3179" w14:textId="77777777" w:rsidR="000F76D3" w:rsidRPr="000F76D3" w:rsidRDefault="000F76D3" w:rsidP="000F76D3">
      <w:pPr>
        <w:rPr>
          <w:lang w:val="fr-FR"/>
        </w:rPr>
      </w:pPr>
      <w:r w:rsidRPr="000F76D3">
        <w:rPr>
          <w:rFonts w:ascii="Segoe UI Emoji" w:hAnsi="Segoe UI Emoji" w:cs="Segoe UI Emoji"/>
        </w:rPr>
        <w:t>📡</w:t>
      </w:r>
      <w:r w:rsidRPr="000F76D3">
        <w:rPr>
          <w:lang w:val="fr-FR"/>
        </w:rPr>
        <w:t xml:space="preserve"> </w:t>
      </w:r>
      <w:r w:rsidRPr="000F76D3">
        <w:rPr>
          <w:b/>
          <w:bCs/>
          <w:lang w:val="fr-FR"/>
        </w:rPr>
        <w:t>Autorisation des fréquences</w:t>
      </w:r>
      <w:r w:rsidRPr="000F76D3">
        <w:rPr>
          <w:lang w:val="fr-FR"/>
        </w:rPr>
        <w:t xml:space="preserve"> auprès de l’ITU/IARU.</w:t>
      </w:r>
      <w:r w:rsidRPr="000F76D3">
        <w:rPr>
          <w:lang w:val="fr-FR"/>
        </w:rPr>
        <w:br/>
      </w:r>
      <w:r w:rsidRPr="000F76D3">
        <w:rPr>
          <w:rFonts w:ascii="Segoe UI Emoji" w:hAnsi="Segoe UI Emoji" w:cs="Segoe UI Emoji"/>
        </w:rPr>
        <w:t>🌍</w:t>
      </w:r>
      <w:r w:rsidRPr="000F76D3">
        <w:rPr>
          <w:lang w:val="fr-FR"/>
        </w:rPr>
        <w:t xml:space="preserve"> </w:t>
      </w:r>
      <w:r w:rsidRPr="000F76D3">
        <w:rPr>
          <w:b/>
          <w:bCs/>
          <w:lang w:val="fr-FR"/>
        </w:rPr>
        <w:t>Désorbitation conforme</w:t>
      </w:r>
      <w:r w:rsidRPr="000F76D3">
        <w:rPr>
          <w:lang w:val="fr-FR"/>
        </w:rPr>
        <w:t xml:space="preserve"> aux règles de gestion des débris spatiaux (norme ISO 24113).</w:t>
      </w:r>
      <w:r w:rsidRPr="000F76D3">
        <w:rPr>
          <w:lang w:val="fr-FR"/>
        </w:rPr>
        <w:br/>
      </w:r>
      <w:r w:rsidRPr="000F76D3">
        <w:rPr>
          <w:rFonts w:ascii="Segoe UI Emoji" w:hAnsi="Segoe UI Emoji" w:cs="Segoe UI Emoji"/>
        </w:rPr>
        <w:t>🔒</w:t>
      </w:r>
      <w:r w:rsidRPr="000F76D3">
        <w:rPr>
          <w:lang w:val="fr-FR"/>
        </w:rPr>
        <w:t xml:space="preserve"> </w:t>
      </w:r>
      <w:r w:rsidRPr="000F76D3">
        <w:rPr>
          <w:b/>
          <w:bCs/>
          <w:lang w:val="fr-FR"/>
        </w:rPr>
        <w:t>Sécurité des transmissions</w:t>
      </w:r>
      <w:r w:rsidRPr="000F76D3">
        <w:rPr>
          <w:lang w:val="fr-FR"/>
        </w:rPr>
        <w:t xml:space="preserve"> (éviter les interférences avec d’autres satellites).</w:t>
      </w:r>
    </w:p>
    <w:p w14:paraId="71ACD202" w14:textId="77777777" w:rsidR="000F76D3" w:rsidRPr="000F76D3" w:rsidRDefault="000F76D3" w:rsidP="000F76D3">
      <w:r w:rsidRPr="000F76D3">
        <w:pict w14:anchorId="7223416A">
          <v:rect id="_x0000_i1073" style="width:0;height:1.5pt" o:hralign="center" o:hrstd="t" o:hr="t" fillcolor="#a0a0a0" stroked="f"/>
        </w:pict>
      </w:r>
    </w:p>
    <w:p w14:paraId="0E019C07" w14:textId="77777777" w:rsidR="000F76D3" w:rsidRPr="000F76D3" w:rsidRDefault="000F76D3" w:rsidP="000F76D3">
      <w:pPr>
        <w:rPr>
          <w:b/>
          <w:bCs/>
          <w:lang w:val="fr-FR"/>
        </w:rPr>
      </w:pPr>
      <w:r w:rsidRPr="000F76D3">
        <w:rPr>
          <w:b/>
          <w:bCs/>
          <w:lang w:val="fr-FR"/>
        </w:rPr>
        <w:lastRenderedPageBreak/>
        <w:t>3. Résultats attendus de la SRR</w:t>
      </w:r>
    </w:p>
    <w:p w14:paraId="6ECB7169" w14:textId="77777777" w:rsidR="000F76D3" w:rsidRPr="000F76D3" w:rsidRDefault="000F76D3" w:rsidP="000F76D3">
      <w:pPr>
        <w:rPr>
          <w:lang w:val="fr-FR"/>
        </w:rPr>
      </w:pPr>
      <w:r w:rsidRPr="000F76D3">
        <w:rPr>
          <w:rFonts w:ascii="Segoe UI Emoji" w:hAnsi="Segoe UI Emoji" w:cs="Segoe UI Emoji"/>
        </w:rPr>
        <w:t>📍</w:t>
      </w:r>
      <w:r w:rsidRPr="000F76D3">
        <w:rPr>
          <w:lang w:val="fr-FR"/>
        </w:rPr>
        <w:t xml:space="preserve"> </w:t>
      </w:r>
      <w:r w:rsidRPr="000F76D3">
        <w:rPr>
          <w:b/>
          <w:bCs/>
          <w:lang w:val="fr-FR"/>
        </w:rPr>
        <w:t xml:space="preserve">Décision finale après la </w:t>
      </w:r>
      <w:proofErr w:type="gramStart"/>
      <w:r w:rsidRPr="000F76D3">
        <w:rPr>
          <w:b/>
          <w:bCs/>
          <w:lang w:val="fr-FR"/>
        </w:rPr>
        <w:t>revue :</w:t>
      </w:r>
      <w:proofErr w:type="gramEnd"/>
      <w:r w:rsidRPr="000F76D3">
        <w:rPr>
          <w:lang w:val="fr-FR"/>
        </w:rPr>
        <w:br/>
      </w:r>
      <w:r w:rsidRPr="000F76D3">
        <w:rPr>
          <w:rFonts w:ascii="Segoe UI Emoji" w:hAnsi="Segoe UI Emoji" w:cs="Segoe UI Emoji"/>
        </w:rPr>
        <w:t>🔄</w:t>
      </w:r>
      <w:r w:rsidRPr="000F76D3">
        <w:rPr>
          <w:lang w:val="fr-FR"/>
        </w:rPr>
        <w:t xml:space="preserve"> </w:t>
      </w:r>
      <w:r w:rsidRPr="000F76D3">
        <w:rPr>
          <w:b/>
          <w:bCs/>
          <w:lang w:val="fr-FR"/>
        </w:rPr>
        <w:t>Affinement des exigences</w:t>
      </w:r>
      <w:r w:rsidRPr="000F76D3">
        <w:rPr>
          <w:lang w:val="fr-FR"/>
        </w:rPr>
        <w:t xml:space="preserve"> si des incohérences sont identifiées.</w:t>
      </w:r>
      <w:r w:rsidRPr="000F76D3">
        <w:rPr>
          <w:lang w:val="fr-FR"/>
        </w:rPr>
        <w:br/>
      </w:r>
      <w:r w:rsidRPr="000F76D3">
        <w:rPr>
          <w:rFonts w:ascii="Segoe UI Emoji" w:hAnsi="Segoe UI Emoji" w:cs="Segoe UI Emoji"/>
          <w:lang w:val="fr-FR"/>
        </w:rPr>
        <w:t>✅</w:t>
      </w:r>
      <w:r w:rsidRPr="000F76D3">
        <w:rPr>
          <w:lang w:val="fr-FR"/>
        </w:rPr>
        <w:t xml:space="preserve"> </w:t>
      </w:r>
      <w:r w:rsidRPr="000F76D3">
        <w:rPr>
          <w:b/>
          <w:bCs/>
          <w:lang w:val="fr-FR"/>
        </w:rPr>
        <w:t>Validation des exigences et passage à la phase suivante (Phase B)</w:t>
      </w:r>
      <w:r w:rsidRPr="000F76D3">
        <w:rPr>
          <w:lang w:val="fr-FR"/>
        </w:rPr>
        <w:t xml:space="preserve"> si tout est conforme.</w:t>
      </w:r>
    </w:p>
    <w:p w14:paraId="0DCAC42E" w14:textId="77777777" w:rsidR="000F76D3" w:rsidRPr="000F76D3" w:rsidRDefault="000F76D3" w:rsidP="000F76D3">
      <w:r w:rsidRPr="000F76D3">
        <w:rPr>
          <w:lang w:val="fr-FR"/>
        </w:rPr>
        <w:t xml:space="preserve">La </w:t>
      </w:r>
      <w:r w:rsidRPr="000F76D3">
        <w:rPr>
          <w:b/>
          <w:bCs/>
          <w:lang w:val="fr-FR"/>
        </w:rPr>
        <w:t>SRR est un jalon essentiel</w:t>
      </w:r>
      <w:r w:rsidRPr="000F76D3">
        <w:rPr>
          <w:lang w:val="fr-FR"/>
        </w:rPr>
        <w:t xml:space="preserve"> qui garantit que la conception du </w:t>
      </w:r>
      <w:proofErr w:type="spellStart"/>
      <w:r w:rsidRPr="000F76D3">
        <w:rPr>
          <w:lang w:val="fr-FR"/>
        </w:rPr>
        <w:t>CubeSat</w:t>
      </w:r>
      <w:proofErr w:type="spellEnd"/>
      <w:r w:rsidRPr="000F76D3">
        <w:rPr>
          <w:lang w:val="fr-FR"/>
        </w:rPr>
        <w:t xml:space="preserve"> repose sur des bases solides avant d’entamer la conception préliminaire (Phase B). </w:t>
      </w:r>
      <w:r w:rsidRPr="000F76D3">
        <w:rPr>
          <w:rFonts w:ascii="Segoe UI Emoji" w:hAnsi="Segoe UI Emoji" w:cs="Segoe UI Emoji"/>
        </w:rPr>
        <w:t>🚀</w:t>
      </w:r>
    </w:p>
    <w:p w14:paraId="2047C801" w14:textId="77777777" w:rsidR="00F75F6F" w:rsidRPr="00D64BC9" w:rsidRDefault="00F75F6F">
      <w:pPr>
        <w:rPr>
          <w:lang w:val="fr-FR"/>
        </w:rPr>
      </w:pPr>
    </w:p>
    <w:sectPr w:rsidR="00F75F6F" w:rsidRPr="00D64B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A3238"/>
    <w:multiLevelType w:val="multilevel"/>
    <w:tmpl w:val="A3C2E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B3EF0"/>
    <w:multiLevelType w:val="multilevel"/>
    <w:tmpl w:val="6B783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6E1FCC"/>
    <w:multiLevelType w:val="multilevel"/>
    <w:tmpl w:val="0AA23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DF4F27"/>
    <w:multiLevelType w:val="multilevel"/>
    <w:tmpl w:val="A9E2B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BE7A08"/>
    <w:multiLevelType w:val="multilevel"/>
    <w:tmpl w:val="9D30E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8F4F11"/>
    <w:multiLevelType w:val="multilevel"/>
    <w:tmpl w:val="EB8AA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C55E6B"/>
    <w:multiLevelType w:val="multilevel"/>
    <w:tmpl w:val="DB667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8D6157"/>
    <w:multiLevelType w:val="multilevel"/>
    <w:tmpl w:val="498AB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3560769">
    <w:abstractNumId w:val="1"/>
  </w:num>
  <w:num w:numId="2" w16cid:durableId="1783764605">
    <w:abstractNumId w:val="4"/>
  </w:num>
  <w:num w:numId="3" w16cid:durableId="2081975602">
    <w:abstractNumId w:val="7"/>
  </w:num>
  <w:num w:numId="4" w16cid:durableId="717700214">
    <w:abstractNumId w:val="6"/>
  </w:num>
  <w:num w:numId="5" w16cid:durableId="125975267">
    <w:abstractNumId w:val="2"/>
  </w:num>
  <w:num w:numId="6" w16cid:durableId="1520655983">
    <w:abstractNumId w:val="5"/>
  </w:num>
  <w:num w:numId="7" w16cid:durableId="1375156552">
    <w:abstractNumId w:val="0"/>
  </w:num>
  <w:num w:numId="8" w16cid:durableId="1473297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BC9"/>
    <w:rsid w:val="000F76D3"/>
    <w:rsid w:val="003D4212"/>
    <w:rsid w:val="007D3B02"/>
    <w:rsid w:val="00C86704"/>
    <w:rsid w:val="00D64BC9"/>
    <w:rsid w:val="00F562BF"/>
    <w:rsid w:val="00F7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1538C"/>
  <w15:chartTrackingRefBased/>
  <w15:docId w15:val="{CC7E7C29-0FAC-4DA5-95B7-A294B93B5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64B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64B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64B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64B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64B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64B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64B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64B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64B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64B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64B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64B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64BC9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64BC9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64BC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64BC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64BC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64BC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64B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64B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64B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64B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64B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64BC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64BC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64BC9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64B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64BC9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D64B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8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Youssef OUADINE</dc:creator>
  <cp:keywords/>
  <dc:description/>
  <cp:lastModifiedBy>Ahmed Youssef OUADINE</cp:lastModifiedBy>
  <cp:revision>1</cp:revision>
  <dcterms:created xsi:type="dcterms:W3CDTF">2025-02-10T18:40:00Z</dcterms:created>
  <dcterms:modified xsi:type="dcterms:W3CDTF">2025-02-10T19:48:00Z</dcterms:modified>
</cp:coreProperties>
</file>