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AC1BE" w14:textId="77777777" w:rsidR="00E73347" w:rsidRPr="00E73347" w:rsidRDefault="00E73347" w:rsidP="00E73347">
      <w:pPr>
        <w:pStyle w:val="Titre"/>
      </w:pPr>
      <w:r w:rsidRPr="00E73347">
        <w:t>Les États Financiers : Une Vue d'Ensemble</w:t>
      </w:r>
    </w:p>
    <w:p w14:paraId="30791ACF" w14:textId="4ADCD683" w:rsidR="00E73347" w:rsidRDefault="00E73347" w:rsidP="00E73347">
      <w:pPr>
        <w:pStyle w:val="Titre1"/>
      </w:pPr>
      <w:r>
        <w:t>Introduction</w:t>
      </w:r>
    </w:p>
    <w:p w14:paraId="25677CFA" w14:textId="1F6CEAD1" w:rsidR="00E73347" w:rsidRPr="00E73347" w:rsidRDefault="00E73347" w:rsidP="00E73347">
      <w:r w:rsidRPr="00E73347">
        <w:t>Les états financiers sont des documents essentiels qui présentent la situation financière et les performances d'une entreprise sur une période donnée. Ils fournissent des informations cruciales aux investisseurs, créanciers, régulateurs et dirigeants pour évaluer la rentabilité, la solvabilité et la liquidité de l'entreprise.</w:t>
      </w:r>
    </w:p>
    <w:p w14:paraId="0E324C54" w14:textId="288F70E9" w:rsidR="00E73347" w:rsidRPr="00E73347" w:rsidRDefault="00E73347" w:rsidP="00E73347">
      <w:pPr>
        <w:rPr>
          <w:b/>
          <w:bCs/>
          <w:lang w:val="en-GB"/>
        </w:rPr>
      </w:pPr>
      <w:proofErr w:type="spellStart"/>
      <w:r w:rsidRPr="00E73347">
        <w:rPr>
          <w:b/>
          <w:bCs/>
          <w:lang w:val="en-GB"/>
        </w:rPr>
        <w:t>Principaux</w:t>
      </w:r>
      <w:proofErr w:type="spellEnd"/>
      <w:r w:rsidRPr="00E73347">
        <w:rPr>
          <w:b/>
          <w:bCs/>
          <w:lang w:val="en-GB"/>
        </w:rPr>
        <w:t xml:space="preserve"> États Financiers</w:t>
      </w:r>
      <w:r>
        <w:rPr>
          <w:b/>
          <w:bCs/>
          <w:lang w:val="en-GB"/>
        </w:rPr>
        <w:t>:</w:t>
      </w:r>
    </w:p>
    <w:p w14:paraId="3AA6ED43" w14:textId="77777777" w:rsidR="00E73347" w:rsidRPr="00E73347" w:rsidRDefault="00E73347" w:rsidP="00E73347">
      <w:pPr>
        <w:pStyle w:val="Paragraphedeliste"/>
        <w:numPr>
          <w:ilvl w:val="0"/>
          <w:numId w:val="6"/>
        </w:numPr>
        <w:rPr>
          <w:lang w:val="en-GB"/>
        </w:rPr>
      </w:pPr>
      <w:r w:rsidRPr="00E73347">
        <w:rPr>
          <w:lang w:val="en-GB"/>
        </w:rPr>
        <w:t>Bilan (Balance Sheet)</w:t>
      </w:r>
    </w:p>
    <w:p w14:paraId="4BD7430F" w14:textId="77777777" w:rsidR="00E73347" w:rsidRPr="00E73347" w:rsidRDefault="00E73347" w:rsidP="00E73347">
      <w:pPr>
        <w:pStyle w:val="Paragraphedeliste"/>
        <w:numPr>
          <w:ilvl w:val="0"/>
          <w:numId w:val="6"/>
        </w:numPr>
      </w:pPr>
      <w:r w:rsidRPr="00E73347">
        <w:t>Compte de Résultat (</w:t>
      </w:r>
      <w:proofErr w:type="spellStart"/>
      <w:r w:rsidRPr="00E73347">
        <w:t>Income</w:t>
      </w:r>
      <w:proofErr w:type="spellEnd"/>
      <w:r w:rsidRPr="00E73347">
        <w:t xml:space="preserve"> </w:t>
      </w:r>
      <w:proofErr w:type="spellStart"/>
      <w:r w:rsidRPr="00E73347">
        <w:t>Statement</w:t>
      </w:r>
      <w:proofErr w:type="spellEnd"/>
      <w:r w:rsidRPr="00E73347">
        <w:t>)</w:t>
      </w:r>
    </w:p>
    <w:p w14:paraId="4A62649F" w14:textId="77777777" w:rsidR="00E73347" w:rsidRPr="00E73347" w:rsidRDefault="00E73347" w:rsidP="00E73347">
      <w:pPr>
        <w:pStyle w:val="Paragraphedeliste"/>
        <w:numPr>
          <w:ilvl w:val="0"/>
          <w:numId w:val="6"/>
        </w:numPr>
      </w:pPr>
      <w:r w:rsidRPr="00E73347">
        <w:t>Tableau des Flux de Trésorerie (</w:t>
      </w:r>
      <w:proofErr w:type="spellStart"/>
      <w:r w:rsidRPr="00E73347">
        <w:t>Cash Flow</w:t>
      </w:r>
      <w:proofErr w:type="spellEnd"/>
      <w:r w:rsidRPr="00E73347">
        <w:t xml:space="preserve"> </w:t>
      </w:r>
      <w:proofErr w:type="spellStart"/>
      <w:r w:rsidRPr="00E73347">
        <w:t>Statement</w:t>
      </w:r>
      <w:proofErr w:type="spellEnd"/>
      <w:r w:rsidRPr="00E73347">
        <w:t>)</w:t>
      </w:r>
    </w:p>
    <w:p w14:paraId="4069D0B6" w14:textId="77777777" w:rsidR="00E73347" w:rsidRPr="00E73347" w:rsidRDefault="00E73347" w:rsidP="00E73347">
      <w:pPr>
        <w:pStyle w:val="Paragraphedeliste"/>
        <w:numPr>
          <w:ilvl w:val="0"/>
          <w:numId w:val="6"/>
        </w:numPr>
      </w:pPr>
      <w:r w:rsidRPr="00E73347">
        <w:t>État des Variations des Capitaux Propres (</w:t>
      </w:r>
      <w:proofErr w:type="spellStart"/>
      <w:r w:rsidRPr="00E73347">
        <w:t>Statement</w:t>
      </w:r>
      <w:proofErr w:type="spellEnd"/>
      <w:r w:rsidRPr="00E73347">
        <w:t xml:space="preserve"> of Changes in </w:t>
      </w:r>
      <w:proofErr w:type="spellStart"/>
      <w:r w:rsidRPr="00E73347">
        <w:t>Equity</w:t>
      </w:r>
      <w:proofErr w:type="spellEnd"/>
      <w:r w:rsidRPr="00E73347">
        <w:t>)</w:t>
      </w:r>
    </w:p>
    <w:p w14:paraId="30A8440B" w14:textId="72DA45A4" w:rsidR="008B2621" w:rsidRDefault="008B2621" w:rsidP="00E73347">
      <w:pPr>
        <w:pStyle w:val="Titre1"/>
      </w:pPr>
      <w:r w:rsidRPr="008B2621">
        <w:t xml:space="preserve">BILAN </w:t>
      </w:r>
      <w:r w:rsidRPr="00E50BA0">
        <w:t>COMPTABLE</w:t>
      </w:r>
      <w:r w:rsidRPr="008B2621">
        <w:t xml:space="preserve"> </w:t>
      </w:r>
      <w:r>
        <w:t>(</w:t>
      </w:r>
      <w:r w:rsidR="00E50BA0" w:rsidRPr="008B2621">
        <w:t xml:space="preserve">Balance </w:t>
      </w:r>
      <w:proofErr w:type="spellStart"/>
      <w:r w:rsidR="00E50BA0" w:rsidRPr="008B2621">
        <w:t>Sheet</w:t>
      </w:r>
      <w:proofErr w:type="spellEnd"/>
      <w:r w:rsidR="00E50BA0" w:rsidRPr="008B2621">
        <w:t xml:space="preserve"> </w:t>
      </w:r>
      <w:r>
        <w:t>)</w:t>
      </w:r>
    </w:p>
    <w:p w14:paraId="24A84AFA" w14:textId="42471F61" w:rsidR="008B2621" w:rsidRPr="008B2621" w:rsidRDefault="008B2621" w:rsidP="00E73347">
      <w:r w:rsidRPr="008B2621">
        <w:t xml:space="preserve">L’Actif (Assets) : </w:t>
      </w:r>
    </w:p>
    <w:p w14:paraId="67510BFF" w14:textId="2EF75C59" w:rsidR="008B2621" w:rsidRDefault="008B2621" w:rsidP="00E73347">
      <w:r w:rsidRPr="008B2621">
        <w:t>Le Passif (</w:t>
      </w:r>
      <w:proofErr w:type="spellStart"/>
      <w:r w:rsidRPr="008B2621">
        <w:t>Liabilities</w:t>
      </w:r>
      <w:proofErr w:type="spellEnd"/>
      <w:r w:rsidRPr="008B2621">
        <w:t xml:space="preserve"> &amp; </w:t>
      </w:r>
      <w:proofErr w:type="spellStart"/>
      <w:r w:rsidRPr="008B2621">
        <w:t>Equity</w:t>
      </w:r>
      <w:proofErr w:type="spellEnd"/>
      <w:r w:rsidR="00E73347">
        <w:t>)</w:t>
      </w:r>
    </w:p>
    <w:p w14:paraId="43106049" w14:textId="739F36D1" w:rsidR="008B2621" w:rsidRPr="008B2621" w:rsidRDefault="008B2621" w:rsidP="00EF5529">
      <w:pPr>
        <w:pStyle w:val="Titre2"/>
      </w:pPr>
      <w:r w:rsidRPr="008B2621">
        <w:t xml:space="preserve">Qu'est-ce qu'un </w:t>
      </w:r>
      <w:r w:rsidRPr="00E50BA0">
        <w:t>Bilan</w:t>
      </w:r>
      <w:r w:rsidRPr="008B2621">
        <w:t xml:space="preserve"> </w:t>
      </w:r>
      <w:r w:rsidRPr="001436C4">
        <w:t>Comptable</w:t>
      </w:r>
      <w:r w:rsidRPr="008B2621">
        <w:t xml:space="preserve"> ?</w:t>
      </w:r>
    </w:p>
    <w:p w14:paraId="664AABA1" w14:textId="77777777" w:rsidR="008B2621" w:rsidRPr="008B2621" w:rsidRDefault="008B2621" w:rsidP="00E73347">
      <w:r w:rsidRPr="008B2621">
        <w:t xml:space="preserve">Le </w:t>
      </w:r>
      <w:r w:rsidRPr="008B2621">
        <w:rPr>
          <w:b/>
          <w:bCs/>
        </w:rPr>
        <w:t>bilan comptable</w:t>
      </w:r>
      <w:r w:rsidRPr="008B2621">
        <w:t xml:space="preserve"> (ou "balance </w:t>
      </w:r>
      <w:proofErr w:type="spellStart"/>
      <w:r w:rsidRPr="008B2621">
        <w:t>sheet</w:t>
      </w:r>
      <w:proofErr w:type="spellEnd"/>
      <w:r w:rsidRPr="008B2621">
        <w:t>" en anglais) est un document financier qui résume la situation financière d’une entreprise à un moment donné. Il se compose de deux grandes parties :</w:t>
      </w:r>
    </w:p>
    <w:p w14:paraId="59A73AE5" w14:textId="77777777" w:rsidR="008B2621" w:rsidRPr="008B2621" w:rsidRDefault="008B2621" w:rsidP="00E73347">
      <w:pPr>
        <w:pStyle w:val="Paragraphedeliste"/>
        <w:numPr>
          <w:ilvl w:val="0"/>
          <w:numId w:val="1"/>
        </w:numPr>
      </w:pPr>
      <w:r w:rsidRPr="008B2621">
        <w:t>L’ACTIF (ce que l’entreprise possède) :</w:t>
      </w:r>
    </w:p>
    <w:p w14:paraId="7F8B433F" w14:textId="77777777" w:rsidR="008B2621" w:rsidRPr="008B2621" w:rsidRDefault="008B2621" w:rsidP="00E73347">
      <w:pPr>
        <w:pStyle w:val="Paragraphedeliste"/>
        <w:numPr>
          <w:ilvl w:val="1"/>
          <w:numId w:val="1"/>
        </w:numPr>
      </w:pPr>
      <w:r w:rsidRPr="008B2621">
        <w:t>Biens et ressources ayant une valeur pour l’entreprise (locaux, équipements, stocks, argent en banque, créances clients).</w:t>
      </w:r>
    </w:p>
    <w:p w14:paraId="1C9FC2D9" w14:textId="77777777" w:rsidR="008B2621" w:rsidRPr="008B2621" w:rsidRDefault="008B2621" w:rsidP="00E73347">
      <w:pPr>
        <w:pStyle w:val="Paragraphedeliste"/>
        <w:numPr>
          <w:ilvl w:val="0"/>
          <w:numId w:val="1"/>
        </w:numPr>
      </w:pPr>
      <w:r w:rsidRPr="008B2621">
        <w:t>LE PASSIF (ce que l’entreprise doit et son financement) :</w:t>
      </w:r>
    </w:p>
    <w:p w14:paraId="3802B528" w14:textId="77777777" w:rsidR="008B2621" w:rsidRPr="008B2621" w:rsidRDefault="008B2621" w:rsidP="00E73347">
      <w:pPr>
        <w:pStyle w:val="Paragraphedeliste"/>
        <w:numPr>
          <w:ilvl w:val="1"/>
          <w:numId w:val="1"/>
        </w:numPr>
      </w:pPr>
      <w:r w:rsidRPr="008B2621">
        <w:t>Dettes, emprunts et fonds propres (capital des actionnaires, bénéfices accumulés).</w:t>
      </w:r>
    </w:p>
    <w:p w14:paraId="5AEC8D75" w14:textId="77777777" w:rsidR="008B2621" w:rsidRPr="008B2621" w:rsidRDefault="008B2621" w:rsidP="00E73347">
      <w:r w:rsidRPr="008B2621">
        <w:rPr>
          <w:rFonts w:ascii="Segoe UI Emoji" w:hAnsi="Segoe UI Emoji" w:cs="Segoe UI Emoji"/>
        </w:rPr>
        <w:t>⚖️</w:t>
      </w:r>
      <w:r w:rsidRPr="008B2621">
        <w:t xml:space="preserve"> Règle fondamentale du bilan :</w:t>
      </w:r>
    </w:p>
    <w:p w14:paraId="22C70BDD" w14:textId="77777777" w:rsidR="00E50BA0" w:rsidRDefault="00E50BA0" w:rsidP="00E73347">
      <w:r w:rsidRPr="00E50BA0">
        <w:t>Actif = Passif + Capitaux propres</w:t>
      </w:r>
    </w:p>
    <w:p w14:paraId="3FFB97BF" w14:textId="5D3058AF" w:rsidR="008B2621" w:rsidRPr="008B2621" w:rsidRDefault="008B2621" w:rsidP="00E73347">
      <w:r w:rsidRPr="008B2621">
        <w:t xml:space="preserve">L’entreprise finance ses actifs soit avec </w:t>
      </w:r>
      <w:r w:rsidRPr="008B2621">
        <w:rPr>
          <w:b/>
          <w:bCs/>
        </w:rPr>
        <w:t>ses propres ressources</w:t>
      </w:r>
      <w:r w:rsidRPr="008B2621">
        <w:t xml:space="preserve">, soit avec </w:t>
      </w:r>
      <w:r w:rsidRPr="008B2621">
        <w:rPr>
          <w:b/>
          <w:bCs/>
        </w:rPr>
        <w:t>des dettes</w:t>
      </w:r>
      <w:r w:rsidRPr="008B2621">
        <w:t>.</w:t>
      </w:r>
    </w:p>
    <w:p w14:paraId="31F956D9" w14:textId="77777777" w:rsidR="008B2621" w:rsidRPr="008B2621" w:rsidRDefault="00000000" w:rsidP="00E73347">
      <w:r>
        <w:pict w14:anchorId="5A909DE2">
          <v:rect id="_x0000_i1026" style="width:0;height:1.5pt" o:hralign="center" o:hrstd="t" o:hr="t" fillcolor="#a0a0a0" stroked="f"/>
        </w:pict>
      </w:r>
    </w:p>
    <w:p w14:paraId="4585A237" w14:textId="63A26E01" w:rsidR="008B2621" w:rsidRPr="008B2621" w:rsidRDefault="008B2621" w:rsidP="00EF5529">
      <w:pPr>
        <w:pStyle w:val="Titre2"/>
      </w:pPr>
      <w:r w:rsidRPr="008B2621">
        <w:t>Exemple de Bilan Comptable</w:t>
      </w:r>
    </w:p>
    <w:p w14:paraId="32ACFA96" w14:textId="77777777" w:rsidR="008B2621" w:rsidRPr="008B2621" w:rsidRDefault="008B2621" w:rsidP="00E73347">
      <w:r w:rsidRPr="008B2621">
        <w:t xml:space="preserve">Imaginons une entreprise </w:t>
      </w:r>
      <w:proofErr w:type="spellStart"/>
      <w:r w:rsidRPr="008B2621">
        <w:rPr>
          <w:b/>
          <w:bCs/>
        </w:rPr>
        <w:t>FashionStyle</w:t>
      </w:r>
      <w:proofErr w:type="spellEnd"/>
      <w:r w:rsidRPr="008B2621">
        <w:rPr>
          <w:b/>
          <w:bCs/>
        </w:rPr>
        <w:t xml:space="preserve"> SARL</w:t>
      </w:r>
      <w:r w:rsidRPr="008B2621">
        <w:t xml:space="preserve">, spécialisée dans la vente de vêtements. Voici son bilan comptable au </w:t>
      </w:r>
      <w:r w:rsidRPr="008B2621">
        <w:rPr>
          <w:b/>
          <w:bCs/>
        </w:rPr>
        <w:t>31 décembre 2024</w:t>
      </w:r>
      <w:r w:rsidRPr="008B2621">
        <w:t xml:space="preserve"> :</w:t>
      </w:r>
    </w:p>
    <w:p w14:paraId="311627D5" w14:textId="77777777" w:rsidR="008B2621" w:rsidRPr="008B2621" w:rsidRDefault="008B2621" w:rsidP="00E73347">
      <w:r w:rsidRPr="008B2621">
        <w:rPr>
          <w:rFonts w:ascii="Segoe UI Emoji" w:hAnsi="Segoe UI Emoji" w:cs="Segoe UI Emoji"/>
        </w:rPr>
        <w:t>📌</w:t>
      </w:r>
      <w:r w:rsidRPr="008B2621">
        <w:t xml:space="preserve"> ACTIF (ce que l’entreprise possède)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81"/>
        <w:gridCol w:w="1269"/>
      </w:tblGrid>
      <w:tr w:rsidR="008B2621" w:rsidRPr="008B2621" w14:paraId="6F93A750" w14:textId="77777777" w:rsidTr="00E50BA0">
        <w:trPr>
          <w:tblHeader/>
          <w:tblCellSpacing w:w="15" w:type="dxa"/>
        </w:trPr>
        <w:tc>
          <w:tcPr>
            <w:tcW w:w="0" w:type="auto"/>
            <w:vAlign w:val="center"/>
            <w:hideMark/>
          </w:tcPr>
          <w:p w14:paraId="3A02D9F7" w14:textId="77777777" w:rsidR="008B2621" w:rsidRPr="008B2621" w:rsidRDefault="008B2621" w:rsidP="00E73347">
            <w:r w:rsidRPr="008B2621">
              <w:t>Actif</w:t>
            </w:r>
          </w:p>
        </w:tc>
        <w:tc>
          <w:tcPr>
            <w:tcW w:w="0" w:type="auto"/>
            <w:vAlign w:val="center"/>
            <w:hideMark/>
          </w:tcPr>
          <w:p w14:paraId="1A70AC6E" w14:textId="77777777" w:rsidR="008B2621" w:rsidRPr="008B2621" w:rsidRDefault="008B2621" w:rsidP="00E73347">
            <w:r w:rsidRPr="008B2621">
              <w:t>Montant (€)</w:t>
            </w:r>
          </w:p>
        </w:tc>
      </w:tr>
      <w:tr w:rsidR="008B2621" w:rsidRPr="008B2621" w14:paraId="39ECB982" w14:textId="77777777" w:rsidTr="00E50BA0">
        <w:trPr>
          <w:tblCellSpacing w:w="15" w:type="dxa"/>
        </w:trPr>
        <w:tc>
          <w:tcPr>
            <w:tcW w:w="0" w:type="auto"/>
            <w:vAlign w:val="center"/>
            <w:hideMark/>
          </w:tcPr>
          <w:p w14:paraId="0E86A07A" w14:textId="77777777" w:rsidR="008B2621" w:rsidRPr="008B2621" w:rsidRDefault="008B2621" w:rsidP="00E73347">
            <w:r w:rsidRPr="008B2621">
              <w:rPr>
                <w:rFonts w:ascii="Segoe UI Emoji" w:hAnsi="Segoe UI Emoji" w:cs="Segoe UI Emoji"/>
              </w:rPr>
              <w:t>🏢</w:t>
            </w:r>
            <w:r w:rsidRPr="008B2621">
              <w:t xml:space="preserve"> </w:t>
            </w:r>
            <w:r w:rsidRPr="008B2621">
              <w:rPr>
                <w:b/>
                <w:bCs/>
              </w:rPr>
              <w:t>Locaux &amp; équipements</w:t>
            </w:r>
            <w:r w:rsidRPr="008B2621">
              <w:t xml:space="preserve"> (magasin, machines)</w:t>
            </w:r>
          </w:p>
        </w:tc>
        <w:tc>
          <w:tcPr>
            <w:tcW w:w="0" w:type="auto"/>
            <w:vAlign w:val="center"/>
            <w:hideMark/>
          </w:tcPr>
          <w:p w14:paraId="5DC717E6" w14:textId="77777777" w:rsidR="008B2621" w:rsidRPr="008B2621" w:rsidRDefault="008B2621" w:rsidP="00E73347">
            <w:r w:rsidRPr="008B2621">
              <w:t>50 000</w:t>
            </w:r>
          </w:p>
        </w:tc>
      </w:tr>
      <w:tr w:rsidR="008B2621" w:rsidRPr="008B2621" w14:paraId="72E5550E" w14:textId="77777777" w:rsidTr="00E50BA0">
        <w:trPr>
          <w:tblCellSpacing w:w="15" w:type="dxa"/>
        </w:trPr>
        <w:tc>
          <w:tcPr>
            <w:tcW w:w="0" w:type="auto"/>
            <w:vAlign w:val="center"/>
            <w:hideMark/>
          </w:tcPr>
          <w:p w14:paraId="499579BB" w14:textId="77777777" w:rsidR="008B2621" w:rsidRPr="008B2621" w:rsidRDefault="008B2621" w:rsidP="00E73347">
            <w:r w:rsidRPr="008B2621">
              <w:rPr>
                <w:rFonts w:ascii="Segoe UI Emoji" w:hAnsi="Segoe UI Emoji" w:cs="Segoe UI Emoji"/>
              </w:rPr>
              <w:t>👕</w:t>
            </w:r>
            <w:r w:rsidRPr="008B2621">
              <w:t xml:space="preserve"> </w:t>
            </w:r>
            <w:r w:rsidRPr="008B2621">
              <w:rPr>
                <w:b/>
                <w:bCs/>
              </w:rPr>
              <w:t>Stocks</w:t>
            </w:r>
            <w:r w:rsidRPr="008B2621">
              <w:t xml:space="preserve"> (vêtements en stock)</w:t>
            </w:r>
          </w:p>
        </w:tc>
        <w:tc>
          <w:tcPr>
            <w:tcW w:w="0" w:type="auto"/>
            <w:vAlign w:val="center"/>
            <w:hideMark/>
          </w:tcPr>
          <w:p w14:paraId="066BDC0B" w14:textId="77777777" w:rsidR="008B2621" w:rsidRPr="008B2621" w:rsidRDefault="008B2621" w:rsidP="00E73347">
            <w:r w:rsidRPr="008B2621">
              <w:t>20 000</w:t>
            </w:r>
          </w:p>
        </w:tc>
      </w:tr>
      <w:tr w:rsidR="008B2621" w:rsidRPr="008B2621" w14:paraId="4FB008E1" w14:textId="77777777" w:rsidTr="00E50BA0">
        <w:trPr>
          <w:tblCellSpacing w:w="15" w:type="dxa"/>
        </w:trPr>
        <w:tc>
          <w:tcPr>
            <w:tcW w:w="0" w:type="auto"/>
            <w:vAlign w:val="center"/>
            <w:hideMark/>
          </w:tcPr>
          <w:p w14:paraId="62FCE9BA" w14:textId="77777777" w:rsidR="008B2621" w:rsidRPr="008B2621" w:rsidRDefault="008B2621" w:rsidP="00E73347">
            <w:r w:rsidRPr="008B2621">
              <w:rPr>
                <w:rFonts w:ascii="Segoe UI Emoji" w:hAnsi="Segoe UI Emoji" w:cs="Segoe UI Emoji"/>
              </w:rPr>
              <w:t>💰</w:t>
            </w:r>
            <w:r w:rsidRPr="008B2621">
              <w:t xml:space="preserve"> </w:t>
            </w:r>
            <w:r w:rsidRPr="008B2621">
              <w:rPr>
                <w:b/>
                <w:bCs/>
              </w:rPr>
              <w:t>Créances clients</w:t>
            </w:r>
            <w:r w:rsidRPr="008B2621">
              <w:t xml:space="preserve"> (clients qui doivent encore payer)</w:t>
            </w:r>
          </w:p>
        </w:tc>
        <w:tc>
          <w:tcPr>
            <w:tcW w:w="0" w:type="auto"/>
            <w:vAlign w:val="center"/>
            <w:hideMark/>
          </w:tcPr>
          <w:p w14:paraId="1B9F774A" w14:textId="77777777" w:rsidR="008B2621" w:rsidRPr="008B2621" w:rsidRDefault="008B2621" w:rsidP="00E73347">
            <w:r w:rsidRPr="008B2621">
              <w:t>10 000</w:t>
            </w:r>
          </w:p>
        </w:tc>
      </w:tr>
      <w:tr w:rsidR="008B2621" w:rsidRPr="008B2621" w14:paraId="3EA3EFED" w14:textId="77777777" w:rsidTr="00E50BA0">
        <w:trPr>
          <w:tblCellSpacing w:w="15" w:type="dxa"/>
        </w:trPr>
        <w:tc>
          <w:tcPr>
            <w:tcW w:w="0" w:type="auto"/>
            <w:vAlign w:val="center"/>
            <w:hideMark/>
          </w:tcPr>
          <w:p w14:paraId="2F518604" w14:textId="77777777" w:rsidR="008B2621" w:rsidRPr="008B2621" w:rsidRDefault="008B2621" w:rsidP="00E73347">
            <w:r w:rsidRPr="008B2621">
              <w:rPr>
                <w:rFonts w:ascii="Segoe UI Emoji" w:hAnsi="Segoe UI Emoji" w:cs="Segoe UI Emoji"/>
              </w:rPr>
              <w:t>💶</w:t>
            </w:r>
            <w:r w:rsidRPr="008B2621">
              <w:t xml:space="preserve"> </w:t>
            </w:r>
            <w:r w:rsidRPr="008B2621">
              <w:rPr>
                <w:b/>
                <w:bCs/>
              </w:rPr>
              <w:t>Trésorerie</w:t>
            </w:r>
            <w:r w:rsidRPr="008B2621">
              <w:t xml:space="preserve"> (argent en banque)</w:t>
            </w:r>
          </w:p>
        </w:tc>
        <w:tc>
          <w:tcPr>
            <w:tcW w:w="0" w:type="auto"/>
            <w:vAlign w:val="center"/>
            <w:hideMark/>
          </w:tcPr>
          <w:p w14:paraId="658F1EF8" w14:textId="77777777" w:rsidR="008B2621" w:rsidRPr="008B2621" w:rsidRDefault="008B2621" w:rsidP="00E73347">
            <w:r w:rsidRPr="008B2621">
              <w:t>30 000</w:t>
            </w:r>
          </w:p>
        </w:tc>
      </w:tr>
      <w:tr w:rsidR="008B2621" w:rsidRPr="008B2621" w14:paraId="29F9957E" w14:textId="77777777" w:rsidTr="00E50BA0">
        <w:trPr>
          <w:tblCellSpacing w:w="15" w:type="dxa"/>
        </w:trPr>
        <w:tc>
          <w:tcPr>
            <w:tcW w:w="0" w:type="auto"/>
            <w:vAlign w:val="center"/>
            <w:hideMark/>
          </w:tcPr>
          <w:p w14:paraId="32383D27" w14:textId="77777777" w:rsidR="008B2621" w:rsidRPr="008B2621" w:rsidRDefault="008B2621" w:rsidP="00E73347">
            <w:r w:rsidRPr="008B2621">
              <w:t>TOTAL ACTIF</w:t>
            </w:r>
          </w:p>
        </w:tc>
        <w:tc>
          <w:tcPr>
            <w:tcW w:w="0" w:type="auto"/>
            <w:vAlign w:val="center"/>
            <w:hideMark/>
          </w:tcPr>
          <w:p w14:paraId="328EC3C8" w14:textId="77777777" w:rsidR="008B2621" w:rsidRPr="008B2621" w:rsidRDefault="008B2621" w:rsidP="00E73347">
            <w:r w:rsidRPr="008B2621">
              <w:t>110 000</w:t>
            </w:r>
          </w:p>
        </w:tc>
      </w:tr>
    </w:tbl>
    <w:p w14:paraId="3706B160" w14:textId="77777777" w:rsidR="00E50BA0" w:rsidRDefault="00E50BA0" w:rsidP="00E73347"/>
    <w:p w14:paraId="66E8C156" w14:textId="1CC7C614" w:rsidR="008B2621" w:rsidRPr="008B2621" w:rsidRDefault="008B2621" w:rsidP="00E73347">
      <w:r w:rsidRPr="008B2621">
        <w:rPr>
          <w:rFonts w:ascii="Segoe UI Emoji" w:hAnsi="Segoe UI Emoji" w:cs="Segoe UI Emoji"/>
        </w:rPr>
        <w:lastRenderedPageBreak/>
        <w:t>📌</w:t>
      </w:r>
      <w:r w:rsidRPr="008B2621">
        <w:t xml:space="preserve"> PASSIF (comment c'est financé)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03"/>
        <w:gridCol w:w="1269"/>
      </w:tblGrid>
      <w:tr w:rsidR="008B2621" w:rsidRPr="008B2621" w14:paraId="45F928DC" w14:textId="77777777" w:rsidTr="00E50BA0">
        <w:trPr>
          <w:tblHeader/>
          <w:tblCellSpacing w:w="15" w:type="dxa"/>
        </w:trPr>
        <w:tc>
          <w:tcPr>
            <w:tcW w:w="0" w:type="auto"/>
            <w:vAlign w:val="center"/>
            <w:hideMark/>
          </w:tcPr>
          <w:p w14:paraId="0A4DF3C9" w14:textId="77777777" w:rsidR="008B2621" w:rsidRPr="008B2621" w:rsidRDefault="008B2621" w:rsidP="00E73347">
            <w:r w:rsidRPr="008B2621">
              <w:t>Passif</w:t>
            </w:r>
          </w:p>
        </w:tc>
        <w:tc>
          <w:tcPr>
            <w:tcW w:w="0" w:type="auto"/>
            <w:vAlign w:val="center"/>
            <w:hideMark/>
          </w:tcPr>
          <w:p w14:paraId="6B8E1CF1" w14:textId="77777777" w:rsidR="008B2621" w:rsidRPr="008B2621" w:rsidRDefault="008B2621" w:rsidP="00E73347">
            <w:r w:rsidRPr="008B2621">
              <w:t>Montant (€)</w:t>
            </w:r>
          </w:p>
        </w:tc>
      </w:tr>
      <w:tr w:rsidR="008B2621" w:rsidRPr="008B2621" w14:paraId="23DFEB5C" w14:textId="77777777" w:rsidTr="00E50BA0">
        <w:trPr>
          <w:tblCellSpacing w:w="15" w:type="dxa"/>
        </w:trPr>
        <w:tc>
          <w:tcPr>
            <w:tcW w:w="0" w:type="auto"/>
            <w:vAlign w:val="center"/>
            <w:hideMark/>
          </w:tcPr>
          <w:p w14:paraId="02A15B90" w14:textId="77777777" w:rsidR="008B2621" w:rsidRPr="008B2621" w:rsidRDefault="008B2621" w:rsidP="00E73347">
            <w:r w:rsidRPr="008B2621">
              <w:rPr>
                <w:rFonts w:ascii="Segoe UI Emoji" w:hAnsi="Segoe UI Emoji" w:cs="Segoe UI Emoji"/>
              </w:rPr>
              <w:t>🏦</w:t>
            </w:r>
            <w:r w:rsidRPr="008B2621">
              <w:t xml:space="preserve"> </w:t>
            </w:r>
            <w:r w:rsidRPr="008B2621">
              <w:rPr>
                <w:b/>
                <w:bCs/>
              </w:rPr>
              <w:t>Emprunt bancaire</w:t>
            </w:r>
            <w:r w:rsidRPr="008B2621">
              <w:t xml:space="preserve"> (prêt à la banque)</w:t>
            </w:r>
          </w:p>
        </w:tc>
        <w:tc>
          <w:tcPr>
            <w:tcW w:w="0" w:type="auto"/>
            <w:vAlign w:val="center"/>
            <w:hideMark/>
          </w:tcPr>
          <w:p w14:paraId="03425C69" w14:textId="77777777" w:rsidR="008B2621" w:rsidRPr="008B2621" w:rsidRDefault="008B2621" w:rsidP="00E73347">
            <w:r w:rsidRPr="008B2621">
              <w:t>40 000</w:t>
            </w:r>
          </w:p>
        </w:tc>
      </w:tr>
      <w:tr w:rsidR="008B2621" w:rsidRPr="008B2621" w14:paraId="51539420" w14:textId="77777777" w:rsidTr="00E50BA0">
        <w:trPr>
          <w:tblCellSpacing w:w="15" w:type="dxa"/>
        </w:trPr>
        <w:tc>
          <w:tcPr>
            <w:tcW w:w="0" w:type="auto"/>
            <w:vAlign w:val="center"/>
            <w:hideMark/>
          </w:tcPr>
          <w:p w14:paraId="6054F046" w14:textId="77777777" w:rsidR="008B2621" w:rsidRPr="008B2621" w:rsidRDefault="008B2621" w:rsidP="00E73347">
            <w:r w:rsidRPr="008B2621">
              <w:rPr>
                <w:rFonts w:ascii="Segoe UI Emoji" w:hAnsi="Segoe UI Emoji" w:cs="Segoe UI Emoji"/>
              </w:rPr>
              <w:t>📑</w:t>
            </w:r>
            <w:r w:rsidRPr="008B2621">
              <w:t xml:space="preserve"> </w:t>
            </w:r>
            <w:r w:rsidRPr="008B2621">
              <w:rPr>
                <w:b/>
                <w:bCs/>
              </w:rPr>
              <w:t>Dettes fournisseurs</w:t>
            </w:r>
            <w:r w:rsidRPr="008B2621">
              <w:t xml:space="preserve"> (factures à payer)</w:t>
            </w:r>
          </w:p>
        </w:tc>
        <w:tc>
          <w:tcPr>
            <w:tcW w:w="0" w:type="auto"/>
            <w:vAlign w:val="center"/>
            <w:hideMark/>
          </w:tcPr>
          <w:p w14:paraId="3592870B" w14:textId="77777777" w:rsidR="008B2621" w:rsidRPr="008B2621" w:rsidRDefault="008B2621" w:rsidP="00E73347">
            <w:r w:rsidRPr="008B2621">
              <w:t>10 000</w:t>
            </w:r>
          </w:p>
        </w:tc>
      </w:tr>
      <w:tr w:rsidR="008B2621" w:rsidRPr="008B2621" w14:paraId="409EFAEC" w14:textId="77777777" w:rsidTr="00E50BA0">
        <w:trPr>
          <w:tblCellSpacing w:w="15" w:type="dxa"/>
        </w:trPr>
        <w:tc>
          <w:tcPr>
            <w:tcW w:w="0" w:type="auto"/>
            <w:vAlign w:val="center"/>
            <w:hideMark/>
          </w:tcPr>
          <w:p w14:paraId="0E667562" w14:textId="77777777" w:rsidR="008B2621" w:rsidRPr="008B2621" w:rsidRDefault="008B2621" w:rsidP="00E73347">
            <w:r w:rsidRPr="008B2621">
              <w:rPr>
                <w:rFonts w:ascii="Segoe UI Emoji" w:hAnsi="Segoe UI Emoji" w:cs="Segoe UI Emoji"/>
              </w:rPr>
              <w:t>🏛️</w:t>
            </w:r>
            <w:r w:rsidRPr="008B2621">
              <w:t xml:space="preserve"> </w:t>
            </w:r>
            <w:r w:rsidRPr="008B2621">
              <w:rPr>
                <w:b/>
                <w:bCs/>
              </w:rPr>
              <w:t>Capitaux propres</w:t>
            </w:r>
            <w:r w:rsidRPr="008B2621">
              <w:t xml:space="preserve"> (argent des actionnaires + bénéfices)</w:t>
            </w:r>
          </w:p>
        </w:tc>
        <w:tc>
          <w:tcPr>
            <w:tcW w:w="0" w:type="auto"/>
            <w:vAlign w:val="center"/>
            <w:hideMark/>
          </w:tcPr>
          <w:p w14:paraId="0BB1D758" w14:textId="77777777" w:rsidR="008B2621" w:rsidRPr="008B2621" w:rsidRDefault="008B2621" w:rsidP="00E73347">
            <w:r w:rsidRPr="008B2621">
              <w:t>60 000</w:t>
            </w:r>
          </w:p>
        </w:tc>
      </w:tr>
      <w:tr w:rsidR="008B2621" w:rsidRPr="008B2621" w14:paraId="45048A4C" w14:textId="77777777" w:rsidTr="00E50BA0">
        <w:trPr>
          <w:tblCellSpacing w:w="15" w:type="dxa"/>
        </w:trPr>
        <w:tc>
          <w:tcPr>
            <w:tcW w:w="0" w:type="auto"/>
            <w:vAlign w:val="center"/>
            <w:hideMark/>
          </w:tcPr>
          <w:p w14:paraId="2E0D132A" w14:textId="77777777" w:rsidR="008B2621" w:rsidRPr="008B2621" w:rsidRDefault="008B2621" w:rsidP="00E73347">
            <w:r w:rsidRPr="008B2621">
              <w:t>TOTAL PASSIF</w:t>
            </w:r>
          </w:p>
        </w:tc>
        <w:tc>
          <w:tcPr>
            <w:tcW w:w="0" w:type="auto"/>
            <w:vAlign w:val="center"/>
            <w:hideMark/>
          </w:tcPr>
          <w:p w14:paraId="46A50D85" w14:textId="77777777" w:rsidR="008B2621" w:rsidRPr="008B2621" w:rsidRDefault="008B2621" w:rsidP="00E73347">
            <w:r w:rsidRPr="008B2621">
              <w:t>110 000</w:t>
            </w:r>
          </w:p>
        </w:tc>
      </w:tr>
    </w:tbl>
    <w:p w14:paraId="5A3A5D6D" w14:textId="77777777" w:rsidR="008B2621" w:rsidRPr="008B2621" w:rsidRDefault="00000000" w:rsidP="00E73347">
      <w:r>
        <w:pict w14:anchorId="7905BF70">
          <v:rect id="_x0000_i1027" style="width:0;height:1.5pt" o:hralign="center" o:hrstd="t" o:hr="t" fillcolor="#a0a0a0" stroked="f"/>
        </w:pict>
      </w:r>
    </w:p>
    <w:p w14:paraId="0C1EF3F2" w14:textId="691533F4" w:rsidR="008B2621" w:rsidRPr="00255605" w:rsidRDefault="008B2621" w:rsidP="00255605">
      <w:pPr>
        <w:rPr>
          <w:b/>
          <w:bCs/>
          <w:u w:val="single"/>
        </w:rPr>
      </w:pPr>
      <w:r w:rsidRPr="00255605">
        <w:rPr>
          <w:b/>
          <w:bCs/>
          <w:u w:val="single"/>
        </w:rPr>
        <w:t>Analyse et Importance du Bilan</w:t>
      </w:r>
    </w:p>
    <w:p w14:paraId="1A813A1F" w14:textId="77777777" w:rsidR="008B2621" w:rsidRPr="008B2621" w:rsidRDefault="008B2621" w:rsidP="00E73347">
      <w:r w:rsidRPr="008B2621">
        <w:rPr>
          <w:rFonts w:ascii="Segoe UI Emoji" w:hAnsi="Segoe UI Emoji" w:cs="Segoe UI Emoji"/>
        </w:rPr>
        <w:t>🔍</w:t>
      </w:r>
      <w:r w:rsidRPr="008B2621">
        <w:t xml:space="preserve"> Interprétation du bilan :</w:t>
      </w:r>
    </w:p>
    <w:p w14:paraId="6A9F7B5F" w14:textId="77777777" w:rsidR="008B2621" w:rsidRPr="008B2621" w:rsidRDefault="008B2621" w:rsidP="00E73347">
      <w:pPr>
        <w:pStyle w:val="Paragraphedeliste"/>
        <w:numPr>
          <w:ilvl w:val="0"/>
          <w:numId w:val="2"/>
        </w:numPr>
      </w:pPr>
      <w:r w:rsidRPr="008B2621">
        <w:t xml:space="preserve">L’entreprise possède </w:t>
      </w:r>
      <w:r w:rsidRPr="00E73347">
        <w:rPr>
          <w:b/>
          <w:bCs/>
        </w:rPr>
        <w:t>110 000 € d’actifs</w:t>
      </w:r>
      <w:r w:rsidRPr="008B2621">
        <w:t xml:space="preserve"> (locaux, vêtements, argent en banque).</w:t>
      </w:r>
    </w:p>
    <w:p w14:paraId="034CC9A0" w14:textId="77777777" w:rsidR="008B2621" w:rsidRPr="008B2621" w:rsidRDefault="008B2621" w:rsidP="00E73347">
      <w:pPr>
        <w:pStyle w:val="Paragraphedeliste"/>
        <w:numPr>
          <w:ilvl w:val="0"/>
          <w:numId w:val="2"/>
        </w:numPr>
      </w:pPr>
      <w:r w:rsidRPr="008B2621">
        <w:t xml:space="preserve">Elle a financé cela avec : </w:t>
      </w:r>
    </w:p>
    <w:p w14:paraId="33DFB7FF" w14:textId="77777777" w:rsidR="008B2621" w:rsidRPr="008B2621" w:rsidRDefault="008B2621" w:rsidP="00E73347">
      <w:pPr>
        <w:pStyle w:val="Paragraphedeliste"/>
        <w:numPr>
          <w:ilvl w:val="1"/>
          <w:numId w:val="2"/>
        </w:numPr>
      </w:pPr>
      <w:r w:rsidRPr="008B2621">
        <w:t>40 000 € d’emprunt bancaire.</w:t>
      </w:r>
    </w:p>
    <w:p w14:paraId="28A2864F" w14:textId="77777777" w:rsidR="008B2621" w:rsidRPr="008B2621" w:rsidRDefault="008B2621" w:rsidP="00E73347">
      <w:pPr>
        <w:pStyle w:val="Paragraphedeliste"/>
        <w:numPr>
          <w:ilvl w:val="1"/>
          <w:numId w:val="2"/>
        </w:numPr>
      </w:pPr>
      <w:r w:rsidRPr="008B2621">
        <w:t>10 000 € de dettes fournisseurs.</w:t>
      </w:r>
    </w:p>
    <w:p w14:paraId="7E0758EA" w14:textId="77777777" w:rsidR="008B2621" w:rsidRPr="008B2621" w:rsidRDefault="008B2621" w:rsidP="00E73347">
      <w:pPr>
        <w:pStyle w:val="Paragraphedeliste"/>
        <w:numPr>
          <w:ilvl w:val="1"/>
          <w:numId w:val="2"/>
        </w:numPr>
      </w:pPr>
      <w:r w:rsidRPr="008B2621">
        <w:t>60 000 € d'argent propre (capitaux propres).</w:t>
      </w:r>
    </w:p>
    <w:p w14:paraId="1EAA4F84" w14:textId="77777777" w:rsidR="00E50BA0" w:rsidRDefault="008B2621" w:rsidP="00E73347">
      <w:pPr>
        <w:pStyle w:val="Paragraphedeliste"/>
        <w:numPr>
          <w:ilvl w:val="0"/>
          <w:numId w:val="2"/>
        </w:numPr>
      </w:pPr>
      <w:r w:rsidRPr="00E73347">
        <w:rPr>
          <w:b/>
          <w:bCs/>
        </w:rPr>
        <w:t>Le bilan est équilibré</w:t>
      </w:r>
      <w:r w:rsidRPr="008B2621">
        <w:t xml:space="preserve"> : </w:t>
      </w:r>
      <w:r w:rsidR="00E50BA0" w:rsidRPr="00E50BA0">
        <w:t>Actif (110 000 €) = Passif (110 000 €)</w:t>
      </w:r>
    </w:p>
    <w:p w14:paraId="26BEA381" w14:textId="4559BCBC" w:rsidR="008B2621" w:rsidRPr="008B2621" w:rsidRDefault="008B2621" w:rsidP="00E73347">
      <w:pPr>
        <w:pStyle w:val="Paragraphedeliste"/>
        <w:numPr>
          <w:ilvl w:val="0"/>
          <w:numId w:val="2"/>
        </w:numPr>
      </w:pPr>
      <w:r w:rsidRPr="00E73347">
        <w:rPr>
          <w:rFonts w:ascii="Segoe UI Emoji" w:hAnsi="Segoe UI Emoji" w:cs="Segoe UI Emoji"/>
        </w:rPr>
        <w:t>📈</w:t>
      </w:r>
      <w:r w:rsidRPr="008B2621">
        <w:t xml:space="preserve"> </w:t>
      </w:r>
      <w:r w:rsidRPr="00E50BA0">
        <w:t>Pourquoi le bilan est essentiel ?</w:t>
      </w:r>
      <w:r w:rsidRPr="008B2621">
        <w:t xml:space="preserve"> </w:t>
      </w:r>
      <w:r w:rsidRPr="00E73347">
        <w:rPr>
          <w:rFonts w:ascii="Segoe UI Emoji" w:hAnsi="Segoe UI Emoji" w:cs="Segoe UI Emoji"/>
        </w:rPr>
        <w:t>✅</w:t>
      </w:r>
      <w:r w:rsidRPr="008B2621">
        <w:t xml:space="preserve"> </w:t>
      </w:r>
      <w:r w:rsidRPr="00E50BA0">
        <w:t>Mesurer la santé financière</w:t>
      </w:r>
      <w:r w:rsidRPr="008B2621">
        <w:t xml:space="preserve"> : Trop de dettes ? Assez de trésorerie ? </w:t>
      </w:r>
      <w:r w:rsidRPr="00E73347">
        <w:rPr>
          <w:rFonts w:ascii="Segoe UI Emoji" w:hAnsi="Segoe UI Emoji" w:cs="Segoe UI Emoji"/>
        </w:rPr>
        <w:t>✅</w:t>
      </w:r>
      <w:r w:rsidRPr="008B2621">
        <w:t xml:space="preserve"> </w:t>
      </w:r>
      <w:r w:rsidRPr="00E50BA0">
        <w:t>Évaluer la capacité d’investissement</w:t>
      </w:r>
      <w:r w:rsidRPr="008B2621">
        <w:t xml:space="preserve"> : Peut-on acheter plus de stock, embaucher ? </w:t>
      </w:r>
      <w:r w:rsidRPr="00E73347">
        <w:rPr>
          <w:rFonts w:ascii="Segoe UI Emoji" w:hAnsi="Segoe UI Emoji" w:cs="Segoe UI Emoji"/>
        </w:rPr>
        <w:t>✅</w:t>
      </w:r>
      <w:r w:rsidRPr="008B2621">
        <w:t xml:space="preserve"> </w:t>
      </w:r>
      <w:r w:rsidRPr="00E50BA0">
        <w:t>Attirer les banques et investisseurs</w:t>
      </w:r>
      <w:r w:rsidRPr="008B2621">
        <w:t xml:space="preserve"> : Pour obtenir un prêt ou lever des fonds.</w:t>
      </w:r>
    </w:p>
    <w:p w14:paraId="7A934508" w14:textId="77777777" w:rsidR="008B2621" w:rsidRPr="008B2621" w:rsidRDefault="00000000" w:rsidP="00E73347">
      <w:r>
        <w:pict w14:anchorId="6C8E31CF">
          <v:rect id="_x0000_i1028" style="width:0;height:1.5pt" o:hralign="center" o:hrstd="t" o:hr="t" fillcolor="#a0a0a0" stroked="f"/>
        </w:pict>
      </w:r>
    </w:p>
    <w:p w14:paraId="243EF635" w14:textId="72785915" w:rsidR="00255605" w:rsidRDefault="00255605" w:rsidP="00EF5529">
      <w:pPr>
        <w:pStyle w:val="Titre2"/>
      </w:pPr>
      <w:r>
        <w:t>Eléments clé du bilan</w:t>
      </w:r>
    </w:p>
    <w:p w14:paraId="75F1E2EA" w14:textId="7416A82F" w:rsidR="00255605" w:rsidRPr="00255605" w:rsidRDefault="00255605" w:rsidP="00255605">
      <w:r w:rsidRPr="00255605">
        <w:t>Pour calculer les ratios financiers, les analystes se basent sur divers éléments du bilan et du compte de résultat. Voici une explication des principaux postes utilisés :</w:t>
      </w:r>
    </w:p>
    <w:p w14:paraId="5B9B23CA" w14:textId="77777777" w:rsidR="00255605" w:rsidRPr="00255605" w:rsidRDefault="00255605" w:rsidP="00255605">
      <w:r w:rsidRPr="00255605">
        <w:rPr>
          <w:b/>
          <w:bCs/>
        </w:rPr>
        <w:t>Actifs</w:t>
      </w:r>
    </w:p>
    <w:p w14:paraId="69B8F517" w14:textId="77777777" w:rsidR="00255605" w:rsidRPr="00255605" w:rsidRDefault="00255605" w:rsidP="00255605">
      <w:pPr>
        <w:numPr>
          <w:ilvl w:val="0"/>
          <w:numId w:val="8"/>
        </w:numPr>
        <w:rPr>
          <w:lang w:val="en-GB"/>
        </w:rPr>
      </w:pPr>
      <w:r w:rsidRPr="00255605">
        <w:rPr>
          <w:b/>
          <w:bCs/>
        </w:rPr>
        <w:t>Actifs courants (ou circulants)</w:t>
      </w:r>
      <w:r w:rsidRPr="00255605">
        <w:t xml:space="preserve"> : Ce sont les ressources que l'entreprise prévoit de convertir en trésorerie ou d'utiliser dans un délai d'un an. </w:t>
      </w:r>
      <w:proofErr w:type="spellStart"/>
      <w:r w:rsidRPr="00255605">
        <w:rPr>
          <w:lang w:val="en-GB"/>
        </w:rPr>
        <w:t>Ils</w:t>
      </w:r>
      <w:proofErr w:type="spellEnd"/>
      <w:r w:rsidRPr="00255605">
        <w:rPr>
          <w:lang w:val="en-GB"/>
        </w:rPr>
        <w:t xml:space="preserve"> </w:t>
      </w:r>
      <w:proofErr w:type="spellStart"/>
      <w:r w:rsidRPr="00255605">
        <w:rPr>
          <w:lang w:val="en-GB"/>
        </w:rPr>
        <w:t>comprennent</w:t>
      </w:r>
      <w:proofErr w:type="spellEnd"/>
      <w:r w:rsidRPr="00255605">
        <w:rPr>
          <w:lang w:val="en-GB"/>
        </w:rPr>
        <w:t xml:space="preserve"> :</w:t>
      </w:r>
    </w:p>
    <w:p w14:paraId="779F6518" w14:textId="77777777" w:rsidR="00255605" w:rsidRPr="00255605" w:rsidRDefault="00255605" w:rsidP="00255605">
      <w:pPr>
        <w:numPr>
          <w:ilvl w:val="1"/>
          <w:numId w:val="8"/>
        </w:numPr>
      </w:pPr>
      <w:r w:rsidRPr="00255605">
        <w:rPr>
          <w:b/>
          <w:bCs/>
        </w:rPr>
        <w:t>Trésorerie</w:t>
      </w:r>
      <w:r w:rsidRPr="00255605">
        <w:t xml:space="preserve"> : Les liquidités disponibles immédiatement, telles que l'argent en caisse ou sur les comptes bancaires.</w:t>
      </w:r>
    </w:p>
    <w:p w14:paraId="38F63F95" w14:textId="77777777" w:rsidR="00255605" w:rsidRPr="00255605" w:rsidRDefault="00255605" w:rsidP="00255605">
      <w:pPr>
        <w:numPr>
          <w:ilvl w:val="1"/>
          <w:numId w:val="8"/>
        </w:numPr>
      </w:pPr>
      <w:r w:rsidRPr="00255605">
        <w:rPr>
          <w:b/>
          <w:bCs/>
        </w:rPr>
        <w:t>Valeurs mobilières de placement</w:t>
      </w:r>
      <w:r w:rsidRPr="00255605">
        <w:t xml:space="preserve"> : Les investissements à court terme que l'entreprise peut facilement convertir en liquidités.</w:t>
      </w:r>
    </w:p>
    <w:p w14:paraId="59F20654" w14:textId="77777777" w:rsidR="00255605" w:rsidRPr="00255605" w:rsidRDefault="00255605" w:rsidP="00255605">
      <w:pPr>
        <w:numPr>
          <w:ilvl w:val="1"/>
          <w:numId w:val="8"/>
        </w:numPr>
      </w:pPr>
      <w:r w:rsidRPr="00255605">
        <w:rPr>
          <w:b/>
          <w:bCs/>
        </w:rPr>
        <w:t>Créances clients</w:t>
      </w:r>
      <w:r w:rsidRPr="00255605">
        <w:t xml:space="preserve"> : Les montants dus par les clients pour des ventes réalisées à crédit.</w:t>
      </w:r>
    </w:p>
    <w:p w14:paraId="34E99E22" w14:textId="77777777" w:rsidR="00255605" w:rsidRPr="00255605" w:rsidRDefault="00255605" w:rsidP="00255605">
      <w:pPr>
        <w:numPr>
          <w:ilvl w:val="1"/>
          <w:numId w:val="8"/>
        </w:numPr>
      </w:pPr>
      <w:r w:rsidRPr="00255605">
        <w:rPr>
          <w:b/>
          <w:bCs/>
        </w:rPr>
        <w:t>Stocks</w:t>
      </w:r>
      <w:r w:rsidRPr="00255605">
        <w:t xml:space="preserve"> : Les biens destinés à être vendus ou utilisés dans le processus de production.</w:t>
      </w:r>
    </w:p>
    <w:p w14:paraId="01643B1F" w14:textId="77777777" w:rsidR="00255605" w:rsidRPr="00255605" w:rsidRDefault="00255605" w:rsidP="00255605">
      <w:pPr>
        <w:numPr>
          <w:ilvl w:val="0"/>
          <w:numId w:val="8"/>
        </w:numPr>
        <w:rPr>
          <w:lang w:val="en-GB"/>
        </w:rPr>
      </w:pPr>
      <w:r w:rsidRPr="00255605">
        <w:rPr>
          <w:b/>
          <w:bCs/>
        </w:rPr>
        <w:t>Actifs non courants (ou immobilisés)</w:t>
      </w:r>
      <w:r w:rsidRPr="00255605">
        <w:t xml:space="preserve"> : Ce sont des ressources que l'entreprise utilise sur une période supérieure à un an. </w:t>
      </w:r>
      <w:proofErr w:type="spellStart"/>
      <w:r w:rsidRPr="00255605">
        <w:rPr>
          <w:lang w:val="en-GB"/>
        </w:rPr>
        <w:t>Ils</w:t>
      </w:r>
      <w:proofErr w:type="spellEnd"/>
      <w:r w:rsidRPr="00255605">
        <w:rPr>
          <w:lang w:val="en-GB"/>
        </w:rPr>
        <w:t xml:space="preserve"> </w:t>
      </w:r>
      <w:proofErr w:type="spellStart"/>
      <w:r w:rsidRPr="00255605">
        <w:rPr>
          <w:lang w:val="en-GB"/>
        </w:rPr>
        <w:t>incluent</w:t>
      </w:r>
      <w:proofErr w:type="spellEnd"/>
      <w:r w:rsidRPr="00255605">
        <w:rPr>
          <w:lang w:val="en-GB"/>
        </w:rPr>
        <w:t xml:space="preserve"> :</w:t>
      </w:r>
    </w:p>
    <w:p w14:paraId="7D3CD3A6" w14:textId="77777777" w:rsidR="00255605" w:rsidRPr="00255605" w:rsidRDefault="00255605" w:rsidP="00255605">
      <w:pPr>
        <w:numPr>
          <w:ilvl w:val="1"/>
          <w:numId w:val="8"/>
        </w:numPr>
      </w:pPr>
      <w:r w:rsidRPr="00255605">
        <w:rPr>
          <w:b/>
          <w:bCs/>
        </w:rPr>
        <w:t>Immobilisations corporelles</w:t>
      </w:r>
      <w:r w:rsidRPr="00255605">
        <w:t xml:space="preserve"> : Les actifs physiques tels que les terrains, bâtiments, machines et équipements.</w:t>
      </w:r>
    </w:p>
    <w:p w14:paraId="21907AC6" w14:textId="77777777" w:rsidR="00255605" w:rsidRPr="00255605" w:rsidRDefault="00255605" w:rsidP="00255605">
      <w:pPr>
        <w:numPr>
          <w:ilvl w:val="1"/>
          <w:numId w:val="8"/>
        </w:numPr>
      </w:pPr>
      <w:r w:rsidRPr="00255605">
        <w:rPr>
          <w:b/>
          <w:bCs/>
        </w:rPr>
        <w:t>Immobilisations incorporelles</w:t>
      </w:r>
      <w:r w:rsidRPr="00255605">
        <w:t xml:space="preserve"> : Les actifs non physiques comme les brevets, licences et fonds commercial.</w:t>
      </w:r>
    </w:p>
    <w:p w14:paraId="3EC2B980" w14:textId="77777777" w:rsidR="00255605" w:rsidRPr="00255605" w:rsidRDefault="00255605" w:rsidP="00255605">
      <w:pPr>
        <w:numPr>
          <w:ilvl w:val="1"/>
          <w:numId w:val="8"/>
        </w:numPr>
      </w:pPr>
      <w:r w:rsidRPr="00255605">
        <w:rPr>
          <w:b/>
          <w:bCs/>
        </w:rPr>
        <w:t>Immobilisations financières</w:t>
      </w:r>
      <w:r w:rsidRPr="00255605">
        <w:t xml:space="preserve"> : Les participations financières à long terme dans d'autres entreprises.</w:t>
      </w:r>
    </w:p>
    <w:p w14:paraId="4F53267C" w14:textId="77777777" w:rsidR="00255605" w:rsidRPr="00255605" w:rsidRDefault="00255605" w:rsidP="00255605">
      <w:pPr>
        <w:rPr>
          <w:lang w:val="en-GB"/>
        </w:rPr>
      </w:pPr>
      <w:proofErr w:type="spellStart"/>
      <w:r w:rsidRPr="00255605">
        <w:rPr>
          <w:b/>
          <w:bCs/>
          <w:lang w:val="en-GB"/>
        </w:rPr>
        <w:t>Passifs</w:t>
      </w:r>
      <w:proofErr w:type="spellEnd"/>
    </w:p>
    <w:p w14:paraId="43F84BB9" w14:textId="77777777" w:rsidR="00255605" w:rsidRPr="00255605" w:rsidRDefault="00255605" w:rsidP="00255605">
      <w:pPr>
        <w:numPr>
          <w:ilvl w:val="0"/>
          <w:numId w:val="9"/>
        </w:numPr>
        <w:rPr>
          <w:lang w:val="en-GB"/>
        </w:rPr>
      </w:pPr>
      <w:r w:rsidRPr="00255605">
        <w:rPr>
          <w:b/>
          <w:bCs/>
        </w:rPr>
        <w:lastRenderedPageBreak/>
        <w:t>Passifs courants</w:t>
      </w:r>
      <w:r w:rsidRPr="00255605">
        <w:t xml:space="preserve"> : Les obligations que l'entreprise doit régler dans l'année. </w:t>
      </w:r>
      <w:proofErr w:type="spellStart"/>
      <w:r w:rsidRPr="00255605">
        <w:rPr>
          <w:lang w:val="en-GB"/>
        </w:rPr>
        <w:t>Ils</w:t>
      </w:r>
      <w:proofErr w:type="spellEnd"/>
      <w:r w:rsidRPr="00255605">
        <w:rPr>
          <w:lang w:val="en-GB"/>
        </w:rPr>
        <w:t xml:space="preserve"> </w:t>
      </w:r>
      <w:proofErr w:type="spellStart"/>
      <w:r w:rsidRPr="00255605">
        <w:rPr>
          <w:lang w:val="en-GB"/>
        </w:rPr>
        <w:t>comprennent</w:t>
      </w:r>
      <w:proofErr w:type="spellEnd"/>
      <w:r w:rsidRPr="00255605">
        <w:rPr>
          <w:lang w:val="en-GB"/>
        </w:rPr>
        <w:t xml:space="preserve"> :</w:t>
      </w:r>
    </w:p>
    <w:p w14:paraId="277DC888" w14:textId="77777777" w:rsidR="00255605" w:rsidRPr="00255605" w:rsidRDefault="00255605" w:rsidP="00255605">
      <w:pPr>
        <w:numPr>
          <w:ilvl w:val="1"/>
          <w:numId w:val="9"/>
        </w:numPr>
      </w:pPr>
      <w:r w:rsidRPr="00255605">
        <w:rPr>
          <w:b/>
          <w:bCs/>
        </w:rPr>
        <w:t>Dettes fournisseurs</w:t>
      </w:r>
      <w:r w:rsidRPr="00255605">
        <w:t xml:space="preserve"> : Les montants dus aux fournisseurs pour des achats effectués à crédit.</w:t>
      </w:r>
    </w:p>
    <w:p w14:paraId="1F82D875" w14:textId="77777777" w:rsidR="00255605" w:rsidRPr="00255605" w:rsidRDefault="00255605" w:rsidP="00255605">
      <w:pPr>
        <w:numPr>
          <w:ilvl w:val="1"/>
          <w:numId w:val="9"/>
        </w:numPr>
      </w:pPr>
      <w:r w:rsidRPr="00255605">
        <w:rPr>
          <w:b/>
          <w:bCs/>
        </w:rPr>
        <w:t>Emprunts et découverts</w:t>
      </w:r>
      <w:r w:rsidRPr="00255605">
        <w:t xml:space="preserve"> : Les prêts à court terme et les soldes négatifs des comptes bancaires.</w:t>
      </w:r>
    </w:p>
    <w:p w14:paraId="79B6CC2E" w14:textId="77777777" w:rsidR="00255605" w:rsidRPr="00255605" w:rsidRDefault="00255605" w:rsidP="00255605">
      <w:pPr>
        <w:numPr>
          <w:ilvl w:val="1"/>
          <w:numId w:val="9"/>
        </w:numPr>
      </w:pPr>
      <w:r w:rsidRPr="00255605">
        <w:rPr>
          <w:b/>
          <w:bCs/>
        </w:rPr>
        <w:t>Provisions</w:t>
      </w:r>
      <w:r w:rsidRPr="00255605">
        <w:t xml:space="preserve"> : Les charges probables dont le montant ou l'échéance ne sont pas encore fixés avec précision.</w:t>
      </w:r>
    </w:p>
    <w:p w14:paraId="74C3EC15" w14:textId="77777777" w:rsidR="00255605" w:rsidRPr="00255605" w:rsidRDefault="00255605" w:rsidP="00255605">
      <w:pPr>
        <w:numPr>
          <w:ilvl w:val="0"/>
          <w:numId w:val="9"/>
        </w:numPr>
      </w:pPr>
      <w:r w:rsidRPr="00255605">
        <w:rPr>
          <w:b/>
          <w:bCs/>
        </w:rPr>
        <w:t>Passifs non courants</w:t>
      </w:r>
      <w:r w:rsidRPr="00255605">
        <w:t xml:space="preserve"> : Les obligations à long terme, telles que :</w:t>
      </w:r>
    </w:p>
    <w:p w14:paraId="1B44C6B6" w14:textId="77777777" w:rsidR="00255605" w:rsidRPr="00255605" w:rsidRDefault="00255605" w:rsidP="00255605">
      <w:pPr>
        <w:numPr>
          <w:ilvl w:val="1"/>
          <w:numId w:val="9"/>
        </w:numPr>
      </w:pPr>
      <w:r w:rsidRPr="00255605">
        <w:rPr>
          <w:b/>
          <w:bCs/>
        </w:rPr>
        <w:t>Emprunts à long terme</w:t>
      </w:r>
      <w:r w:rsidRPr="00255605">
        <w:t xml:space="preserve"> : Les dettes financières dont l'échéance dépasse un an.</w:t>
      </w:r>
    </w:p>
    <w:p w14:paraId="3887E8F1" w14:textId="77777777" w:rsidR="00255605" w:rsidRPr="00255605" w:rsidRDefault="00255605" w:rsidP="00255605">
      <w:pPr>
        <w:numPr>
          <w:ilvl w:val="1"/>
          <w:numId w:val="9"/>
        </w:numPr>
      </w:pPr>
      <w:r w:rsidRPr="00255605">
        <w:rPr>
          <w:b/>
          <w:bCs/>
        </w:rPr>
        <w:t>Provisions pour risques et charges</w:t>
      </w:r>
      <w:r w:rsidRPr="00255605">
        <w:t xml:space="preserve"> : Les estimations des obligations futures liées à des litiges ou autres engagements.</w:t>
      </w:r>
    </w:p>
    <w:p w14:paraId="51004190" w14:textId="77777777" w:rsidR="00255605" w:rsidRPr="00255605" w:rsidRDefault="00255605" w:rsidP="00255605">
      <w:pPr>
        <w:rPr>
          <w:lang w:val="en-GB"/>
        </w:rPr>
      </w:pPr>
      <w:proofErr w:type="spellStart"/>
      <w:r w:rsidRPr="00255605">
        <w:rPr>
          <w:b/>
          <w:bCs/>
          <w:lang w:val="en-GB"/>
        </w:rPr>
        <w:t>Capitaux</w:t>
      </w:r>
      <w:proofErr w:type="spellEnd"/>
      <w:r w:rsidRPr="00255605">
        <w:rPr>
          <w:b/>
          <w:bCs/>
          <w:lang w:val="en-GB"/>
        </w:rPr>
        <w:t xml:space="preserve"> </w:t>
      </w:r>
      <w:proofErr w:type="spellStart"/>
      <w:r w:rsidRPr="00255605">
        <w:rPr>
          <w:b/>
          <w:bCs/>
          <w:lang w:val="en-GB"/>
        </w:rPr>
        <w:t>propres</w:t>
      </w:r>
      <w:proofErr w:type="spellEnd"/>
    </w:p>
    <w:p w14:paraId="11E00D41" w14:textId="77777777" w:rsidR="00255605" w:rsidRPr="00255605" w:rsidRDefault="00255605" w:rsidP="00255605">
      <w:pPr>
        <w:numPr>
          <w:ilvl w:val="0"/>
          <w:numId w:val="10"/>
        </w:numPr>
      </w:pPr>
      <w:r w:rsidRPr="00255605">
        <w:rPr>
          <w:b/>
          <w:bCs/>
        </w:rPr>
        <w:t>Capital</w:t>
      </w:r>
      <w:r w:rsidRPr="00255605">
        <w:t xml:space="preserve"> : Les apports initiaux et supplémentaires des actionnaires dans l'entreprise.</w:t>
      </w:r>
    </w:p>
    <w:p w14:paraId="5B692538" w14:textId="77777777" w:rsidR="00255605" w:rsidRPr="00255605" w:rsidRDefault="00255605" w:rsidP="00255605">
      <w:pPr>
        <w:numPr>
          <w:ilvl w:val="0"/>
          <w:numId w:val="10"/>
        </w:numPr>
      </w:pPr>
      <w:r w:rsidRPr="00255605">
        <w:rPr>
          <w:b/>
          <w:bCs/>
        </w:rPr>
        <w:t>Réserves</w:t>
      </w:r>
      <w:r w:rsidRPr="00255605">
        <w:t xml:space="preserve"> : Les bénéfices non distribués accumulés au fil des années.</w:t>
      </w:r>
    </w:p>
    <w:p w14:paraId="6BC5AE6E" w14:textId="77777777" w:rsidR="00255605" w:rsidRPr="00255605" w:rsidRDefault="00255605" w:rsidP="00255605">
      <w:pPr>
        <w:numPr>
          <w:ilvl w:val="0"/>
          <w:numId w:val="10"/>
        </w:numPr>
      </w:pPr>
      <w:r w:rsidRPr="00255605">
        <w:rPr>
          <w:b/>
          <w:bCs/>
        </w:rPr>
        <w:t>Résultat net</w:t>
      </w:r>
      <w:r w:rsidRPr="00255605">
        <w:t xml:space="preserve"> : Le bénéfice ou la perte généré(e) par l'entreprise sur une période donnée.</w:t>
      </w:r>
    </w:p>
    <w:p w14:paraId="19C1B10B" w14:textId="77777777" w:rsidR="00255605" w:rsidRPr="00255605" w:rsidRDefault="00255605" w:rsidP="00255605">
      <w:r w:rsidRPr="00255605">
        <w:t>Ces éléments permettent aux analystes de calculer divers ratios financiers, tels que le ratio de liquidité générale, le ratio d'endettement ou le ratio de rentabilité, afin d'évaluer la performance et la santé financière de l'entreprise.</w:t>
      </w:r>
    </w:p>
    <w:p w14:paraId="1BDDE35B" w14:textId="23C03800" w:rsidR="00255605" w:rsidRDefault="00255605" w:rsidP="00EF5529">
      <w:pPr>
        <w:pStyle w:val="Titre2"/>
      </w:pPr>
      <w:r>
        <w:t>R</w:t>
      </w:r>
      <w:r w:rsidRPr="00255605">
        <w:t>atios financiers</w:t>
      </w:r>
    </w:p>
    <w:p w14:paraId="21527CEC" w14:textId="77777777" w:rsidR="00255605" w:rsidRPr="00255605" w:rsidRDefault="00255605" w:rsidP="00255605">
      <w:pPr>
        <w:rPr>
          <w:lang w:val="en-GB"/>
        </w:rPr>
      </w:pPr>
      <w:r w:rsidRPr="00255605">
        <w:t xml:space="preserve">Les analystes fondamentaux utilisent le bilan pour calculer divers ratios financiers, qui aident à évaluer la santé financière d'une entreprise. </w:t>
      </w:r>
      <w:proofErr w:type="spellStart"/>
      <w:r w:rsidRPr="00255605">
        <w:rPr>
          <w:lang w:val="en-GB"/>
        </w:rPr>
        <w:t>Voici</w:t>
      </w:r>
      <w:proofErr w:type="spellEnd"/>
      <w:r w:rsidRPr="00255605">
        <w:rPr>
          <w:lang w:val="en-GB"/>
        </w:rPr>
        <w:t xml:space="preserve"> </w:t>
      </w:r>
      <w:proofErr w:type="spellStart"/>
      <w:r w:rsidRPr="00255605">
        <w:rPr>
          <w:lang w:val="en-GB"/>
        </w:rPr>
        <w:t>quelques-uns</w:t>
      </w:r>
      <w:proofErr w:type="spellEnd"/>
      <w:r w:rsidRPr="00255605">
        <w:rPr>
          <w:lang w:val="en-GB"/>
        </w:rPr>
        <w:t xml:space="preserve"> des </w:t>
      </w:r>
      <w:proofErr w:type="spellStart"/>
      <w:r w:rsidRPr="00255605">
        <w:rPr>
          <w:lang w:val="en-GB"/>
        </w:rPr>
        <w:t>principaux</w:t>
      </w:r>
      <w:proofErr w:type="spellEnd"/>
      <w:r w:rsidRPr="00255605">
        <w:rPr>
          <w:lang w:val="en-GB"/>
        </w:rPr>
        <w:t xml:space="preserve"> ratios </w:t>
      </w:r>
      <w:proofErr w:type="spellStart"/>
      <w:r w:rsidRPr="00255605">
        <w:rPr>
          <w:lang w:val="en-GB"/>
        </w:rPr>
        <w:t>dérivés</w:t>
      </w:r>
      <w:proofErr w:type="spellEnd"/>
      <w:r w:rsidRPr="00255605">
        <w:rPr>
          <w:lang w:val="en-GB"/>
        </w:rPr>
        <w:t xml:space="preserve"> du </w:t>
      </w:r>
      <w:proofErr w:type="spellStart"/>
      <w:r w:rsidRPr="00255605">
        <w:rPr>
          <w:lang w:val="en-GB"/>
        </w:rPr>
        <w:t>bilan</w:t>
      </w:r>
      <w:proofErr w:type="spellEnd"/>
      <w:r w:rsidRPr="00255605">
        <w:rPr>
          <w:lang w:val="en-GB"/>
        </w:rPr>
        <w:t xml:space="preserve"> :</w:t>
      </w:r>
    </w:p>
    <w:p w14:paraId="748F2AEB" w14:textId="77777777" w:rsidR="00255605" w:rsidRPr="00255605" w:rsidRDefault="00255605" w:rsidP="00B55B11">
      <w:pPr>
        <w:pStyle w:val="Titre3"/>
      </w:pPr>
      <w:r w:rsidRPr="00255605">
        <w:t xml:space="preserve">Ratio </w:t>
      </w:r>
      <w:proofErr w:type="spellStart"/>
      <w:r w:rsidRPr="00B55B11">
        <w:t>d'endettement</w:t>
      </w:r>
      <w:proofErr w:type="spellEnd"/>
      <w:r w:rsidRPr="00255605">
        <w:t xml:space="preserve"> (Debt-to-Equity Ratio)</w:t>
      </w:r>
    </w:p>
    <w:p w14:paraId="336E7AA0" w14:textId="77777777" w:rsidR="00255605" w:rsidRPr="00255605" w:rsidRDefault="00255605" w:rsidP="00255605">
      <w:r w:rsidRPr="00255605">
        <w:t>Ce ratio mesure la proportion des fonds empruntés par rapport aux fonds propres des actionnaires. Il est calculé en divisant le total des dettes par les capitaux propres :</w:t>
      </w:r>
    </w:p>
    <w:p w14:paraId="2384FE08" w14:textId="77777777" w:rsidR="00B55B11" w:rsidRPr="00B55B11" w:rsidRDefault="00B55B11" w:rsidP="00255605">
      <w:pPr>
        <w:rPr>
          <w:rFonts w:eastAsiaTheme="minorEastAsia"/>
        </w:rPr>
      </w:pPr>
      <m:oMathPara>
        <m:oMath>
          <m:r>
            <w:rPr>
              <w:rFonts w:ascii="Cambria Math" w:hAnsi="Cambria Math"/>
            </w:rPr>
            <m:t>Ratio d’endettement=</m:t>
          </m:r>
          <m:f>
            <m:fPr>
              <m:ctrlPr>
                <w:rPr>
                  <w:rFonts w:ascii="Cambria Math" w:hAnsi="Cambria Math"/>
                  <w:i/>
                </w:rPr>
              </m:ctrlPr>
            </m:fPr>
            <m:num>
              <m:r>
                <w:rPr>
                  <w:rFonts w:ascii="Cambria Math" w:hAnsi="Cambria Math"/>
                </w:rPr>
                <m:t>Total des dettes</m:t>
              </m:r>
            </m:num>
            <m:den>
              <m:r>
                <w:rPr>
                  <w:rFonts w:ascii="Cambria Math" w:hAnsi="Cambria Math"/>
                </w:rPr>
                <m:t>Capitaux propres</m:t>
              </m:r>
            </m:den>
          </m:f>
        </m:oMath>
      </m:oMathPara>
    </w:p>
    <w:p w14:paraId="62DD32A1" w14:textId="77777777" w:rsidR="00255605" w:rsidRPr="00255605" w:rsidRDefault="00255605" w:rsidP="00255605">
      <w:r w:rsidRPr="00255605">
        <w:t xml:space="preserve">Un ratio élevé peut indiquer que l'entreprise est fortement financée par la dette, ce qui peut augmenter le risque financier. </w:t>
      </w:r>
    </w:p>
    <w:p w14:paraId="3467CC14" w14:textId="77777777" w:rsidR="00255605" w:rsidRPr="00B55B11" w:rsidRDefault="00255605" w:rsidP="00B55B11">
      <w:pPr>
        <w:pStyle w:val="Titre3"/>
        <w:rPr>
          <w:lang w:val="fr-FR"/>
        </w:rPr>
      </w:pPr>
      <w:r w:rsidRPr="00B55B11">
        <w:rPr>
          <w:lang w:val="fr-FR"/>
        </w:rPr>
        <w:t>Ratio de liquidité générale (</w:t>
      </w:r>
      <w:proofErr w:type="spellStart"/>
      <w:r w:rsidRPr="00B55B11">
        <w:rPr>
          <w:lang w:val="fr-FR"/>
        </w:rPr>
        <w:t>Current</w:t>
      </w:r>
      <w:proofErr w:type="spellEnd"/>
      <w:r w:rsidRPr="00B55B11">
        <w:rPr>
          <w:lang w:val="fr-FR"/>
        </w:rPr>
        <w:t xml:space="preserve"> Ratio)</w:t>
      </w:r>
    </w:p>
    <w:p w14:paraId="0D0CF628" w14:textId="77777777" w:rsidR="00255605" w:rsidRPr="00255605" w:rsidRDefault="00255605" w:rsidP="00255605">
      <w:r w:rsidRPr="00255605">
        <w:t>Ce ratio évalue la capacité de l'entreprise à couvrir ses obligations à court terme avec ses actifs à court terme. Il est calculé en divisant les actifs courants par les passifs courants :</w:t>
      </w:r>
    </w:p>
    <w:p w14:paraId="6B3125FF" w14:textId="7E342353" w:rsidR="00B55B11" w:rsidRDefault="00B55B11" w:rsidP="00255605">
      <m:oMathPara>
        <m:oMath>
          <m:r>
            <w:rPr>
              <w:rFonts w:ascii="Cambria Math" w:hAnsi="Cambria Math"/>
            </w:rPr>
            <m:t>Ratio</m:t>
          </m:r>
          <m:r>
            <w:rPr>
              <w:rFonts w:ascii="Cambria Math" w:hAnsi="Cambria Math"/>
            </w:rPr>
            <m:t xml:space="preserve"> </m:t>
          </m:r>
          <m:r>
            <w:rPr>
              <w:rFonts w:ascii="Cambria Math" w:hAnsi="Cambria Math"/>
            </w:rPr>
            <m:t>de</m:t>
          </m:r>
          <m:r>
            <w:rPr>
              <w:rFonts w:ascii="Cambria Math" w:hAnsi="Cambria Math"/>
            </w:rPr>
            <m:t xml:space="preserve"> </m:t>
          </m:r>
          <m:r>
            <w:rPr>
              <w:rFonts w:ascii="Cambria Math" w:hAnsi="Cambria Math"/>
            </w:rPr>
            <m:t>liquidit</m:t>
          </m:r>
          <m:r>
            <w:rPr>
              <w:rFonts w:ascii="Cambria Math" w:hAnsi="Cambria Math"/>
            </w:rPr>
            <m:t xml:space="preserve">é </m:t>
          </m:r>
          <m:r>
            <w:rPr>
              <w:rFonts w:ascii="Cambria Math" w:hAnsi="Cambria Math"/>
            </w:rPr>
            <m:t>g</m:t>
          </m:r>
          <m:r>
            <w:rPr>
              <w:rFonts w:ascii="Cambria Math" w:hAnsi="Cambria Math"/>
            </w:rPr>
            <m:t>é</m:t>
          </m:r>
          <m:r>
            <w:rPr>
              <w:rFonts w:ascii="Cambria Math" w:hAnsi="Cambria Math"/>
            </w:rPr>
            <m:t>n</m:t>
          </m:r>
          <m:r>
            <w:rPr>
              <w:rFonts w:ascii="Cambria Math" w:hAnsi="Cambria Math"/>
            </w:rPr>
            <m:t>é</m:t>
          </m:r>
          <m:r>
            <w:rPr>
              <w:rFonts w:ascii="Cambria Math" w:hAnsi="Cambria Math"/>
            </w:rPr>
            <m:t>rale=</m:t>
          </m:r>
          <m:f>
            <m:fPr>
              <m:ctrlPr>
                <w:rPr>
                  <w:rFonts w:ascii="Cambria Math" w:hAnsi="Cambria Math"/>
                  <w:i/>
                </w:rPr>
              </m:ctrlPr>
            </m:fPr>
            <m:num>
              <m:r>
                <w:rPr>
                  <w:rFonts w:ascii="Cambria Math" w:hAnsi="Cambria Math"/>
                </w:rPr>
                <m:t>Actifs</m:t>
              </m:r>
              <m:r>
                <w:rPr>
                  <w:rFonts w:ascii="Cambria Math" w:hAnsi="Cambria Math"/>
                </w:rPr>
                <m:t xml:space="preserve"> </m:t>
              </m:r>
              <m:r>
                <w:rPr>
                  <w:rFonts w:ascii="Cambria Math" w:hAnsi="Cambria Math"/>
                </w:rPr>
                <m:t>courants</m:t>
              </m:r>
            </m:num>
            <m:den>
              <m:r>
                <w:rPr>
                  <w:rFonts w:ascii="Cambria Math" w:hAnsi="Cambria Math"/>
                </w:rPr>
                <m:t>Passi</m:t>
              </m:r>
              <m:r>
                <w:rPr>
                  <w:rFonts w:ascii="Cambria Math" w:hAnsi="Cambria Math"/>
                </w:rPr>
                <m:t>f</m:t>
              </m:r>
              <m:r>
                <w:rPr>
                  <w:rFonts w:ascii="Cambria Math" w:hAnsi="Cambria Math"/>
                </w:rPr>
                <m:t>s</m:t>
              </m:r>
              <m:r>
                <w:rPr>
                  <w:rFonts w:ascii="Cambria Math" w:hAnsi="Cambria Math"/>
                </w:rPr>
                <m:t xml:space="preserve"> </m:t>
              </m:r>
              <m:r>
                <w:rPr>
                  <w:rFonts w:ascii="Cambria Math" w:hAnsi="Cambria Math"/>
                </w:rPr>
                <m:t>courants</m:t>
              </m:r>
            </m:den>
          </m:f>
        </m:oMath>
      </m:oMathPara>
    </w:p>
    <w:p w14:paraId="1F79E57B" w14:textId="77777777" w:rsidR="00B55B11" w:rsidRDefault="00B55B11" w:rsidP="00255605"/>
    <w:p w14:paraId="13F4B88C" w14:textId="77777777" w:rsidR="00255605" w:rsidRPr="00255605" w:rsidRDefault="00255605" w:rsidP="00255605">
      <w:r w:rsidRPr="00255605">
        <w:t>Un ratio supérieur à 1 suggère que l'entreprise dispose de suffisamment de ressources pour honorer ses dettes à court terme.</w:t>
      </w:r>
    </w:p>
    <w:p w14:paraId="2E587FF8" w14:textId="77777777" w:rsidR="00255605" w:rsidRPr="00255605" w:rsidRDefault="00255605" w:rsidP="00B55B11">
      <w:pPr>
        <w:pStyle w:val="Titre3"/>
      </w:pPr>
      <w:r w:rsidRPr="00255605">
        <w:t>Ratio de liquidité immédiate (Quick Ratio ou Acid-Test Ratio)</w:t>
      </w:r>
    </w:p>
    <w:p w14:paraId="14320DE9" w14:textId="77777777" w:rsidR="00255605" w:rsidRPr="00255605" w:rsidRDefault="00255605" w:rsidP="00255605">
      <w:r w:rsidRPr="00255605">
        <w:t>Ce ratio mesure la capacité de l'entreprise à satisfaire ses obligations à court terme sans compter sur la vente de stocks. Il est calculé en soustrayant les stocks des actifs courants, puis en divisant par les passifs courants :</w:t>
      </w:r>
    </w:p>
    <w:p w14:paraId="6BC73F7D" w14:textId="68D7B3FB" w:rsidR="00B55B11" w:rsidRDefault="00B55B11" w:rsidP="00255605">
      <m:oMathPara>
        <m:oMath>
          <m:r>
            <w:rPr>
              <w:rFonts w:ascii="Cambria Math" w:hAnsi="Cambria Math"/>
            </w:rPr>
            <w:lastRenderedPageBreak/>
            <m:t>Ratio de liquiditeˊ immeˊdiate=</m:t>
          </m:r>
          <m:f>
            <m:fPr>
              <m:ctrlPr>
                <w:rPr>
                  <w:rFonts w:ascii="Cambria Math" w:hAnsi="Cambria Math"/>
                  <w:i/>
                </w:rPr>
              </m:ctrlPr>
            </m:fPr>
            <m:num>
              <m:r>
                <w:rPr>
                  <w:rFonts w:ascii="Cambria Math" w:hAnsi="Cambria Math"/>
                </w:rPr>
                <m:t>Actifs</m:t>
              </m:r>
              <m:r>
                <w:rPr>
                  <w:rFonts w:ascii="Cambria Math" w:hAnsi="Cambria Math"/>
                </w:rPr>
                <m:t xml:space="preserve"> </m:t>
              </m:r>
              <m:r>
                <w:rPr>
                  <w:rFonts w:ascii="Cambria Math" w:hAnsi="Cambria Math"/>
                </w:rPr>
                <m:t>courants-Stocks</m:t>
              </m:r>
            </m:num>
            <m:den>
              <m:r>
                <w:rPr>
                  <w:rFonts w:ascii="Cambria Math" w:hAnsi="Cambria Math"/>
                </w:rPr>
                <m:t>Passifs</m:t>
              </m:r>
              <m:r>
                <w:rPr>
                  <w:rFonts w:ascii="Cambria Math" w:hAnsi="Cambria Math"/>
                </w:rPr>
                <m:t xml:space="preserve"> </m:t>
              </m:r>
              <m:r>
                <w:rPr>
                  <w:rFonts w:ascii="Cambria Math" w:hAnsi="Cambria Math"/>
                </w:rPr>
                <m:t>courants</m:t>
              </m:r>
            </m:den>
          </m:f>
        </m:oMath>
      </m:oMathPara>
    </w:p>
    <w:p w14:paraId="0F666A0C" w14:textId="77777777" w:rsidR="00255605" w:rsidRPr="00255605" w:rsidRDefault="00255605" w:rsidP="00255605">
      <w:r w:rsidRPr="00255605">
        <w:t>Ce ratio offre une perspective plus stricte de la liquidité de l'entreprise.</w:t>
      </w:r>
    </w:p>
    <w:p w14:paraId="66FF128B" w14:textId="77777777" w:rsidR="00255605" w:rsidRPr="00255605" w:rsidRDefault="00255605" w:rsidP="00B55B11">
      <w:pPr>
        <w:pStyle w:val="Titre3"/>
      </w:pPr>
      <w:r w:rsidRPr="00255605">
        <w:t xml:space="preserve">Ratio </w:t>
      </w:r>
      <w:proofErr w:type="spellStart"/>
      <w:r w:rsidRPr="00255605">
        <w:t>d'endettement</w:t>
      </w:r>
      <w:proofErr w:type="spellEnd"/>
      <w:r w:rsidRPr="00255605">
        <w:t xml:space="preserve"> total (Debt Ratio)</w:t>
      </w:r>
    </w:p>
    <w:p w14:paraId="62774393" w14:textId="77777777" w:rsidR="00255605" w:rsidRPr="00255605" w:rsidRDefault="00255605" w:rsidP="00255605">
      <w:r w:rsidRPr="00255605">
        <w:t>Ce ratio indique la proportion des actifs de l'entreprise financée par la dette. Il est calculé en divisant le total des dettes par le total des actifs :</w:t>
      </w:r>
    </w:p>
    <w:p w14:paraId="14683985" w14:textId="0705CE20" w:rsidR="00255605" w:rsidRPr="00255605" w:rsidRDefault="00BD1916" w:rsidP="00255605">
      <m:oMathPara>
        <m:oMath>
          <m:r>
            <w:rPr>
              <w:rFonts w:ascii="Cambria Math" w:hAnsi="Cambria Math"/>
            </w:rPr>
            <m:t>Ratio d’endettement total=</m:t>
          </m:r>
          <m:f>
            <m:fPr>
              <m:ctrlPr>
                <w:rPr>
                  <w:rFonts w:ascii="Cambria Math" w:hAnsi="Cambria Math"/>
                  <w:i/>
                </w:rPr>
              </m:ctrlPr>
            </m:fPr>
            <m:num>
              <m:r>
                <w:rPr>
                  <w:rFonts w:ascii="Cambria Math" w:hAnsi="Cambria Math"/>
                </w:rPr>
                <m:t>Total</m:t>
              </m:r>
              <m:r>
                <w:rPr>
                  <w:rFonts w:ascii="Cambria Math" w:hAnsi="Cambria Math"/>
                </w:rPr>
                <m:t xml:space="preserve"> </m:t>
              </m:r>
              <m:r>
                <w:rPr>
                  <w:rFonts w:ascii="Cambria Math" w:hAnsi="Cambria Math"/>
                </w:rPr>
                <m:t>des</m:t>
              </m:r>
              <m:r>
                <w:rPr>
                  <w:rFonts w:ascii="Cambria Math" w:hAnsi="Cambria Math"/>
                </w:rPr>
                <m:t xml:space="preserve"> </m:t>
              </m:r>
              <m:r>
                <w:rPr>
                  <w:rFonts w:ascii="Cambria Math" w:hAnsi="Cambria Math"/>
                </w:rPr>
                <m:t>dettes</m:t>
              </m:r>
            </m:num>
            <m:den>
              <m:r>
                <w:rPr>
                  <w:rFonts w:ascii="Cambria Math" w:hAnsi="Cambria Math"/>
                </w:rPr>
                <m:t>Total</m:t>
              </m:r>
              <m:r>
                <w:rPr>
                  <w:rFonts w:ascii="Cambria Math" w:hAnsi="Cambria Math"/>
                </w:rPr>
                <m:t xml:space="preserve"> </m:t>
              </m:r>
              <m:r>
                <w:rPr>
                  <w:rFonts w:ascii="Cambria Math" w:hAnsi="Cambria Math"/>
                </w:rPr>
                <m:t>des</m:t>
              </m:r>
              <m:r>
                <w:rPr>
                  <w:rFonts w:ascii="Cambria Math" w:hAnsi="Cambria Math"/>
                </w:rPr>
                <m:t xml:space="preserve"> </m:t>
              </m:r>
              <m:r>
                <w:rPr>
                  <w:rFonts w:ascii="Cambria Math" w:hAnsi="Cambria Math"/>
                </w:rPr>
                <m:t>actifs</m:t>
              </m:r>
            </m:den>
          </m:f>
        </m:oMath>
      </m:oMathPara>
    </w:p>
    <w:p w14:paraId="7D7351FE" w14:textId="77777777" w:rsidR="00255605" w:rsidRPr="00255605" w:rsidRDefault="00255605" w:rsidP="00255605">
      <w:r w:rsidRPr="00255605">
        <w:t>Un ratio plus élevé peut signaler une dépendance accrue à l'égard du financement par emprunt.</w:t>
      </w:r>
    </w:p>
    <w:p w14:paraId="4C1D83B2" w14:textId="77777777" w:rsidR="00255605" w:rsidRPr="00255605" w:rsidRDefault="00255605" w:rsidP="00B55B11">
      <w:pPr>
        <w:pStyle w:val="Titre3"/>
      </w:pPr>
      <w:r w:rsidRPr="00255605">
        <w:t>Ratio de rotation des stocks (Inventory Turnover Ratio)</w:t>
      </w:r>
    </w:p>
    <w:p w14:paraId="23521869" w14:textId="77777777" w:rsidR="00255605" w:rsidRPr="00255605" w:rsidRDefault="00255605" w:rsidP="00255605">
      <w:r w:rsidRPr="00255605">
        <w:t>Bien que nécessitant des informations du compte de résultat, ce ratio utilise également des données du bilan pour évaluer l'efficacité de la gestion des stocks. Il est calculé en divisant le coût des marchandises vendues par la moyenne des stocks :</w:t>
      </w:r>
    </w:p>
    <w:p w14:paraId="67C1A2C8" w14:textId="1DD25BD8" w:rsidR="00BD1916" w:rsidRDefault="00BD1916" w:rsidP="00BD1916">
      <m:oMathPara>
        <m:oMath>
          <m:r>
            <w:rPr>
              <w:rFonts w:ascii="Cambria Math" w:hAnsi="Cambria Math"/>
            </w:rPr>
            <m:t>Ratio de rotation des stocks</m:t>
          </m:r>
          <m:r>
            <w:rPr>
              <w:rFonts w:ascii="Cambria Math" w:hAnsi="Cambria Math"/>
            </w:rPr>
            <m:t>=</m:t>
          </m:r>
          <m:f>
            <m:fPr>
              <m:ctrlPr>
                <w:rPr>
                  <w:rFonts w:ascii="Cambria Math" w:hAnsi="Cambria Math"/>
                  <w:i/>
                </w:rPr>
              </m:ctrlPr>
            </m:fPr>
            <m:num>
              <m:r>
                <w:rPr>
                  <w:rFonts w:ascii="Cambria Math" w:hAnsi="Cambria Math"/>
                </w:rPr>
                <m:t>Coût des marchandises</m:t>
              </m:r>
              <m:r>
                <w:rPr>
                  <w:rFonts w:ascii="Cambria Math" w:hAnsi="Cambria Math"/>
                </w:rPr>
                <m:t xml:space="preserve"> </m:t>
              </m:r>
              <m:r>
                <w:rPr>
                  <w:rFonts w:ascii="Cambria Math" w:hAnsi="Cambria Math"/>
                </w:rPr>
                <m:t>vendues</m:t>
              </m:r>
            </m:num>
            <m:den>
              <m:r>
                <w:rPr>
                  <w:rFonts w:ascii="Cambria Math" w:hAnsi="Cambria Math"/>
                </w:rPr>
                <m:t>Stock</m:t>
              </m:r>
              <m:r>
                <w:rPr>
                  <w:rFonts w:ascii="Cambria Math" w:hAnsi="Cambria Math"/>
                </w:rPr>
                <m:t xml:space="preserve"> </m:t>
              </m:r>
              <m:r>
                <w:rPr>
                  <w:rFonts w:ascii="Cambria Math" w:hAnsi="Cambria Math"/>
                </w:rPr>
                <m:t>moyen</m:t>
              </m:r>
            </m:den>
          </m:f>
        </m:oMath>
      </m:oMathPara>
    </w:p>
    <w:p w14:paraId="6EA0D397" w14:textId="77777777" w:rsidR="00255605" w:rsidRPr="00255605" w:rsidRDefault="00255605" w:rsidP="00255605">
      <w:r w:rsidRPr="00255605">
        <w:t>Un ratio élevé indique une rotation rapide des stocks, suggérant une gestion efficace.</w:t>
      </w:r>
    </w:p>
    <w:p w14:paraId="2AE24955" w14:textId="77777777" w:rsidR="00255605" w:rsidRDefault="00255605" w:rsidP="00255605">
      <w:r w:rsidRPr="00255605">
        <w:t>Ces ratios, dérivés des informations du bilan, permettent aux analystes d'évaluer la performance financière, la stabilité et l'efficacité opérationnelle d'une entreprise.</w:t>
      </w:r>
    </w:p>
    <w:p w14:paraId="0F83C87D" w14:textId="01B85427" w:rsidR="009E698E" w:rsidRDefault="009E698E" w:rsidP="009E698E">
      <w:pPr>
        <w:pStyle w:val="Titre2"/>
      </w:pPr>
      <w:r>
        <w:t xml:space="preserve">Limitation de balance </w:t>
      </w:r>
      <w:proofErr w:type="spellStart"/>
      <w:r>
        <w:t>sheet</w:t>
      </w:r>
      <w:proofErr w:type="spellEnd"/>
    </w:p>
    <w:p w14:paraId="0787E6C6" w14:textId="77777777" w:rsidR="009E698E" w:rsidRPr="009E698E" w:rsidRDefault="009E698E" w:rsidP="009E698E">
      <w:r w:rsidRPr="009E698E">
        <w:t xml:space="preserve">Bien que le </w:t>
      </w:r>
      <w:r w:rsidRPr="009E698E">
        <w:rPr>
          <w:b/>
          <w:bCs/>
        </w:rPr>
        <w:t>bilan</w:t>
      </w:r>
      <w:r w:rsidRPr="009E698E">
        <w:t xml:space="preserve"> (balance </w:t>
      </w:r>
      <w:proofErr w:type="spellStart"/>
      <w:r w:rsidRPr="009E698E">
        <w:t>sheet</w:t>
      </w:r>
      <w:proofErr w:type="spellEnd"/>
      <w:r w:rsidRPr="009E698E">
        <w:t>) fournisse une image précieuse de la situation financière d'une entreprise à un moment donné, il présente certaines limitations qu'il est important de considérer :</w:t>
      </w:r>
    </w:p>
    <w:p w14:paraId="03AD004B" w14:textId="77777777" w:rsidR="009E698E" w:rsidRPr="009E698E" w:rsidRDefault="009E698E" w:rsidP="009E698E">
      <w:pPr>
        <w:numPr>
          <w:ilvl w:val="0"/>
          <w:numId w:val="18"/>
        </w:numPr>
      </w:pPr>
      <w:r w:rsidRPr="009E698E">
        <w:rPr>
          <w:b/>
          <w:bCs/>
        </w:rPr>
        <w:t>Nature statique</w:t>
      </w:r>
      <w:r w:rsidRPr="009E698E">
        <w:t xml:space="preserve"> : Le bilan reflète la position financière de l'entreprise à un instant précis. Cependant, il ne capture pas les fluctuations quotidiennes des </w:t>
      </w:r>
      <w:r w:rsidRPr="009E698E">
        <w:rPr>
          <w:b/>
          <w:bCs/>
        </w:rPr>
        <w:t>actifs</w:t>
      </w:r>
      <w:r w:rsidRPr="009E698E">
        <w:t xml:space="preserve"> (assets) et des </w:t>
      </w:r>
      <w:r w:rsidRPr="009E698E">
        <w:rPr>
          <w:b/>
          <w:bCs/>
        </w:rPr>
        <w:t>passifs</w:t>
      </w:r>
      <w:r w:rsidRPr="009E698E">
        <w:t xml:space="preserve"> (</w:t>
      </w:r>
      <w:proofErr w:type="spellStart"/>
      <w:r w:rsidRPr="009E698E">
        <w:t>liabilities</w:t>
      </w:r>
      <w:proofErr w:type="spellEnd"/>
      <w:r w:rsidRPr="009E698E">
        <w:t>), ce qui peut donner une vision incomplète de la santé financière de l'entreprise.</w:t>
      </w:r>
    </w:p>
    <w:p w14:paraId="1EF0DFDE" w14:textId="77777777" w:rsidR="009E698E" w:rsidRPr="009E698E" w:rsidRDefault="009E698E" w:rsidP="009E698E">
      <w:pPr>
        <w:numPr>
          <w:ilvl w:val="0"/>
          <w:numId w:val="18"/>
        </w:numPr>
      </w:pPr>
      <w:r w:rsidRPr="009E698E">
        <w:rPr>
          <w:b/>
          <w:bCs/>
        </w:rPr>
        <w:t>Variabilité des méthodes comptables</w:t>
      </w:r>
      <w:r w:rsidRPr="009E698E">
        <w:t xml:space="preserve"> : Les entreprises peuvent utiliser différentes méthodes pour évaluer des éléments tels que l'</w:t>
      </w:r>
      <w:r w:rsidRPr="009E698E">
        <w:rPr>
          <w:b/>
          <w:bCs/>
        </w:rPr>
        <w:t>amortissement</w:t>
      </w:r>
      <w:r w:rsidRPr="009E698E">
        <w:t xml:space="preserve"> (</w:t>
      </w:r>
      <w:proofErr w:type="spellStart"/>
      <w:r w:rsidRPr="009E698E">
        <w:t>depreciation</w:t>
      </w:r>
      <w:proofErr w:type="spellEnd"/>
      <w:r w:rsidRPr="009E698E">
        <w:t>) ou l'</w:t>
      </w:r>
      <w:r w:rsidRPr="009E698E">
        <w:rPr>
          <w:b/>
          <w:bCs/>
        </w:rPr>
        <w:t>inventaire</w:t>
      </w:r>
      <w:r w:rsidRPr="009E698E">
        <w:t xml:space="preserve"> (</w:t>
      </w:r>
      <w:proofErr w:type="spellStart"/>
      <w:r w:rsidRPr="009E698E">
        <w:t>inventory</w:t>
      </w:r>
      <w:proofErr w:type="spellEnd"/>
      <w:r w:rsidRPr="009E698E">
        <w:t>), ce qui peut affecter la comparabilité des bilans entre différentes entreprises.</w:t>
      </w:r>
    </w:p>
    <w:p w14:paraId="19C8F7FB" w14:textId="77777777" w:rsidR="009E698E" w:rsidRPr="009E698E" w:rsidRDefault="009E698E" w:rsidP="009E698E">
      <w:pPr>
        <w:numPr>
          <w:ilvl w:val="0"/>
          <w:numId w:val="18"/>
        </w:numPr>
      </w:pPr>
      <w:r w:rsidRPr="009E698E">
        <w:rPr>
          <w:b/>
          <w:bCs/>
        </w:rPr>
        <w:t>Jugements professionnels</w:t>
      </w:r>
      <w:r w:rsidRPr="009E698E">
        <w:t xml:space="preserve"> : Certaines estimations, comme l'évaluation des </w:t>
      </w:r>
      <w:r w:rsidRPr="009E698E">
        <w:rPr>
          <w:b/>
          <w:bCs/>
        </w:rPr>
        <w:t>créances douteuses</w:t>
      </w:r>
      <w:r w:rsidRPr="009E698E">
        <w:t xml:space="preserve"> (</w:t>
      </w:r>
      <w:proofErr w:type="spellStart"/>
      <w:r w:rsidRPr="009E698E">
        <w:t>doubtful</w:t>
      </w:r>
      <w:proofErr w:type="spellEnd"/>
      <w:r w:rsidRPr="009E698E">
        <w:t xml:space="preserve"> </w:t>
      </w:r>
      <w:proofErr w:type="spellStart"/>
      <w:r w:rsidRPr="009E698E">
        <w:t>accounts</w:t>
      </w:r>
      <w:proofErr w:type="spellEnd"/>
      <w:r w:rsidRPr="009E698E">
        <w:t>), reposent sur le jugement des gestionnaires. Ces estimations peuvent introduire un certain degré de subjectivité, affectant ainsi la fiabilité des informations présentées.</w:t>
      </w:r>
    </w:p>
    <w:p w14:paraId="4DDE11BA" w14:textId="77777777" w:rsidR="009E698E" w:rsidRPr="009E698E" w:rsidRDefault="009E698E" w:rsidP="009E698E">
      <w:r w:rsidRPr="009E698E">
        <w:t xml:space="preserve">Pour obtenir une évaluation plus complète de la performance et de la santé financière d'une entreprise, il est essentiel d'examiner le bilan en conjonction avec d'autres états financiers, tels que le </w:t>
      </w:r>
      <w:r w:rsidRPr="009E698E">
        <w:rPr>
          <w:b/>
          <w:bCs/>
        </w:rPr>
        <w:t>compte de résultat</w:t>
      </w:r>
      <w:r w:rsidRPr="009E698E">
        <w:t xml:space="preserve"> (</w:t>
      </w:r>
      <w:proofErr w:type="spellStart"/>
      <w:r w:rsidRPr="009E698E">
        <w:t>income</w:t>
      </w:r>
      <w:proofErr w:type="spellEnd"/>
      <w:r w:rsidRPr="009E698E">
        <w:t xml:space="preserve"> </w:t>
      </w:r>
      <w:proofErr w:type="spellStart"/>
      <w:r w:rsidRPr="009E698E">
        <w:t>statement</w:t>
      </w:r>
      <w:proofErr w:type="spellEnd"/>
      <w:r w:rsidRPr="009E698E">
        <w:t xml:space="preserve">) et le </w:t>
      </w:r>
      <w:r w:rsidRPr="009E698E">
        <w:rPr>
          <w:b/>
          <w:bCs/>
        </w:rPr>
        <w:t>tableau des flux de trésorerie</w:t>
      </w:r>
      <w:r w:rsidRPr="009E698E">
        <w:t xml:space="preserve"> (</w:t>
      </w:r>
      <w:proofErr w:type="spellStart"/>
      <w:r w:rsidRPr="009E698E">
        <w:t>cash flow</w:t>
      </w:r>
      <w:proofErr w:type="spellEnd"/>
      <w:r w:rsidRPr="009E698E">
        <w:t xml:space="preserve"> </w:t>
      </w:r>
      <w:proofErr w:type="spellStart"/>
      <w:r w:rsidRPr="009E698E">
        <w:t>statement</w:t>
      </w:r>
      <w:proofErr w:type="spellEnd"/>
      <w:r w:rsidRPr="009E698E">
        <w:t>).</w:t>
      </w:r>
    </w:p>
    <w:p w14:paraId="7986C4CB" w14:textId="465E5A56" w:rsidR="001436C4" w:rsidRDefault="001436C4">
      <w:pPr>
        <w:spacing w:after="160" w:line="278" w:lineRule="auto"/>
        <w:jc w:val="left"/>
      </w:pPr>
      <w:r>
        <w:br w:type="page"/>
      </w:r>
    </w:p>
    <w:p w14:paraId="2F2992BA" w14:textId="4EDABCFD" w:rsidR="001436C4" w:rsidRDefault="001436C4" w:rsidP="001436C4">
      <w:pPr>
        <w:pStyle w:val="Titre1"/>
      </w:pPr>
      <w:r w:rsidRPr="001436C4">
        <w:lastRenderedPageBreak/>
        <w:t>Le compte de résultat</w:t>
      </w:r>
      <w:r>
        <w:t xml:space="preserve"> (</w:t>
      </w:r>
      <w:proofErr w:type="spellStart"/>
      <w:r>
        <w:t>Incomi</w:t>
      </w:r>
      <w:r w:rsidR="00104DE3">
        <w:t>g</w:t>
      </w:r>
      <w:proofErr w:type="spellEnd"/>
      <w:r>
        <w:t xml:space="preserve"> </w:t>
      </w:r>
      <w:proofErr w:type="spellStart"/>
      <w:r>
        <w:t>statement</w:t>
      </w:r>
      <w:proofErr w:type="spellEnd"/>
      <w:r>
        <w:t>)</w:t>
      </w:r>
    </w:p>
    <w:p w14:paraId="2E751ACF" w14:textId="0E3E748B" w:rsidR="001436C4" w:rsidRPr="001436C4" w:rsidRDefault="00EF5529" w:rsidP="00EF5529">
      <w:pPr>
        <w:pStyle w:val="Titre2"/>
      </w:pPr>
      <w:r>
        <w:t>Définition</w:t>
      </w:r>
    </w:p>
    <w:p w14:paraId="1A9E2EFF" w14:textId="07966190" w:rsidR="001436C4" w:rsidRPr="001436C4" w:rsidRDefault="001436C4" w:rsidP="001436C4">
      <w:r w:rsidRPr="001436C4">
        <w:t xml:space="preserve">Le </w:t>
      </w:r>
      <w:r w:rsidRPr="001436C4">
        <w:rPr>
          <w:b/>
          <w:bCs/>
        </w:rPr>
        <w:t>compte de résultat</w:t>
      </w:r>
      <w:r w:rsidRPr="001436C4">
        <w:t>, également connu sous le nom d'</w:t>
      </w:r>
      <w:r w:rsidRPr="001436C4">
        <w:rPr>
          <w:b/>
          <w:bCs/>
        </w:rPr>
        <w:t>état des résultats</w:t>
      </w:r>
      <w:r w:rsidRPr="001436C4">
        <w:t>, est un document financier essentiel qui présente la performance financière d'une entreprise sur une période spécifique, généralement un trimestre ou une année. Contrairement au bilan, qui offre une vue statique de la situation financière à un moment donné, le compte de résultat détaille les revenus, les charges et le résultat net sur une période donnée, reflétant ainsi la rentabilité de l'entreprise.</w:t>
      </w:r>
    </w:p>
    <w:p w14:paraId="417DBEFC" w14:textId="77777777" w:rsidR="001436C4" w:rsidRPr="001436C4" w:rsidRDefault="001436C4" w:rsidP="00EF5529">
      <w:pPr>
        <w:pStyle w:val="Titre2"/>
        <w:rPr>
          <w:lang w:val="en-GB"/>
        </w:rPr>
      </w:pPr>
      <w:r w:rsidRPr="001436C4">
        <w:rPr>
          <w:lang w:val="en-GB"/>
        </w:rPr>
        <w:t xml:space="preserve">Structure du Compte de </w:t>
      </w:r>
      <w:proofErr w:type="spellStart"/>
      <w:r w:rsidRPr="001436C4">
        <w:rPr>
          <w:lang w:val="en-GB"/>
        </w:rPr>
        <w:t>Résultat</w:t>
      </w:r>
      <w:proofErr w:type="spellEnd"/>
    </w:p>
    <w:p w14:paraId="101494EE" w14:textId="77777777" w:rsidR="001436C4" w:rsidRPr="001436C4" w:rsidRDefault="001436C4" w:rsidP="001436C4">
      <w:pPr>
        <w:numPr>
          <w:ilvl w:val="0"/>
          <w:numId w:val="13"/>
        </w:numPr>
        <w:rPr>
          <w:lang w:val="en-GB"/>
        </w:rPr>
      </w:pPr>
      <w:proofErr w:type="spellStart"/>
      <w:r w:rsidRPr="001436C4">
        <w:rPr>
          <w:b/>
          <w:bCs/>
          <w:lang w:val="en-GB"/>
        </w:rPr>
        <w:t>Revenus</w:t>
      </w:r>
      <w:proofErr w:type="spellEnd"/>
      <w:r w:rsidRPr="001436C4">
        <w:rPr>
          <w:b/>
          <w:bCs/>
          <w:lang w:val="en-GB"/>
        </w:rPr>
        <w:t xml:space="preserve"> (</w:t>
      </w:r>
      <w:proofErr w:type="spellStart"/>
      <w:r w:rsidRPr="001436C4">
        <w:rPr>
          <w:b/>
          <w:bCs/>
          <w:lang w:val="en-GB"/>
        </w:rPr>
        <w:t>Produits</w:t>
      </w:r>
      <w:proofErr w:type="spellEnd"/>
      <w:r w:rsidRPr="001436C4">
        <w:rPr>
          <w:b/>
          <w:bCs/>
          <w:lang w:val="en-GB"/>
        </w:rPr>
        <w:t>)</w:t>
      </w:r>
    </w:p>
    <w:p w14:paraId="00A2179A" w14:textId="77777777" w:rsidR="001436C4" w:rsidRPr="001436C4" w:rsidRDefault="001436C4" w:rsidP="001436C4">
      <w:pPr>
        <w:numPr>
          <w:ilvl w:val="1"/>
          <w:numId w:val="13"/>
        </w:numPr>
      </w:pPr>
      <w:r w:rsidRPr="001436C4">
        <w:rPr>
          <w:b/>
          <w:bCs/>
        </w:rPr>
        <w:t>Revenus d'exploitation</w:t>
      </w:r>
      <w:r w:rsidRPr="001436C4">
        <w:t xml:space="preserve"> : Générés par les activités principales de l'entreprise, tels que la vente de biens ou de services.</w:t>
      </w:r>
    </w:p>
    <w:p w14:paraId="657017B4" w14:textId="77777777" w:rsidR="001436C4" w:rsidRPr="001436C4" w:rsidRDefault="001436C4" w:rsidP="001436C4">
      <w:pPr>
        <w:numPr>
          <w:ilvl w:val="1"/>
          <w:numId w:val="13"/>
        </w:numPr>
      </w:pPr>
      <w:r w:rsidRPr="001436C4">
        <w:rPr>
          <w:b/>
          <w:bCs/>
        </w:rPr>
        <w:t>Revenus non liés à l'exploitation</w:t>
      </w:r>
      <w:r w:rsidRPr="001436C4">
        <w:t xml:space="preserve"> : Provenant d'activités secondaires, comme les intérêts perçus, les loyers ou les royalties.</w:t>
      </w:r>
    </w:p>
    <w:p w14:paraId="184A4D67" w14:textId="77777777" w:rsidR="001436C4" w:rsidRPr="001436C4" w:rsidRDefault="001436C4" w:rsidP="001436C4">
      <w:pPr>
        <w:numPr>
          <w:ilvl w:val="1"/>
          <w:numId w:val="13"/>
        </w:numPr>
      </w:pPr>
      <w:r w:rsidRPr="001436C4">
        <w:rPr>
          <w:b/>
          <w:bCs/>
        </w:rPr>
        <w:t>Autres revenus</w:t>
      </w:r>
      <w:r w:rsidRPr="001436C4">
        <w:t xml:space="preserve"> : Incluent les gains issus de la vente d'actifs à long terme ou d'autres transactions exceptionnelles.</w:t>
      </w:r>
    </w:p>
    <w:p w14:paraId="758834C4" w14:textId="77777777" w:rsidR="001436C4" w:rsidRPr="001436C4" w:rsidRDefault="001436C4" w:rsidP="001436C4">
      <w:pPr>
        <w:numPr>
          <w:ilvl w:val="0"/>
          <w:numId w:val="13"/>
        </w:numPr>
        <w:rPr>
          <w:lang w:val="en-GB"/>
        </w:rPr>
      </w:pPr>
      <w:r w:rsidRPr="001436C4">
        <w:rPr>
          <w:b/>
          <w:bCs/>
          <w:lang w:val="en-GB"/>
        </w:rPr>
        <w:t>Charges</w:t>
      </w:r>
    </w:p>
    <w:p w14:paraId="055D46EE" w14:textId="77777777" w:rsidR="001436C4" w:rsidRPr="001436C4" w:rsidRDefault="001436C4" w:rsidP="001436C4">
      <w:pPr>
        <w:numPr>
          <w:ilvl w:val="1"/>
          <w:numId w:val="13"/>
        </w:numPr>
      </w:pPr>
      <w:r w:rsidRPr="001436C4">
        <w:rPr>
          <w:b/>
          <w:bCs/>
        </w:rPr>
        <w:t>Charges d'exploitation</w:t>
      </w:r>
      <w:r w:rsidRPr="001436C4">
        <w:t xml:space="preserve"> : Engagées pour générer des revenus, incluant le coût des marchandises vendues (COGS), les frais de vente, les charges administratives et les dépenses de recherche et développement.</w:t>
      </w:r>
    </w:p>
    <w:p w14:paraId="6676D886" w14:textId="77777777" w:rsidR="001436C4" w:rsidRPr="001436C4" w:rsidRDefault="001436C4" w:rsidP="001436C4">
      <w:pPr>
        <w:numPr>
          <w:ilvl w:val="1"/>
          <w:numId w:val="13"/>
        </w:numPr>
      </w:pPr>
      <w:r w:rsidRPr="001436C4">
        <w:rPr>
          <w:b/>
          <w:bCs/>
        </w:rPr>
        <w:t>Charges financières</w:t>
      </w:r>
      <w:r w:rsidRPr="001436C4">
        <w:t xml:space="preserve"> : Liées au financement de l'entreprise, telles que les intérêts sur les emprunts.</w:t>
      </w:r>
    </w:p>
    <w:p w14:paraId="785D7221" w14:textId="77777777" w:rsidR="001436C4" w:rsidRPr="001436C4" w:rsidRDefault="001436C4" w:rsidP="001436C4">
      <w:pPr>
        <w:numPr>
          <w:ilvl w:val="1"/>
          <w:numId w:val="13"/>
        </w:numPr>
      </w:pPr>
      <w:r w:rsidRPr="001436C4">
        <w:rPr>
          <w:b/>
          <w:bCs/>
        </w:rPr>
        <w:t>Charges exceptionnelles</w:t>
      </w:r>
      <w:r w:rsidRPr="001436C4">
        <w:t xml:space="preserve"> : Dépenses non récurrentes, comme les pertes sur la vente d'actifs ou les coûts liés à des litiges.</w:t>
      </w:r>
    </w:p>
    <w:p w14:paraId="33F059F2" w14:textId="77777777" w:rsidR="001436C4" w:rsidRPr="001436C4" w:rsidRDefault="001436C4" w:rsidP="001436C4">
      <w:pPr>
        <w:numPr>
          <w:ilvl w:val="0"/>
          <w:numId w:val="13"/>
        </w:numPr>
        <w:rPr>
          <w:lang w:val="en-GB"/>
        </w:rPr>
      </w:pPr>
      <w:proofErr w:type="spellStart"/>
      <w:r w:rsidRPr="001436C4">
        <w:rPr>
          <w:b/>
          <w:bCs/>
          <w:lang w:val="en-GB"/>
        </w:rPr>
        <w:t>Résultats</w:t>
      </w:r>
      <w:proofErr w:type="spellEnd"/>
    </w:p>
    <w:p w14:paraId="26B7596E" w14:textId="77777777" w:rsidR="001436C4" w:rsidRPr="001436C4" w:rsidRDefault="001436C4" w:rsidP="001436C4">
      <w:pPr>
        <w:numPr>
          <w:ilvl w:val="1"/>
          <w:numId w:val="13"/>
        </w:numPr>
      </w:pPr>
      <w:r w:rsidRPr="001436C4">
        <w:rPr>
          <w:b/>
          <w:bCs/>
        </w:rPr>
        <w:t>Résultat d'exploitation</w:t>
      </w:r>
      <w:r w:rsidRPr="001436C4">
        <w:t xml:space="preserve"> : Différence entre les revenus et les charges d'exploitation, indiquant la rentabilité des activités principales.</w:t>
      </w:r>
    </w:p>
    <w:p w14:paraId="62EE937F" w14:textId="77777777" w:rsidR="001436C4" w:rsidRPr="001436C4" w:rsidRDefault="001436C4" w:rsidP="001436C4">
      <w:pPr>
        <w:numPr>
          <w:ilvl w:val="1"/>
          <w:numId w:val="13"/>
        </w:numPr>
      </w:pPr>
      <w:r w:rsidRPr="001436C4">
        <w:rPr>
          <w:b/>
          <w:bCs/>
        </w:rPr>
        <w:t>Résultat financier</w:t>
      </w:r>
      <w:r w:rsidRPr="001436C4">
        <w:t xml:space="preserve"> : Différence entre les revenus et les charges financières, reflétant l'efficacité de la gestion financière.</w:t>
      </w:r>
    </w:p>
    <w:p w14:paraId="759D545D" w14:textId="77777777" w:rsidR="001436C4" w:rsidRPr="001436C4" w:rsidRDefault="001436C4" w:rsidP="001436C4">
      <w:pPr>
        <w:numPr>
          <w:ilvl w:val="1"/>
          <w:numId w:val="13"/>
        </w:numPr>
      </w:pPr>
      <w:r w:rsidRPr="001436C4">
        <w:rPr>
          <w:b/>
          <w:bCs/>
        </w:rPr>
        <w:t>Résultat exceptionnel</w:t>
      </w:r>
      <w:r w:rsidRPr="001436C4">
        <w:t xml:space="preserve"> : Gains ou pertes liés à des événements non récurrents.</w:t>
      </w:r>
    </w:p>
    <w:p w14:paraId="2FBA5CD6" w14:textId="77777777" w:rsidR="001436C4" w:rsidRPr="001436C4" w:rsidRDefault="001436C4" w:rsidP="001436C4">
      <w:pPr>
        <w:numPr>
          <w:ilvl w:val="1"/>
          <w:numId w:val="13"/>
        </w:numPr>
      </w:pPr>
      <w:r w:rsidRPr="001436C4">
        <w:rPr>
          <w:b/>
          <w:bCs/>
        </w:rPr>
        <w:t>Résultat net</w:t>
      </w:r>
      <w:r w:rsidRPr="001436C4">
        <w:t xml:space="preserve"> : Représente le bénéfice ou la perte de l'entreprise après impôts, indiquant la rentabilité globale.</w:t>
      </w:r>
    </w:p>
    <w:p w14:paraId="1B884AB2" w14:textId="77777777" w:rsidR="001436C4" w:rsidRPr="001436C4" w:rsidRDefault="001436C4" w:rsidP="00EF5529">
      <w:pPr>
        <w:pStyle w:val="Titre2"/>
        <w:rPr>
          <w:lang w:val="en-GB"/>
        </w:rPr>
      </w:pPr>
      <w:proofErr w:type="spellStart"/>
      <w:r w:rsidRPr="001436C4">
        <w:rPr>
          <w:lang w:val="en-GB"/>
        </w:rPr>
        <w:t>Utilité</w:t>
      </w:r>
      <w:proofErr w:type="spellEnd"/>
      <w:r w:rsidRPr="001436C4">
        <w:rPr>
          <w:lang w:val="en-GB"/>
        </w:rPr>
        <w:t xml:space="preserve"> du Compte de </w:t>
      </w:r>
      <w:proofErr w:type="spellStart"/>
      <w:r w:rsidRPr="001436C4">
        <w:rPr>
          <w:lang w:val="en-GB"/>
        </w:rPr>
        <w:t>Résultat</w:t>
      </w:r>
      <w:proofErr w:type="spellEnd"/>
    </w:p>
    <w:p w14:paraId="56A6570B" w14:textId="77777777" w:rsidR="001436C4" w:rsidRPr="001436C4" w:rsidRDefault="001436C4" w:rsidP="001436C4">
      <w:pPr>
        <w:numPr>
          <w:ilvl w:val="0"/>
          <w:numId w:val="14"/>
        </w:numPr>
      </w:pPr>
      <w:r w:rsidRPr="001436C4">
        <w:rPr>
          <w:b/>
          <w:bCs/>
        </w:rPr>
        <w:t>Évaluation de la rentabilité</w:t>
      </w:r>
      <w:r w:rsidRPr="001436C4">
        <w:t xml:space="preserve"> : Permet de déterminer si l'entreprise génère des bénéfices suffisants par rapport à ses charges.</w:t>
      </w:r>
    </w:p>
    <w:p w14:paraId="46662CAB" w14:textId="77777777" w:rsidR="001436C4" w:rsidRPr="001436C4" w:rsidRDefault="001436C4" w:rsidP="001436C4">
      <w:pPr>
        <w:numPr>
          <w:ilvl w:val="0"/>
          <w:numId w:val="14"/>
        </w:numPr>
      </w:pPr>
      <w:r w:rsidRPr="001436C4">
        <w:rPr>
          <w:b/>
          <w:bCs/>
        </w:rPr>
        <w:t>Analyse de la performance opérationnelle</w:t>
      </w:r>
      <w:r w:rsidRPr="001436C4">
        <w:t xml:space="preserve"> : Aide à comprendre comment les revenus sont générés et comment les charges sont contrôlées.</w:t>
      </w:r>
    </w:p>
    <w:p w14:paraId="58CC76A2" w14:textId="77777777" w:rsidR="001436C4" w:rsidRPr="001436C4" w:rsidRDefault="001436C4" w:rsidP="001436C4">
      <w:pPr>
        <w:numPr>
          <w:ilvl w:val="0"/>
          <w:numId w:val="14"/>
        </w:numPr>
      </w:pPr>
      <w:r w:rsidRPr="001436C4">
        <w:rPr>
          <w:b/>
          <w:bCs/>
        </w:rPr>
        <w:t>Prise de décisions stratégiques</w:t>
      </w:r>
      <w:r w:rsidRPr="001436C4">
        <w:t xml:space="preserve"> : Fournit des informations pour orienter les choix en matière d'investissement, de réduction de coûts ou d'expansion.</w:t>
      </w:r>
    </w:p>
    <w:p w14:paraId="36F00EE0" w14:textId="77777777" w:rsidR="001436C4" w:rsidRPr="001436C4" w:rsidRDefault="001436C4" w:rsidP="001436C4">
      <w:pPr>
        <w:numPr>
          <w:ilvl w:val="0"/>
          <w:numId w:val="14"/>
        </w:numPr>
      </w:pPr>
      <w:r w:rsidRPr="001436C4">
        <w:rPr>
          <w:b/>
          <w:bCs/>
        </w:rPr>
        <w:t>Information des parties prenantes</w:t>
      </w:r>
      <w:r w:rsidRPr="001436C4">
        <w:t xml:space="preserve"> : Offre aux investisseurs, créanciers et autres parties prenantes une vision claire de la santé financière de l'entreprise.</w:t>
      </w:r>
    </w:p>
    <w:p w14:paraId="3277820A" w14:textId="77777777" w:rsidR="001436C4" w:rsidRPr="001436C4" w:rsidRDefault="001436C4" w:rsidP="001436C4">
      <w:r w:rsidRPr="001436C4">
        <w:t xml:space="preserve">En somme, le compte de résultat est un outil indispensable pour évaluer la performance financière d'une entreprise sur une période donnée, fournissant des informations cruciales </w:t>
      </w:r>
      <w:r w:rsidRPr="001436C4">
        <w:lastRenderedPageBreak/>
        <w:t>pour la prise de décisions internes et pour les parties externes intéressées par la santé financière de l'entreprise.</w:t>
      </w:r>
    </w:p>
    <w:p w14:paraId="2DC48B3B" w14:textId="77777777" w:rsidR="001436C4" w:rsidRPr="001436C4" w:rsidRDefault="001436C4" w:rsidP="001436C4">
      <w:pPr>
        <w:rPr>
          <w:lang w:val="en-GB"/>
        </w:rPr>
      </w:pPr>
      <w:r w:rsidRPr="001436C4">
        <w:rPr>
          <w:lang w:val="en-GB"/>
        </w:rPr>
        <w:t>Sources</w:t>
      </w:r>
    </w:p>
    <w:p w14:paraId="05DA436D" w14:textId="07B62AA8" w:rsidR="00B75CC1" w:rsidRDefault="00B75CC1" w:rsidP="00B75CC1">
      <w:pPr>
        <w:pStyle w:val="Titre2"/>
      </w:pPr>
      <w:r>
        <w:t>Exemple</w:t>
      </w:r>
    </w:p>
    <w:p w14:paraId="77C62C49" w14:textId="1A4C8D6D" w:rsidR="001436C4" w:rsidRPr="001436C4" w:rsidRDefault="001436C4" w:rsidP="001436C4">
      <w:r w:rsidRPr="001436C4">
        <w:t xml:space="preserve">Voici un exemple simplifié d'un </w:t>
      </w:r>
      <w:r w:rsidRPr="001436C4">
        <w:rPr>
          <w:b/>
          <w:bCs/>
        </w:rPr>
        <w:t>compte de résultat</w:t>
      </w:r>
      <w:r w:rsidRPr="001436C4">
        <w:t xml:space="preserve"> pour une entreprise fictive, ABC SARL, pour l'exercice clos le 31 décembre 2023 :</w:t>
      </w:r>
    </w:p>
    <w:p w14:paraId="089DF1BF" w14:textId="77777777" w:rsidR="001436C4" w:rsidRPr="001436C4" w:rsidRDefault="001436C4" w:rsidP="001436C4">
      <w:r w:rsidRPr="001436C4">
        <w:rPr>
          <w:b/>
          <w:bCs/>
        </w:rPr>
        <w:t>Compte de Résultat d'ABC SARL pour l'exercice 2023</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0"/>
        <w:gridCol w:w="1599"/>
      </w:tblGrid>
      <w:tr w:rsidR="001436C4" w:rsidRPr="001436C4" w14:paraId="64343494" w14:textId="77777777" w:rsidTr="00B75CC1">
        <w:trPr>
          <w:tblHeader/>
          <w:tblCellSpacing w:w="15" w:type="dxa"/>
        </w:trPr>
        <w:tc>
          <w:tcPr>
            <w:tcW w:w="0" w:type="auto"/>
            <w:vAlign w:val="center"/>
            <w:hideMark/>
          </w:tcPr>
          <w:p w14:paraId="2E4FDE5E" w14:textId="77777777" w:rsidR="001436C4" w:rsidRPr="001436C4" w:rsidRDefault="001436C4" w:rsidP="001436C4">
            <w:pPr>
              <w:rPr>
                <w:b/>
                <w:bCs/>
                <w:lang w:val="en-GB"/>
              </w:rPr>
            </w:pPr>
            <w:proofErr w:type="spellStart"/>
            <w:r w:rsidRPr="001436C4">
              <w:rPr>
                <w:b/>
                <w:bCs/>
                <w:lang w:val="en-GB"/>
              </w:rPr>
              <w:t>Libellé</w:t>
            </w:r>
            <w:proofErr w:type="spellEnd"/>
          </w:p>
        </w:tc>
        <w:tc>
          <w:tcPr>
            <w:tcW w:w="0" w:type="auto"/>
            <w:vAlign w:val="center"/>
            <w:hideMark/>
          </w:tcPr>
          <w:p w14:paraId="4912758B" w14:textId="77777777" w:rsidR="001436C4" w:rsidRPr="001436C4" w:rsidRDefault="001436C4" w:rsidP="001436C4">
            <w:pPr>
              <w:rPr>
                <w:b/>
                <w:bCs/>
                <w:lang w:val="en-GB"/>
              </w:rPr>
            </w:pPr>
            <w:proofErr w:type="spellStart"/>
            <w:r w:rsidRPr="001436C4">
              <w:rPr>
                <w:b/>
                <w:bCs/>
                <w:lang w:val="en-GB"/>
              </w:rPr>
              <w:t>Montant</w:t>
            </w:r>
            <w:proofErr w:type="spellEnd"/>
            <w:r w:rsidRPr="001436C4">
              <w:rPr>
                <w:b/>
                <w:bCs/>
                <w:lang w:val="en-GB"/>
              </w:rPr>
              <w:t xml:space="preserve"> (</w:t>
            </w:r>
            <w:proofErr w:type="spellStart"/>
            <w:r w:rsidRPr="001436C4">
              <w:rPr>
                <w:b/>
                <w:bCs/>
                <w:lang w:val="en-GB"/>
              </w:rPr>
              <w:t>en</w:t>
            </w:r>
            <w:proofErr w:type="spellEnd"/>
            <w:r w:rsidRPr="001436C4">
              <w:rPr>
                <w:b/>
                <w:bCs/>
                <w:lang w:val="en-GB"/>
              </w:rPr>
              <w:t xml:space="preserve"> €)</w:t>
            </w:r>
          </w:p>
        </w:tc>
      </w:tr>
      <w:tr w:rsidR="001436C4" w:rsidRPr="001436C4" w14:paraId="02ED467A" w14:textId="77777777" w:rsidTr="00B75CC1">
        <w:trPr>
          <w:tblCellSpacing w:w="15" w:type="dxa"/>
        </w:trPr>
        <w:tc>
          <w:tcPr>
            <w:tcW w:w="0" w:type="auto"/>
            <w:vAlign w:val="center"/>
            <w:hideMark/>
          </w:tcPr>
          <w:p w14:paraId="41D1FEDD" w14:textId="77777777" w:rsidR="001436C4" w:rsidRPr="001436C4" w:rsidRDefault="001436C4" w:rsidP="001436C4">
            <w:pPr>
              <w:rPr>
                <w:lang w:val="en-GB"/>
              </w:rPr>
            </w:pPr>
            <w:r w:rsidRPr="001436C4">
              <w:rPr>
                <w:b/>
                <w:bCs/>
                <w:lang w:val="en-GB"/>
              </w:rPr>
              <w:t>Chiffre d'affaires</w:t>
            </w:r>
          </w:p>
        </w:tc>
        <w:tc>
          <w:tcPr>
            <w:tcW w:w="0" w:type="auto"/>
            <w:vAlign w:val="center"/>
            <w:hideMark/>
          </w:tcPr>
          <w:p w14:paraId="302B29BF" w14:textId="77777777" w:rsidR="001436C4" w:rsidRPr="001436C4" w:rsidRDefault="001436C4" w:rsidP="001436C4">
            <w:pPr>
              <w:rPr>
                <w:lang w:val="en-GB"/>
              </w:rPr>
            </w:pPr>
            <w:r w:rsidRPr="001436C4">
              <w:rPr>
                <w:lang w:val="en-GB"/>
              </w:rPr>
              <w:t>1 000 000</w:t>
            </w:r>
          </w:p>
        </w:tc>
      </w:tr>
      <w:tr w:rsidR="001436C4" w:rsidRPr="001436C4" w14:paraId="22BC2976" w14:textId="77777777" w:rsidTr="00B75CC1">
        <w:trPr>
          <w:tblCellSpacing w:w="15" w:type="dxa"/>
        </w:trPr>
        <w:tc>
          <w:tcPr>
            <w:tcW w:w="0" w:type="auto"/>
            <w:vAlign w:val="center"/>
            <w:hideMark/>
          </w:tcPr>
          <w:p w14:paraId="63B571BD" w14:textId="77777777" w:rsidR="001436C4" w:rsidRPr="001436C4" w:rsidRDefault="001436C4" w:rsidP="001436C4">
            <w:pPr>
              <w:rPr>
                <w:lang w:val="en-GB"/>
              </w:rPr>
            </w:pPr>
            <w:r w:rsidRPr="001436C4">
              <w:rPr>
                <w:b/>
                <w:bCs/>
                <w:lang w:val="en-GB"/>
              </w:rPr>
              <w:t xml:space="preserve">Charges </w:t>
            </w:r>
            <w:proofErr w:type="spellStart"/>
            <w:r w:rsidRPr="001436C4">
              <w:rPr>
                <w:b/>
                <w:bCs/>
                <w:lang w:val="en-GB"/>
              </w:rPr>
              <w:t>d'exploitation</w:t>
            </w:r>
            <w:proofErr w:type="spellEnd"/>
            <w:r w:rsidRPr="001436C4">
              <w:rPr>
                <w:b/>
                <w:bCs/>
                <w:lang w:val="en-GB"/>
              </w:rPr>
              <w:t xml:space="preserve"> :</w:t>
            </w:r>
          </w:p>
        </w:tc>
        <w:tc>
          <w:tcPr>
            <w:tcW w:w="0" w:type="auto"/>
            <w:vAlign w:val="center"/>
            <w:hideMark/>
          </w:tcPr>
          <w:p w14:paraId="42D93B13" w14:textId="77777777" w:rsidR="001436C4" w:rsidRPr="001436C4" w:rsidRDefault="001436C4" w:rsidP="001436C4">
            <w:pPr>
              <w:rPr>
                <w:lang w:val="en-GB"/>
              </w:rPr>
            </w:pPr>
          </w:p>
        </w:tc>
      </w:tr>
      <w:tr w:rsidR="001436C4" w:rsidRPr="001436C4" w14:paraId="09849933" w14:textId="77777777" w:rsidTr="00B75CC1">
        <w:trPr>
          <w:tblCellSpacing w:w="15" w:type="dxa"/>
        </w:trPr>
        <w:tc>
          <w:tcPr>
            <w:tcW w:w="0" w:type="auto"/>
            <w:vAlign w:val="center"/>
            <w:hideMark/>
          </w:tcPr>
          <w:p w14:paraId="278F5A60" w14:textId="77777777" w:rsidR="001436C4" w:rsidRPr="001436C4" w:rsidRDefault="001436C4" w:rsidP="001436C4">
            <w:pPr>
              <w:rPr>
                <w:lang w:val="en-GB"/>
              </w:rPr>
            </w:pPr>
            <w:r w:rsidRPr="001436C4">
              <w:rPr>
                <w:lang w:val="en-GB"/>
              </w:rPr>
              <w:t xml:space="preserve">- </w:t>
            </w:r>
            <w:proofErr w:type="spellStart"/>
            <w:r w:rsidRPr="001436C4">
              <w:rPr>
                <w:lang w:val="en-GB"/>
              </w:rPr>
              <w:t>Achats</w:t>
            </w:r>
            <w:proofErr w:type="spellEnd"/>
            <w:r w:rsidRPr="001436C4">
              <w:rPr>
                <w:lang w:val="en-GB"/>
              </w:rPr>
              <w:t xml:space="preserve"> de </w:t>
            </w:r>
            <w:proofErr w:type="spellStart"/>
            <w:r w:rsidRPr="001436C4">
              <w:rPr>
                <w:lang w:val="en-GB"/>
              </w:rPr>
              <w:t>marchandises</w:t>
            </w:r>
            <w:proofErr w:type="spellEnd"/>
          </w:p>
        </w:tc>
        <w:tc>
          <w:tcPr>
            <w:tcW w:w="0" w:type="auto"/>
            <w:vAlign w:val="center"/>
            <w:hideMark/>
          </w:tcPr>
          <w:p w14:paraId="418AEBCB" w14:textId="77777777" w:rsidR="001436C4" w:rsidRPr="001436C4" w:rsidRDefault="001436C4" w:rsidP="001436C4">
            <w:pPr>
              <w:rPr>
                <w:lang w:val="en-GB"/>
              </w:rPr>
            </w:pPr>
            <w:r w:rsidRPr="001436C4">
              <w:rPr>
                <w:lang w:val="en-GB"/>
              </w:rPr>
              <w:t>400 000</w:t>
            </w:r>
          </w:p>
        </w:tc>
      </w:tr>
      <w:tr w:rsidR="001436C4" w:rsidRPr="001436C4" w14:paraId="60AC03B5" w14:textId="77777777" w:rsidTr="00B75CC1">
        <w:trPr>
          <w:tblCellSpacing w:w="15" w:type="dxa"/>
        </w:trPr>
        <w:tc>
          <w:tcPr>
            <w:tcW w:w="0" w:type="auto"/>
            <w:vAlign w:val="center"/>
            <w:hideMark/>
          </w:tcPr>
          <w:p w14:paraId="3EF5F3D2" w14:textId="77777777" w:rsidR="001436C4" w:rsidRPr="001436C4" w:rsidRDefault="001436C4" w:rsidP="001436C4">
            <w:pPr>
              <w:rPr>
                <w:lang w:val="en-GB"/>
              </w:rPr>
            </w:pPr>
            <w:r w:rsidRPr="001436C4">
              <w:rPr>
                <w:lang w:val="en-GB"/>
              </w:rPr>
              <w:t>- Charges de personnel</w:t>
            </w:r>
          </w:p>
        </w:tc>
        <w:tc>
          <w:tcPr>
            <w:tcW w:w="0" w:type="auto"/>
            <w:vAlign w:val="center"/>
            <w:hideMark/>
          </w:tcPr>
          <w:p w14:paraId="7C97A543" w14:textId="77777777" w:rsidR="001436C4" w:rsidRPr="001436C4" w:rsidRDefault="001436C4" w:rsidP="001436C4">
            <w:pPr>
              <w:rPr>
                <w:lang w:val="en-GB"/>
              </w:rPr>
            </w:pPr>
            <w:r w:rsidRPr="001436C4">
              <w:rPr>
                <w:lang w:val="en-GB"/>
              </w:rPr>
              <w:t>200 000</w:t>
            </w:r>
          </w:p>
        </w:tc>
      </w:tr>
      <w:tr w:rsidR="001436C4" w:rsidRPr="001436C4" w14:paraId="551CE36A" w14:textId="77777777" w:rsidTr="00B75CC1">
        <w:trPr>
          <w:tblCellSpacing w:w="15" w:type="dxa"/>
        </w:trPr>
        <w:tc>
          <w:tcPr>
            <w:tcW w:w="0" w:type="auto"/>
            <w:vAlign w:val="center"/>
            <w:hideMark/>
          </w:tcPr>
          <w:p w14:paraId="42172712" w14:textId="77777777" w:rsidR="001436C4" w:rsidRPr="001436C4" w:rsidRDefault="001436C4" w:rsidP="001436C4">
            <w:pPr>
              <w:rPr>
                <w:lang w:val="en-GB"/>
              </w:rPr>
            </w:pPr>
            <w:r w:rsidRPr="001436C4">
              <w:rPr>
                <w:lang w:val="en-GB"/>
              </w:rPr>
              <w:t xml:space="preserve">- Services </w:t>
            </w:r>
            <w:proofErr w:type="spellStart"/>
            <w:r w:rsidRPr="001436C4">
              <w:rPr>
                <w:lang w:val="en-GB"/>
              </w:rPr>
              <w:t>extérieurs</w:t>
            </w:r>
            <w:proofErr w:type="spellEnd"/>
          </w:p>
        </w:tc>
        <w:tc>
          <w:tcPr>
            <w:tcW w:w="0" w:type="auto"/>
            <w:vAlign w:val="center"/>
            <w:hideMark/>
          </w:tcPr>
          <w:p w14:paraId="0D42C219" w14:textId="77777777" w:rsidR="001436C4" w:rsidRPr="001436C4" w:rsidRDefault="001436C4" w:rsidP="001436C4">
            <w:pPr>
              <w:rPr>
                <w:lang w:val="en-GB"/>
              </w:rPr>
            </w:pPr>
            <w:r w:rsidRPr="001436C4">
              <w:rPr>
                <w:lang w:val="en-GB"/>
              </w:rPr>
              <w:t>50 000</w:t>
            </w:r>
          </w:p>
        </w:tc>
      </w:tr>
      <w:tr w:rsidR="001436C4" w:rsidRPr="001436C4" w14:paraId="340C59A8" w14:textId="77777777" w:rsidTr="00B75CC1">
        <w:trPr>
          <w:tblCellSpacing w:w="15" w:type="dxa"/>
        </w:trPr>
        <w:tc>
          <w:tcPr>
            <w:tcW w:w="0" w:type="auto"/>
            <w:vAlign w:val="center"/>
            <w:hideMark/>
          </w:tcPr>
          <w:p w14:paraId="504D4B66" w14:textId="77777777" w:rsidR="001436C4" w:rsidRPr="001436C4" w:rsidRDefault="001436C4" w:rsidP="001436C4">
            <w:pPr>
              <w:rPr>
                <w:lang w:val="en-GB"/>
              </w:rPr>
            </w:pPr>
            <w:r w:rsidRPr="001436C4">
              <w:rPr>
                <w:lang w:val="en-GB"/>
              </w:rPr>
              <w:t xml:space="preserve">- </w:t>
            </w:r>
            <w:proofErr w:type="spellStart"/>
            <w:r w:rsidRPr="001436C4">
              <w:rPr>
                <w:lang w:val="en-GB"/>
              </w:rPr>
              <w:t>Autres</w:t>
            </w:r>
            <w:proofErr w:type="spellEnd"/>
            <w:r w:rsidRPr="001436C4">
              <w:rPr>
                <w:lang w:val="en-GB"/>
              </w:rPr>
              <w:t xml:space="preserve"> charges </w:t>
            </w:r>
            <w:proofErr w:type="spellStart"/>
            <w:r w:rsidRPr="001436C4">
              <w:rPr>
                <w:lang w:val="en-GB"/>
              </w:rPr>
              <w:t>d'exploitation</w:t>
            </w:r>
            <w:proofErr w:type="spellEnd"/>
          </w:p>
        </w:tc>
        <w:tc>
          <w:tcPr>
            <w:tcW w:w="0" w:type="auto"/>
            <w:vAlign w:val="center"/>
            <w:hideMark/>
          </w:tcPr>
          <w:p w14:paraId="4052657E" w14:textId="77777777" w:rsidR="001436C4" w:rsidRPr="001436C4" w:rsidRDefault="001436C4" w:rsidP="001436C4">
            <w:pPr>
              <w:rPr>
                <w:lang w:val="en-GB"/>
              </w:rPr>
            </w:pPr>
            <w:r w:rsidRPr="001436C4">
              <w:rPr>
                <w:lang w:val="en-GB"/>
              </w:rPr>
              <w:t>30 000</w:t>
            </w:r>
          </w:p>
        </w:tc>
      </w:tr>
      <w:tr w:rsidR="001436C4" w:rsidRPr="001436C4" w14:paraId="2E41BF5E" w14:textId="77777777" w:rsidTr="00B75CC1">
        <w:trPr>
          <w:tblCellSpacing w:w="15" w:type="dxa"/>
        </w:trPr>
        <w:tc>
          <w:tcPr>
            <w:tcW w:w="0" w:type="auto"/>
            <w:vAlign w:val="center"/>
            <w:hideMark/>
          </w:tcPr>
          <w:p w14:paraId="58D8556D" w14:textId="77777777" w:rsidR="001436C4" w:rsidRPr="001436C4" w:rsidRDefault="001436C4" w:rsidP="001436C4">
            <w:pPr>
              <w:rPr>
                <w:lang w:val="en-GB"/>
              </w:rPr>
            </w:pPr>
            <w:r w:rsidRPr="001436C4">
              <w:rPr>
                <w:b/>
                <w:bCs/>
                <w:lang w:val="en-GB"/>
              </w:rPr>
              <w:t xml:space="preserve">Total des charges </w:t>
            </w:r>
            <w:proofErr w:type="spellStart"/>
            <w:r w:rsidRPr="001436C4">
              <w:rPr>
                <w:b/>
                <w:bCs/>
                <w:lang w:val="en-GB"/>
              </w:rPr>
              <w:t>d'exploitation</w:t>
            </w:r>
            <w:proofErr w:type="spellEnd"/>
          </w:p>
        </w:tc>
        <w:tc>
          <w:tcPr>
            <w:tcW w:w="0" w:type="auto"/>
            <w:vAlign w:val="center"/>
            <w:hideMark/>
          </w:tcPr>
          <w:p w14:paraId="7E5216CD" w14:textId="77777777" w:rsidR="001436C4" w:rsidRPr="001436C4" w:rsidRDefault="001436C4" w:rsidP="001436C4">
            <w:pPr>
              <w:rPr>
                <w:lang w:val="en-GB"/>
              </w:rPr>
            </w:pPr>
            <w:r w:rsidRPr="001436C4">
              <w:rPr>
                <w:lang w:val="en-GB"/>
              </w:rPr>
              <w:t>680 000</w:t>
            </w:r>
          </w:p>
        </w:tc>
      </w:tr>
      <w:tr w:rsidR="001436C4" w:rsidRPr="001436C4" w14:paraId="2D9EB664" w14:textId="77777777" w:rsidTr="00B75CC1">
        <w:trPr>
          <w:tblCellSpacing w:w="15" w:type="dxa"/>
        </w:trPr>
        <w:tc>
          <w:tcPr>
            <w:tcW w:w="0" w:type="auto"/>
            <w:vAlign w:val="center"/>
            <w:hideMark/>
          </w:tcPr>
          <w:p w14:paraId="2B574D98" w14:textId="77777777" w:rsidR="001436C4" w:rsidRPr="001436C4" w:rsidRDefault="001436C4" w:rsidP="001436C4">
            <w:pPr>
              <w:rPr>
                <w:lang w:val="en-GB"/>
              </w:rPr>
            </w:pPr>
            <w:proofErr w:type="spellStart"/>
            <w:r w:rsidRPr="001436C4">
              <w:rPr>
                <w:b/>
                <w:bCs/>
                <w:lang w:val="en-GB"/>
              </w:rPr>
              <w:t>Résultat</w:t>
            </w:r>
            <w:proofErr w:type="spellEnd"/>
            <w:r w:rsidRPr="001436C4">
              <w:rPr>
                <w:b/>
                <w:bCs/>
                <w:lang w:val="en-GB"/>
              </w:rPr>
              <w:t xml:space="preserve"> </w:t>
            </w:r>
            <w:proofErr w:type="spellStart"/>
            <w:r w:rsidRPr="001436C4">
              <w:rPr>
                <w:b/>
                <w:bCs/>
                <w:lang w:val="en-GB"/>
              </w:rPr>
              <w:t>d'exploitation</w:t>
            </w:r>
            <w:proofErr w:type="spellEnd"/>
          </w:p>
        </w:tc>
        <w:tc>
          <w:tcPr>
            <w:tcW w:w="0" w:type="auto"/>
            <w:vAlign w:val="center"/>
            <w:hideMark/>
          </w:tcPr>
          <w:p w14:paraId="4F488EE5" w14:textId="77777777" w:rsidR="001436C4" w:rsidRPr="001436C4" w:rsidRDefault="001436C4" w:rsidP="001436C4">
            <w:pPr>
              <w:rPr>
                <w:lang w:val="en-GB"/>
              </w:rPr>
            </w:pPr>
            <w:r w:rsidRPr="001436C4">
              <w:rPr>
                <w:lang w:val="en-GB"/>
              </w:rPr>
              <w:t>320 000</w:t>
            </w:r>
          </w:p>
        </w:tc>
      </w:tr>
      <w:tr w:rsidR="001436C4" w:rsidRPr="001436C4" w14:paraId="6658C3F6" w14:textId="77777777" w:rsidTr="00B75CC1">
        <w:trPr>
          <w:tblCellSpacing w:w="15" w:type="dxa"/>
        </w:trPr>
        <w:tc>
          <w:tcPr>
            <w:tcW w:w="0" w:type="auto"/>
            <w:vAlign w:val="center"/>
            <w:hideMark/>
          </w:tcPr>
          <w:p w14:paraId="3CC7F3F1" w14:textId="77777777" w:rsidR="001436C4" w:rsidRPr="001436C4" w:rsidRDefault="001436C4" w:rsidP="001436C4">
            <w:pPr>
              <w:rPr>
                <w:lang w:val="en-GB"/>
              </w:rPr>
            </w:pPr>
            <w:r w:rsidRPr="001436C4">
              <w:rPr>
                <w:b/>
                <w:bCs/>
                <w:lang w:val="en-GB"/>
              </w:rPr>
              <w:t xml:space="preserve">Charges </w:t>
            </w:r>
            <w:proofErr w:type="spellStart"/>
            <w:r w:rsidRPr="001436C4">
              <w:rPr>
                <w:b/>
                <w:bCs/>
                <w:lang w:val="en-GB"/>
              </w:rPr>
              <w:t>financières</w:t>
            </w:r>
            <w:proofErr w:type="spellEnd"/>
            <w:r w:rsidRPr="001436C4">
              <w:rPr>
                <w:b/>
                <w:bCs/>
                <w:lang w:val="en-GB"/>
              </w:rPr>
              <w:t xml:space="preserve"> :</w:t>
            </w:r>
          </w:p>
        </w:tc>
        <w:tc>
          <w:tcPr>
            <w:tcW w:w="0" w:type="auto"/>
            <w:vAlign w:val="center"/>
            <w:hideMark/>
          </w:tcPr>
          <w:p w14:paraId="5DE647AE" w14:textId="77777777" w:rsidR="001436C4" w:rsidRPr="001436C4" w:rsidRDefault="001436C4" w:rsidP="001436C4">
            <w:pPr>
              <w:rPr>
                <w:lang w:val="en-GB"/>
              </w:rPr>
            </w:pPr>
          </w:p>
        </w:tc>
      </w:tr>
      <w:tr w:rsidR="001436C4" w:rsidRPr="001436C4" w14:paraId="00CFCC19" w14:textId="77777777" w:rsidTr="00B75CC1">
        <w:trPr>
          <w:tblCellSpacing w:w="15" w:type="dxa"/>
        </w:trPr>
        <w:tc>
          <w:tcPr>
            <w:tcW w:w="0" w:type="auto"/>
            <w:vAlign w:val="center"/>
            <w:hideMark/>
          </w:tcPr>
          <w:p w14:paraId="7662A7D4" w14:textId="77777777" w:rsidR="001436C4" w:rsidRPr="001436C4" w:rsidRDefault="001436C4" w:rsidP="001436C4">
            <w:pPr>
              <w:rPr>
                <w:lang w:val="en-GB"/>
              </w:rPr>
            </w:pPr>
            <w:r w:rsidRPr="001436C4">
              <w:rPr>
                <w:lang w:val="en-GB"/>
              </w:rPr>
              <w:t xml:space="preserve">- </w:t>
            </w:r>
            <w:proofErr w:type="spellStart"/>
            <w:r w:rsidRPr="001436C4">
              <w:rPr>
                <w:lang w:val="en-GB"/>
              </w:rPr>
              <w:t>Intérêts</w:t>
            </w:r>
            <w:proofErr w:type="spellEnd"/>
            <w:r w:rsidRPr="001436C4">
              <w:rPr>
                <w:lang w:val="en-GB"/>
              </w:rPr>
              <w:t xml:space="preserve"> sur </w:t>
            </w:r>
            <w:proofErr w:type="spellStart"/>
            <w:r w:rsidRPr="001436C4">
              <w:rPr>
                <w:lang w:val="en-GB"/>
              </w:rPr>
              <w:t>emprunts</w:t>
            </w:r>
            <w:proofErr w:type="spellEnd"/>
          </w:p>
        </w:tc>
        <w:tc>
          <w:tcPr>
            <w:tcW w:w="0" w:type="auto"/>
            <w:vAlign w:val="center"/>
            <w:hideMark/>
          </w:tcPr>
          <w:p w14:paraId="41CD6CB2" w14:textId="77777777" w:rsidR="001436C4" w:rsidRPr="001436C4" w:rsidRDefault="001436C4" w:rsidP="001436C4">
            <w:pPr>
              <w:rPr>
                <w:lang w:val="en-GB"/>
              </w:rPr>
            </w:pPr>
            <w:r w:rsidRPr="001436C4">
              <w:rPr>
                <w:lang w:val="en-GB"/>
              </w:rPr>
              <w:t>10 000</w:t>
            </w:r>
          </w:p>
        </w:tc>
      </w:tr>
      <w:tr w:rsidR="001436C4" w:rsidRPr="001436C4" w14:paraId="2CABF58A" w14:textId="77777777" w:rsidTr="00B75CC1">
        <w:trPr>
          <w:tblCellSpacing w:w="15" w:type="dxa"/>
        </w:trPr>
        <w:tc>
          <w:tcPr>
            <w:tcW w:w="0" w:type="auto"/>
            <w:vAlign w:val="center"/>
            <w:hideMark/>
          </w:tcPr>
          <w:p w14:paraId="3ED58FFB" w14:textId="77777777" w:rsidR="001436C4" w:rsidRPr="001436C4" w:rsidRDefault="001436C4" w:rsidP="001436C4">
            <w:pPr>
              <w:rPr>
                <w:lang w:val="en-GB"/>
              </w:rPr>
            </w:pPr>
            <w:r w:rsidRPr="001436C4">
              <w:rPr>
                <w:b/>
                <w:bCs/>
                <w:lang w:val="en-GB"/>
              </w:rPr>
              <w:t xml:space="preserve">Total des charges </w:t>
            </w:r>
            <w:proofErr w:type="spellStart"/>
            <w:r w:rsidRPr="001436C4">
              <w:rPr>
                <w:b/>
                <w:bCs/>
                <w:lang w:val="en-GB"/>
              </w:rPr>
              <w:t>financières</w:t>
            </w:r>
            <w:proofErr w:type="spellEnd"/>
          </w:p>
        </w:tc>
        <w:tc>
          <w:tcPr>
            <w:tcW w:w="0" w:type="auto"/>
            <w:vAlign w:val="center"/>
            <w:hideMark/>
          </w:tcPr>
          <w:p w14:paraId="2201732B" w14:textId="77777777" w:rsidR="001436C4" w:rsidRPr="001436C4" w:rsidRDefault="001436C4" w:rsidP="001436C4">
            <w:pPr>
              <w:rPr>
                <w:lang w:val="en-GB"/>
              </w:rPr>
            </w:pPr>
            <w:r w:rsidRPr="001436C4">
              <w:rPr>
                <w:lang w:val="en-GB"/>
              </w:rPr>
              <w:t>10 000</w:t>
            </w:r>
          </w:p>
        </w:tc>
      </w:tr>
      <w:tr w:rsidR="001436C4" w:rsidRPr="001436C4" w14:paraId="6A26D9A2" w14:textId="77777777" w:rsidTr="00B75CC1">
        <w:trPr>
          <w:tblCellSpacing w:w="15" w:type="dxa"/>
        </w:trPr>
        <w:tc>
          <w:tcPr>
            <w:tcW w:w="0" w:type="auto"/>
            <w:vAlign w:val="center"/>
            <w:hideMark/>
          </w:tcPr>
          <w:p w14:paraId="5BF77C75" w14:textId="77777777" w:rsidR="001436C4" w:rsidRPr="001436C4" w:rsidRDefault="001436C4" w:rsidP="001436C4">
            <w:pPr>
              <w:rPr>
                <w:lang w:val="en-GB"/>
              </w:rPr>
            </w:pPr>
            <w:proofErr w:type="spellStart"/>
            <w:r w:rsidRPr="001436C4">
              <w:rPr>
                <w:b/>
                <w:bCs/>
                <w:lang w:val="en-GB"/>
              </w:rPr>
              <w:t>Résultat</w:t>
            </w:r>
            <w:proofErr w:type="spellEnd"/>
            <w:r w:rsidRPr="001436C4">
              <w:rPr>
                <w:b/>
                <w:bCs/>
                <w:lang w:val="en-GB"/>
              </w:rPr>
              <w:t xml:space="preserve"> financier</w:t>
            </w:r>
          </w:p>
        </w:tc>
        <w:tc>
          <w:tcPr>
            <w:tcW w:w="0" w:type="auto"/>
            <w:vAlign w:val="center"/>
            <w:hideMark/>
          </w:tcPr>
          <w:p w14:paraId="406E7FBA" w14:textId="77777777" w:rsidR="001436C4" w:rsidRPr="001436C4" w:rsidRDefault="001436C4" w:rsidP="001436C4">
            <w:pPr>
              <w:rPr>
                <w:lang w:val="en-GB"/>
              </w:rPr>
            </w:pPr>
            <w:r w:rsidRPr="001436C4">
              <w:rPr>
                <w:lang w:val="en-GB"/>
              </w:rPr>
              <w:t>10 000</w:t>
            </w:r>
          </w:p>
        </w:tc>
      </w:tr>
      <w:tr w:rsidR="001436C4" w:rsidRPr="001436C4" w14:paraId="61A4FA26" w14:textId="77777777" w:rsidTr="00B75CC1">
        <w:trPr>
          <w:tblCellSpacing w:w="15" w:type="dxa"/>
        </w:trPr>
        <w:tc>
          <w:tcPr>
            <w:tcW w:w="0" w:type="auto"/>
            <w:vAlign w:val="center"/>
            <w:hideMark/>
          </w:tcPr>
          <w:p w14:paraId="6F781E99" w14:textId="77777777" w:rsidR="001436C4" w:rsidRPr="001436C4" w:rsidRDefault="001436C4" w:rsidP="001436C4">
            <w:pPr>
              <w:rPr>
                <w:lang w:val="en-GB"/>
              </w:rPr>
            </w:pPr>
            <w:proofErr w:type="spellStart"/>
            <w:r w:rsidRPr="001436C4">
              <w:rPr>
                <w:b/>
                <w:bCs/>
                <w:lang w:val="en-GB"/>
              </w:rPr>
              <w:t>Résultat</w:t>
            </w:r>
            <w:proofErr w:type="spellEnd"/>
            <w:r w:rsidRPr="001436C4">
              <w:rPr>
                <w:b/>
                <w:bCs/>
                <w:lang w:val="en-GB"/>
              </w:rPr>
              <w:t xml:space="preserve"> courant </w:t>
            </w:r>
            <w:proofErr w:type="spellStart"/>
            <w:r w:rsidRPr="001436C4">
              <w:rPr>
                <w:b/>
                <w:bCs/>
                <w:lang w:val="en-GB"/>
              </w:rPr>
              <w:t>avant</w:t>
            </w:r>
            <w:proofErr w:type="spellEnd"/>
            <w:r w:rsidRPr="001436C4">
              <w:rPr>
                <w:b/>
                <w:bCs/>
                <w:lang w:val="en-GB"/>
              </w:rPr>
              <w:t xml:space="preserve"> </w:t>
            </w:r>
            <w:proofErr w:type="spellStart"/>
            <w:r w:rsidRPr="001436C4">
              <w:rPr>
                <w:b/>
                <w:bCs/>
                <w:lang w:val="en-GB"/>
              </w:rPr>
              <w:t>impôts</w:t>
            </w:r>
            <w:proofErr w:type="spellEnd"/>
          </w:p>
        </w:tc>
        <w:tc>
          <w:tcPr>
            <w:tcW w:w="0" w:type="auto"/>
            <w:vAlign w:val="center"/>
            <w:hideMark/>
          </w:tcPr>
          <w:p w14:paraId="6E3AD25C" w14:textId="77777777" w:rsidR="001436C4" w:rsidRPr="001436C4" w:rsidRDefault="001436C4" w:rsidP="001436C4">
            <w:pPr>
              <w:rPr>
                <w:lang w:val="en-GB"/>
              </w:rPr>
            </w:pPr>
            <w:r w:rsidRPr="001436C4">
              <w:rPr>
                <w:lang w:val="en-GB"/>
              </w:rPr>
              <w:t>310 000</w:t>
            </w:r>
          </w:p>
        </w:tc>
      </w:tr>
      <w:tr w:rsidR="001436C4" w:rsidRPr="001436C4" w14:paraId="6F8782AC" w14:textId="77777777" w:rsidTr="00B75CC1">
        <w:trPr>
          <w:tblCellSpacing w:w="15" w:type="dxa"/>
        </w:trPr>
        <w:tc>
          <w:tcPr>
            <w:tcW w:w="0" w:type="auto"/>
            <w:vAlign w:val="center"/>
            <w:hideMark/>
          </w:tcPr>
          <w:p w14:paraId="111D5ED9" w14:textId="77777777" w:rsidR="001436C4" w:rsidRPr="001436C4" w:rsidRDefault="001436C4" w:rsidP="001436C4">
            <w:pPr>
              <w:rPr>
                <w:lang w:val="en-GB"/>
              </w:rPr>
            </w:pPr>
            <w:r w:rsidRPr="001436C4">
              <w:rPr>
                <w:b/>
                <w:bCs/>
                <w:lang w:val="en-GB"/>
              </w:rPr>
              <w:t xml:space="preserve">Charges </w:t>
            </w:r>
            <w:proofErr w:type="spellStart"/>
            <w:r w:rsidRPr="001436C4">
              <w:rPr>
                <w:b/>
                <w:bCs/>
                <w:lang w:val="en-GB"/>
              </w:rPr>
              <w:t>exceptionnelles</w:t>
            </w:r>
            <w:proofErr w:type="spellEnd"/>
            <w:r w:rsidRPr="001436C4">
              <w:rPr>
                <w:b/>
                <w:bCs/>
                <w:lang w:val="en-GB"/>
              </w:rPr>
              <w:t xml:space="preserve"> :</w:t>
            </w:r>
          </w:p>
        </w:tc>
        <w:tc>
          <w:tcPr>
            <w:tcW w:w="0" w:type="auto"/>
            <w:vAlign w:val="center"/>
            <w:hideMark/>
          </w:tcPr>
          <w:p w14:paraId="2ECC528C" w14:textId="77777777" w:rsidR="001436C4" w:rsidRPr="001436C4" w:rsidRDefault="001436C4" w:rsidP="001436C4">
            <w:pPr>
              <w:rPr>
                <w:lang w:val="en-GB"/>
              </w:rPr>
            </w:pPr>
          </w:p>
        </w:tc>
      </w:tr>
      <w:tr w:rsidR="001436C4" w:rsidRPr="001436C4" w14:paraId="57DB0143" w14:textId="77777777" w:rsidTr="00B75CC1">
        <w:trPr>
          <w:tblCellSpacing w:w="15" w:type="dxa"/>
        </w:trPr>
        <w:tc>
          <w:tcPr>
            <w:tcW w:w="0" w:type="auto"/>
            <w:vAlign w:val="center"/>
            <w:hideMark/>
          </w:tcPr>
          <w:p w14:paraId="3CACFB11" w14:textId="77777777" w:rsidR="001436C4" w:rsidRPr="001436C4" w:rsidRDefault="001436C4" w:rsidP="001436C4">
            <w:pPr>
              <w:rPr>
                <w:lang w:val="en-GB"/>
              </w:rPr>
            </w:pPr>
            <w:r w:rsidRPr="001436C4">
              <w:rPr>
                <w:lang w:val="en-GB"/>
              </w:rPr>
              <w:t xml:space="preserve">- </w:t>
            </w:r>
            <w:proofErr w:type="spellStart"/>
            <w:r w:rsidRPr="001436C4">
              <w:rPr>
                <w:lang w:val="en-GB"/>
              </w:rPr>
              <w:t>Pénalités</w:t>
            </w:r>
            <w:proofErr w:type="spellEnd"/>
            <w:r w:rsidRPr="001436C4">
              <w:rPr>
                <w:lang w:val="en-GB"/>
              </w:rPr>
              <w:t xml:space="preserve"> et </w:t>
            </w:r>
            <w:proofErr w:type="spellStart"/>
            <w:r w:rsidRPr="001436C4">
              <w:rPr>
                <w:lang w:val="en-GB"/>
              </w:rPr>
              <w:t>amendes</w:t>
            </w:r>
            <w:proofErr w:type="spellEnd"/>
          </w:p>
        </w:tc>
        <w:tc>
          <w:tcPr>
            <w:tcW w:w="0" w:type="auto"/>
            <w:vAlign w:val="center"/>
            <w:hideMark/>
          </w:tcPr>
          <w:p w14:paraId="53289B4F" w14:textId="77777777" w:rsidR="001436C4" w:rsidRPr="001436C4" w:rsidRDefault="001436C4" w:rsidP="001436C4">
            <w:pPr>
              <w:rPr>
                <w:lang w:val="en-GB"/>
              </w:rPr>
            </w:pPr>
            <w:r w:rsidRPr="001436C4">
              <w:rPr>
                <w:lang w:val="en-GB"/>
              </w:rPr>
              <w:t>5 000</w:t>
            </w:r>
          </w:p>
        </w:tc>
      </w:tr>
      <w:tr w:rsidR="001436C4" w:rsidRPr="001436C4" w14:paraId="07B13DF6" w14:textId="77777777" w:rsidTr="00B75CC1">
        <w:trPr>
          <w:tblCellSpacing w:w="15" w:type="dxa"/>
        </w:trPr>
        <w:tc>
          <w:tcPr>
            <w:tcW w:w="0" w:type="auto"/>
            <w:vAlign w:val="center"/>
            <w:hideMark/>
          </w:tcPr>
          <w:p w14:paraId="07CC3FD5" w14:textId="77777777" w:rsidR="001436C4" w:rsidRPr="001436C4" w:rsidRDefault="001436C4" w:rsidP="001436C4">
            <w:pPr>
              <w:rPr>
                <w:lang w:val="en-GB"/>
              </w:rPr>
            </w:pPr>
            <w:r w:rsidRPr="001436C4">
              <w:rPr>
                <w:b/>
                <w:bCs/>
                <w:lang w:val="en-GB"/>
              </w:rPr>
              <w:t xml:space="preserve">Total des charges </w:t>
            </w:r>
            <w:proofErr w:type="spellStart"/>
            <w:r w:rsidRPr="001436C4">
              <w:rPr>
                <w:b/>
                <w:bCs/>
                <w:lang w:val="en-GB"/>
              </w:rPr>
              <w:t>exceptionnelles</w:t>
            </w:r>
            <w:proofErr w:type="spellEnd"/>
          </w:p>
        </w:tc>
        <w:tc>
          <w:tcPr>
            <w:tcW w:w="0" w:type="auto"/>
            <w:vAlign w:val="center"/>
            <w:hideMark/>
          </w:tcPr>
          <w:p w14:paraId="41B995B6" w14:textId="77777777" w:rsidR="001436C4" w:rsidRPr="001436C4" w:rsidRDefault="001436C4" w:rsidP="001436C4">
            <w:pPr>
              <w:rPr>
                <w:lang w:val="en-GB"/>
              </w:rPr>
            </w:pPr>
            <w:r w:rsidRPr="001436C4">
              <w:rPr>
                <w:lang w:val="en-GB"/>
              </w:rPr>
              <w:t>5 000</w:t>
            </w:r>
          </w:p>
        </w:tc>
      </w:tr>
      <w:tr w:rsidR="001436C4" w:rsidRPr="001436C4" w14:paraId="79656045" w14:textId="77777777" w:rsidTr="00B75CC1">
        <w:trPr>
          <w:tblCellSpacing w:w="15" w:type="dxa"/>
        </w:trPr>
        <w:tc>
          <w:tcPr>
            <w:tcW w:w="0" w:type="auto"/>
            <w:vAlign w:val="center"/>
            <w:hideMark/>
          </w:tcPr>
          <w:p w14:paraId="35A2CDDA" w14:textId="77777777" w:rsidR="001436C4" w:rsidRPr="001436C4" w:rsidRDefault="001436C4" w:rsidP="001436C4">
            <w:pPr>
              <w:rPr>
                <w:lang w:val="en-GB"/>
              </w:rPr>
            </w:pPr>
            <w:proofErr w:type="spellStart"/>
            <w:r w:rsidRPr="001436C4">
              <w:rPr>
                <w:b/>
                <w:bCs/>
                <w:lang w:val="en-GB"/>
              </w:rPr>
              <w:t>Résultat</w:t>
            </w:r>
            <w:proofErr w:type="spellEnd"/>
            <w:r w:rsidRPr="001436C4">
              <w:rPr>
                <w:b/>
                <w:bCs/>
                <w:lang w:val="en-GB"/>
              </w:rPr>
              <w:t xml:space="preserve"> </w:t>
            </w:r>
            <w:proofErr w:type="spellStart"/>
            <w:r w:rsidRPr="001436C4">
              <w:rPr>
                <w:b/>
                <w:bCs/>
                <w:lang w:val="en-GB"/>
              </w:rPr>
              <w:t>avant</w:t>
            </w:r>
            <w:proofErr w:type="spellEnd"/>
            <w:r w:rsidRPr="001436C4">
              <w:rPr>
                <w:b/>
                <w:bCs/>
                <w:lang w:val="en-GB"/>
              </w:rPr>
              <w:t xml:space="preserve"> </w:t>
            </w:r>
            <w:proofErr w:type="spellStart"/>
            <w:r w:rsidRPr="001436C4">
              <w:rPr>
                <w:b/>
                <w:bCs/>
                <w:lang w:val="en-GB"/>
              </w:rPr>
              <w:t>impôts</w:t>
            </w:r>
            <w:proofErr w:type="spellEnd"/>
          </w:p>
        </w:tc>
        <w:tc>
          <w:tcPr>
            <w:tcW w:w="0" w:type="auto"/>
            <w:vAlign w:val="center"/>
            <w:hideMark/>
          </w:tcPr>
          <w:p w14:paraId="41BFE29C" w14:textId="77777777" w:rsidR="001436C4" w:rsidRPr="001436C4" w:rsidRDefault="001436C4" w:rsidP="001436C4">
            <w:pPr>
              <w:rPr>
                <w:lang w:val="en-GB"/>
              </w:rPr>
            </w:pPr>
            <w:r w:rsidRPr="001436C4">
              <w:rPr>
                <w:lang w:val="en-GB"/>
              </w:rPr>
              <w:t>305 000</w:t>
            </w:r>
          </w:p>
        </w:tc>
      </w:tr>
      <w:tr w:rsidR="001436C4" w:rsidRPr="001436C4" w14:paraId="30F749DD" w14:textId="77777777" w:rsidTr="00B75CC1">
        <w:trPr>
          <w:tblCellSpacing w:w="15" w:type="dxa"/>
        </w:trPr>
        <w:tc>
          <w:tcPr>
            <w:tcW w:w="0" w:type="auto"/>
            <w:vAlign w:val="center"/>
            <w:hideMark/>
          </w:tcPr>
          <w:p w14:paraId="412B42F5" w14:textId="77777777" w:rsidR="001436C4" w:rsidRPr="001436C4" w:rsidRDefault="001436C4" w:rsidP="001436C4">
            <w:pPr>
              <w:rPr>
                <w:lang w:val="en-GB"/>
              </w:rPr>
            </w:pPr>
            <w:proofErr w:type="spellStart"/>
            <w:r w:rsidRPr="001436C4">
              <w:rPr>
                <w:b/>
                <w:bCs/>
                <w:lang w:val="en-GB"/>
              </w:rPr>
              <w:t>Impôt</w:t>
            </w:r>
            <w:proofErr w:type="spellEnd"/>
            <w:r w:rsidRPr="001436C4">
              <w:rPr>
                <w:b/>
                <w:bCs/>
                <w:lang w:val="en-GB"/>
              </w:rPr>
              <w:t xml:space="preserve"> sur les </w:t>
            </w:r>
            <w:proofErr w:type="spellStart"/>
            <w:r w:rsidRPr="001436C4">
              <w:rPr>
                <w:b/>
                <w:bCs/>
                <w:lang w:val="en-GB"/>
              </w:rPr>
              <w:t>bénéfices</w:t>
            </w:r>
            <w:proofErr w:type="spellEnd"/>
          </w:p>
        </w:tc>
        <w:tc>
          <w:tcPr>
            <w:tcW w:w="0" w:type="auto"/>
            <w:vAlign w:val="center"/>
            <w:hideMark/>
          </w:tcPr>
          <w:p w14:paraId="33B48FA4" w14:textId="77777777" w:rsidR="001436C4" w:rsidRPr="001436C4" w:rsidRDefault="001436C4" w:rsidP="001436C4">
            <w:pPr>
              <w:rPr>
                <w:lang w:val="en-GB"/>
              </w:rPr>
            </w:pPr>
            <w:r w:rsidRPr="001436C4">
              <w:rPr>
                <w:lang w:val="en-GB"/>
              </w:rPr>
              <w:t>76 500</w:t>
            </w:r>
          </w:p>
        </w:tc>
      </w:tr>
      <w:tr w:rsidR="001436C4" w:rsidRPr="001436C4" w14:paraId="29CC68A9" w14:textId="77777777" w:rsidTr="00B75CC1">
        <w:trPr>
          <w:tblCellSpacing w:w="15" w:type="dxa"/>
        </w:trPr>
        <w:tc>
          <w:tcPr>
            <w:tcW w:w="0" w:type="auto"/>
            <w:vAlign w:val="center"/>
            <w:hideMark/>
          </w:tcPr>
          <w:p w14:paraId="19D98179" w14:textId="77777777" w:rsidR="001436C4" w:rsidRPr="001436C4" w:rsidRDefault="001436C4" w:rsidP="001436C4">
            <w:pPr>
              <w:rPr>
                <w:lang w:val="en-GB"/>
              </w:rPr>
            </w:pPr>
            <w:proofErr w:type="spellStart"/>
            <w:r w:rsidRPr="001436C4">
              <w:rPr>
                <w:b/>
                <w:bCs/>
                <w:lang w:val="en-GB"/>
              </w:rPr>
              <w:t>Résultat</w:t>
            </w:r>
            <w:proofErr w:type="spellEnd"/>
            <w:r w:rsidRPr="001436C4">
              <w:rPr>
                <w:b/>
                <w:bCs/>
                <w:lang w:val="en-GB"/>
              </w:rPr>
              <w:t xml:space="preserve"> net</w:t>
            </w:r>
          </w:p>
        </w:tc>
        <w:tc>
          <w:tcPr>
            <w:tcW w:w="0" w:type="auto"/>
            <w:vAlign w:val="center"/>
            <w:hideMark/>
          </w:tcPr>
          <w:p w14:paraId="4848BECC" w14:textId="77777777" w:rsidR="001436C4" w:rsidRPr="001436C4" w:rsidRDefault="001436C4" w:rsidP="001436C4">
            <w:pPr>
              <w:rPr>
                <w:lang w:val="en-GB"/>
              </w:rPr>
            </w:pPr>
            <w:r w:rsidRPr="001436C4">
              <w:rPr>
                <w:lang w:val="en-GB"/>
              </w:rPr>
              <w:t>228 500</w:t>
            </w:r>
          </w:p>
        </w:tc>
      </w:tr>
    </w:tbl>
    <w:p w14:paraId="21D7D8FD" w14:textId="77777777" w:rsidR="001436C4" w:rsidRPr="001436C4" w:rsidRDefault="001436C4" w:rsidP="001436C4">
      <w:r w:rsidRPr="001436C4">
        <w:rPr>
          <w:i/>
          <w:iCs/>
        </w:rPr>
        <w:t>Note : Cet exemple est simplifié et ne prend pas en compte certaines charges et produits spécifiques que pourrait rencontrer une entreprise réelle.</w:t>
      </w:r>
    </w:p>
    <w:p w14:paraId="70AC2139" w14:textId="77777777" w:rsidR="001436C4" w:rsidRPr="001436C4" w:rsidRDefault="001436C4" w:rsidP="001436C4">
      <w:pPr>
        <w:rPr>
          <w:lang w:val="en-GB"/>
        </w:rPr>
      </w:pPr>
      <w:proofErr w:type="spellStart"/>
      <w:r w:rsidRPr="001436C4">
        <w:rPr>
          <w:b/>
          <w:bCs/>
          <w:lang w:val="en-GB"/>
        </w:rPr>
        <w:t>Interprétation</w:t>
      </w:r>
      <w:proofErr w:type="spellEnd"/>
      <w:r w:rsidRPr="001436C4">
        <w:rPr>
          <w:b/>
          <w:bCs/>
          <w:lang w:val="en-GB"/>
        </w:rPr>
        <w:t xml:space="preserve"> des </w:t>
      </w:r>
      <w:proofErr w:type="spellStart"/>
      <w:r w:rsidRPr="001436C4">
        <w:rPr>
          <w:b/>
          <w:bCs/>
          <w:lang w:val="en-GB"/>
        </w:rPr>
        <w:t>principaux</w:t>
      </w:r>
      <w:proofErr w:type="spellEnd"/>
      <w:r w:rsidRPr="001436C4">
        <w:rPr>
          <w:b/>
          <w:bCs/>
          <w:lang w:val="en-GB"/>
        </w:rPr>
        <w:t xml:space="preserve"> </w:t>
      </w:r>
      <w:proofErr w:type="spellStart"/>
      <w:r w:rsidRPr="001436C4">
        <w:rPr>
          <w:b/>
          <w:bCs/>
          <w:lang w:val="en-GB"/>
        </w:rPr>
        <w:t>éléments</w:t>
      </w:r>
      <w:proofErr w:type="spellEnd"/>
      <w:r w:rsidRPr="001436C4">
        <w:rPr>
          <w:b/>
          <w:bCs/>
          <w:lang w:val="en-GB"/>
        </w:rPr>
        <w:t xml:space="preserve"> :</w:t>
      </w:r>
    </w:p>
    <w:p w14:paraId="16837435" w14:textId="77777777" w:rsidR="001436C4" w:rsidRPr="001436C4" w:rsidRDefault="001436C4" w:rsidP="001436C4">
      <w:pPr>
        <w:numPr>
          <w:ilvl w:val="0"/>
          <w:numId w:val="15"/>
        </w:numPr>
      </w:pPr>
      <w:r w:rsidRPr="001436C4">
        <w:rPr>
          <w:b/>
          <w:bCs/>
        </w:rPr>
        <w:t>Chiffre d'affaires (1 000 000 €)</w:t>
      </w:r>
      <w:r w:rsidRPr="001436C4">
        <w:t xml:space="preserve"> : Représente les ventes totales réalisées par l'entreprise au cours de l'exercice.</w:t>
      </w:r>
    </w:p>
    <w:p w14:paraId="4C0DC954" w14:textId="77777777" w:rsidR="001436C4" w:rsidRPr="001436C4" w:rsidRDefault="001436C4" w:rsidP="001436C4">
      <w:pPr>
        <w:numPr>
          <w:ilvl w:val="0"/>
          <w:numId w:val="15"/>
        </w:numPr>
      </w:pPr>
      <w:r w:rsidRPr="001436C4">
        <w:rPr>
          <w:b/>
          <w:bCs/>
        </w:rPr>
        <w:t>Charges d'exploitation (680 000 €)</w:t>
      </w:r>
      <w:r w:rsidRPr="001436C4">
        <w:t xml:space="preserve"> : Englobent les coûts liés à l'activité principale, tels que les achats de marchandises, les salaires, les services externes et autres charges opérationnelles.</w:t>
      </w:r>
    </w:p>
    <w:p w14:paraId="47F17E92" w14:textId="77777777" w:rsidR="001436C4" w:rsidRPr="001436C4" w:rsidRDefault="001436C4" w:rsidP="001436C4">
      <w:pPr>
        <w:numPr>
          <w:ilvl w:val="0"/>
          <w:numId w:val="15"/>
        </w:numPr>
      </w:pPr>
      <w:r w:rsidRPr="001436C4">
        <w:rPr>
          <w:b/>
          <w:bCs/>
        </w:rPr>
        <w:t>Résultat d'exploitation (320 000 €)</w:t>
      </w:r>
      <w:r w:rsidRPr="001436C4">
        <w:t xml:space="preserve"> : Différence entre le chiffre d'affaires et les charges d'exploitation, indiquant la rentabilité des activités principales.</w:t>
      </w:r>
    </w:p>
    <w:p w14:paraId="169185D4" w14:textId="77777777" w:rsidR="001436C4" w:rsidRPr="001436C4" w:rsidRDefault="001436C4" w:rsidP="001436C4">
      <w:pPr>
        <w:numPr>
          <w:ilvl w:val="0"/>
          <w:numId w:val="15"/>
        </w:numPr>
      </w:pPr>
      <w:r w:rsidRPr="001436C4">
        <w:rPr>
          <w:b/>
          <w:bCs/>
        </w:rPr>
        <w:t>Charges financières (10 000 €)</w:t>
      </w:r>
      <w:r w:rsidRPr="001436C4">
        <w:t xml:space="preserve"> : Incluent les intérêts payés sur les emprunts contractés par l'entreprise.</w:t>
      </w:r>
    </w:p>
    <w:p w14:paraId="67C7C0DF" w14:textId="77777777" w:rsidR="001436C4" w:rsidRPr="001436C4" w:rsidRDefault="001436C4" w:rsidP="001436C4">
      <w:pPr>
        <w:numPr>
          <w:ilvl w:val="0"/>
          <w:numId w:val="15"/>
        </w:numPr>
      </w:pPr>
      <w:r w:rsidRPr="001436C4">
        <w:rPr>
          <w:b/>
          <w:bCs/>
        </w:rPr>
        <w:t>Résultat financier (10 000 €)</w:t>
      </w:r>
      <w:r w:rsidRPr="001436C4">
        <w:t xml:space="preserve"> : Représente le solde entre les produits et charges financiers.</w:t>
      </w:r>
    </w:p>
    <w:p w14:paraId="753F2751" w14:textId="77777777" w:rsidR="001436C4" w:rsidRPr="001436C4" w:rsidRDefault="001436C4" w:rsidP="001436C4">
      <w:pPr>
        <w:numPr>
          <w:ilvl w:val="0"/>
          <w:numId w:val="15"/>
        </w:numPr>
      </w:pPr>
      <w:r w:rsidRPr="001436C4">
        <w:rPr>
          <w:b/>
          <w:bCs/>
        </w:rPr>
        <w:lastRenderedPageBreak/>
        <w:t>Résultat courant avant impôts (310 000 €)</w:t>
      </w:r>
      <w:r w:rsidRPr="001436C4">
        <w:t xml:space="preserve"> : Somme du résultat d'exploitation et du résultat financier, reflétant la performance avant les éléments exceptionnels et la fiscalité.</w:t>
      </w:r>
    </w:p>
    <w:p w14:paraId="12D43561" w14:textId="77777777" w:rsidR="001436C4" w:rsidRPr="001436C4" w:rsidRDefault="001436C4" w:rsidP="001436C4">
      <w:pPr>
        <w:numPr>
          <w:ilvl w:val="0"/>
          <w:numId w:val="15"/>
        </w:numPr>
      </w:pPr>
      <w:r w:rsidRPr="001436C4">
        <w:rPr>
          <w:b/>
          <w:bCs/>
        </w:rPr>
        <w:t>Charges exceptionnelles (5 000 €)</w:t>
      </w:r>
      <w:r w:rsidRPr="001436C4">
        <w:t xml:space="preserve"> : Englobent les dépenses non récurrentes, comme les pénalités ou amendes.</w:t>
      </w:r>
    </w:p>
    <w:p w14:paraId="721093E4" w14:textId="77777777" w:rsidR="001436C4" w:rsidRPr="001436C4" w:rsidRDefault="001436C4" w:rsidP="001436C4">
      <w:pPr>
        <w:numPr>
          <w:ilvl w:val="0"/>
          <w:numId w:val="15"/>
        </w:numPr>
      </w:pPr>
      <w:r w:rsidRPr="001436C4">
        <w:rPr>
          <w:b/>
          <w:bCs/>
        </w:rPr>
        <w:t>Résultat avant impôts (305 000 €)</w:t>
      </w:r>
      <w:r w:rsidRPr="001436C4">
        <w:t xml:space="preserve"> : Représente le bénéfice avant la déduction de l'impôt sur les sociétés.</w:t>
      </w:r>
    </w:p>
    <w:p w14:paraId="010680E0" w14:textId="77777777" w:rsidR="001436C4" w:rsidRPr="001436C4" w:rsidRDefault="001436C4" w:rsidP="001436C4">
      <w:pPr>
        <w:numPr>
          <w:ilvl w:val="0"/>
          <w:numId w:val="15"/>
        </w:numPr>
      </w:pPr>
      <w:r w:rsidRPr="001436C4">
        <w:rPr>
          <w:b/>
          <w:bCs/>
        </w:rPr>
        <w:t>Impôt sur les bénéfices (76 500 €)</w:t>
      </w:r>
      <w:r w:rsidRPr="001436C4">
        <w:t xml:space="preserve"> : Montant estimé de l'impôt dû sur le résultat avant impôts, basé sur le taux d'imposition applicable.</w:t>
      </w:r>
    </w:p>
    <w:p w14:paraId="718ACC57" w14:textId="77777777" w:rsidR="001436C4" w:rsidRPr="001436C4" w:rsidRDefault="001436C4" w:rsidP="001436C4">
      <w:pPr>
        <w:numPr>
          <w:ilvl w:val="0"/>
          <w:numId w:val="15"/>
        </w:numPr>
      </w:pPr>
      <w:r w:rsidRPr="001436C4">
        <w:rPr>
          <w:b/>
          <w:bCs/>
        </w:rPr>
        <w:t>Résultat net (228 500 €)</w:t>
      </w:r>
      <w:r w:rsidRPr="001436C4">
        <w:t xml:space="preserve"> : Bénéfice final de l'entreprise après toutes les charges, reflétant la rentabilité globale de l'exercice.</w:t>
      </w:r>
    </w:p>
    <w:p w14:paraId="2CBC6112" w14:textId="363C1C70" w:rsidR="00104DE3" w:rsidRDefault="001436C4" w:rsidP="00104DE3">
      <w:r w:rsidRPr="001436C4">
        <w:t>Cet exemple illustre comment les différents éléments du compte de résultat s'articulent pour fournir une image complète de la performance financière d'une entreprise sur une période donnée.</w:t>
      </w:r>
    </w:p>
    <w:p w14:paraId="3B1BC589" w14:textId="77777777" w:rsidR="00104DE3" w:rsidRDefault="00104DE3">
      <w:pPr>
        <w:spacing w:after="160" w:line="278" w:lineRule="auto"/>
        <w:jc w:val="left"/>
      </w:pPr>
      <w:r>
        <w:br w:type="page"/>
      </w:r>
    </w:p>
    <w:p w14:paraId="54FA662D" w14:textId="2AF5ECF0" w:rsidR="00F2511A" w:rsidRDefault="00F2511A" w:rsidP="00F2511A">
      <w:pPr>
        <w:pStyle w:val="Titre1"/>
      </w:pPr>
      <w:r>
        <w:lastRenderedPageBreak/>
        <w:t>T</w:t>
      </w:r>
      <w:r w:rsidRPr="00F2511A">
        <w:t>ableau des flux de trésorerie (</w:t>
      </w:r>
      <w:proofErr w:type="spellStart"/>
      <w:r w:rsidRPr="00F2511A">
        <w:t>Cash Flow</w:t>
      </w:r>
      <w:proofErr w:type="spellEnd"/>
      <w:r w:rsidRPr="00F2511A">
        <w:t xml:space="preserve"> </w:t>
      </w:r>
      <w:proofErr w:type="spellStart"/>
      <w:r w:rsidRPr="00F2511A">
        <w:t>Statement</w:t>
      </w:r>
      <w:proofErr w:type="spellEnd"/>
      <w:r w:rsidRPr="00F2511A">
        <w:t xml:space="preserve"> - CFS)</w:t>
      </w:r>
    </w:p>
    <w:p w14:paraId="67AE6C3D" w14:textId="56C08C04" w:rsidR="00F2511A" w:rsidRDefault="00F2511A" w:rsidP="00F2511A">
      <w:pPr>
        <w:pStyle w:val="Titre2"/>
      </w:pPr>
      <w:proofErr w:type="spellStart"/>
      <w:r>
        <w:t>Definition</w:t>
      </w:r>
      <w:proofErr w:type="spellEnd"/>
    </w:p>
    <w:p w14:paraId="641A30EC" w14:textId="11EA6196" w:rsidR="00F2511A" w:rsidRPr="00F2511A" w:rsidRDefault="00F2511A" w:rsidP="00F2511A">
      <w:pPr>
        <w:spacing w:after="160" w:line="278" w:lineRule="auto"/>
        <w:jc w:val="left"/>
      </w:pPr>
      <w:r w:rsidRPr="00F2511A">
        <w:t xml:space="preserve">Le </w:t>
      </w:r>
      <w:r w:rsidRPr="00F2511A">
        <w:rPr>
          <w:b/>
          <w:bCs/>
        </w:rPr>
        <w:t>tableau des flux de trésorerie</w:t>
      </w:r>
      <w:r w:rsidRPr="00F2511A">
        <w:t xml:space="preserve"> (</w:t>
      </w:r>
      <w:proofErr w:type="spellStart"/>
      <w:r w:rsidRPr="00F2511A">
        <w:t>Cash Flow</w:t>
      </w:r>
      <w:proofErr w:type="spellEnd"/>
      <w:r w:rsidRPr="00F2511A">
        <w:t xml:space="preserve"> </w:t>
      </w:r>
      <w:proofErr w:type="spellStart"/>
      <w:r w:rsidRPr="00F2511A">
        <w:t>Statement</w:t>
      </w:r>
      <w:proofErr w:type="spellEnd"/>
      <w:r w:rsidRPr="00F2511A">
        <w:t xml:space="preserve"> - CFS) est un état financier essentiel qui détaille les entrées et sorties de liquidités d'une entreprise sur une période donnée. Il complète le bilan et le compte de résultat en fournissant des informations sur la liquidité et la solvabilité de l'entreprise.</w:t>
      </w:r>
    </w:p>
    <w:p w14:paraId="5BD3BE80" w14:textId="77777777" w:rsidR="00F2511A" w:rsidRPr="00F2511A" w:rsidRDefault="00F2511A" w:rsidP="00F2511A">
      <w:pPr>
        <w:pStyle w:val="Titre2"/>
        <w:rPr>
          <w:lang w:val="en-GB"/>
        </w:rPr>
      </w:pPr>
      <w:r w:rsidRPr="00F2511A">
        <w:rPr>
          <w:lang w:val="en-GB"/>
        </w:rPr>
        <w:t xml:space="preserve">Sections </w:t>
      </w:r>
      <w:proofErr w:type="spellStart"/>
      <w:r w:rsidRPr="00F2511A">
        <w:rPr>
          <w:lang w:val="en-GB"/>
        </w:rPr>
        <w:t>principales</w:t>
      </w:r>
      <w:proofErr w:type="spellEnd"/>
      <w:r w:rsidRPr="00F2511A">
        <w:rPr>
          <w:lang w:val="en-GB"/>
        </w:rPr>
        <w:t xml:space="preserve"> du CFS :</w:t>
      </w:r>
    </w:p>
    <w:p w14:paraId="65401C80" w14:textId="77777777" w:rsidR="00F2511A" w:rsidRPr="00F2511A" w:rsidRDefault="00F2511A" w:rsidP="00F2511A">
      <w:pPr>
        <w:numPr>
          <w:ilvl w:val="0"/>
          <w:numId w:val="19"/>
        </w:numPr>
        <w:spacing w:after="160" w:line="278" w:lineRule="auto"/>
        <w:jc w:val="left"/>
        <w:rPr>
          <w:lang w:val="en-GB"/>
        </w:rPr>
      </w:pPr>
      <w:proofErr w:type="spellStart"/>
      <w:r w:rsidRPr="00F2511A">
        <w:rPr>
          <w:b/>
          <w:bCs/>
          <w:lang w:val="en-GB"/>
        </w:rPr>
        <w:t>Activités</w:t>
      </w:r>
      <w:proofErr w:type="spellEnd"/>
      <w:r w:rsidRPr="00F2511A">
        <w:rPr>
          <w:b/>
          <w:bCs/>
          <w:lang w:val="en-GB"/>
        </w:rPr>
        <w:t xml:space="preserve"> </w:t>
      </w:r>
      <w:proofErr w:type="spellStart"/>
      <w:r w:rsidRPr="00F2511A">
        <w:rPr>
          <w:b/>
          <w:bCs/>
          <w:lang w:val="en-GB"/>
        </w:rPr>
        <w:t>opérationnelles</w:t>
      </w:r>
      <w:proofErr w:type="spellEnd"/>
      <w:r w:rsidRPr="00F2511A">
        <w:rPr>
          <w:lang w:val="en-GB"/>
        </w:rPr>
        <w:t xml:space="preserve"> (Operating Activities) :</w:t>
      </w:r>
    </w:p>
    <w:p w14:paraId="679238D5" w14:textId="77777777" w:rsidR="00F2511A" w:rsidRPr="00F2511A" w:rsidRDefault="00F2511A" w:rsidP="00F2511A">
      <w:pPr>
        <w:numPr>
          <w:ilvl w:val="1"/>
          <w:numId w:val="19"/>
        </w:numPr>
        <w:spacing w:after="160" w:line="278" w:lineRule="auto"/>
        <w:jc w:val="left"/>
      </w:pPr>
      <w:r w:rsidRPr="00F2511A">
        <w:t>Reflètent les flux de trésorerie liés aux activités principales de l'entreprise, comme la vente de biens ou de services.</w:t>
      </w:r>
    </w:p>
    <w:p w14:paraId="6F9B3784" w14:textId="77777777" w:rsidR="00F2511A" w:rsidRPr="00F2511A" w:rsidRDefault="00F2511A" w:rsidP="00F2511A">
      <w:pPr>
        <w:numPr>
          <w:ilvl w:val="1"/>
          <w:numId w:val="19"/>
        </w:numPr>
        <w:spacing w:after="160" w:line="278" w:lineRule="auto"/>
        <w:jc w:val="left"/>
      </w:pPr>
      <w:r w:rsidRPr="00F2511A">
        <w:t>Incluent les encaissements des clients, les paiements aux fournisseurs et aux employés, ainsi que les paiements d'intérêts et d'impôts.</w:t>
      </w:r>
    </w:p>
    <w:p w14:paraId="30ADB1A0" w14:textId="77777777" w:rsidR="00F2511A" w:rsidRPr="00F2511A" w:rsidRDefault="00F2511A" w:rsidP="00F2511A">
      <w:pPr>
        <w:numPr>
          <w:ilvl w:val="0"/>
          <w:numId w:val="19"/>
        </w:numPr>
        <w:spacing w:after="160" w:line="278" w:lineRule="auto"/>
        <w:jc w:val="left"/>
        <w:rPr>
          <w:lang w:val="en-GB"/>
        </w:rPr>
      </w:pPr>
      <w:proofErr w:type="spellStart"/>
      <w:r w:rsidRPr="00F2511A">
        <w:rPr>
          <w:b/>
          <w:bCs/>
          <w:lang w:val="en-GB"/>
        </w:rPr>
        <w:t>Activités</w:t>
      </w:r>
      <w:proofErr w:type="spellEnd"/>
      <w:r w:rsidRPr="00F2511A">
        <w:rPr>
          <w:b/>
          <w:bCs/>
          <w:lang w:val="en-GB"/>
        </w:rPr>
        <w:t xml:space="preserve"> </w:t>
      </w:r>
      <w:proofErr w:type="spellStart"/>
      <w:r w:rsidRPr="00F2511A">
        <w:rPr>
          <w:b/>
          <w:bCs/>
          <w:lang w:val="en-GB"/>
        </w:rPr>
        <w:t>d'investissement</w:t>
      </w:r>
      <w:proofErr w:type="spellEnd"/>
      <w:r w:rsidRPr="00F2511A">
        <w:rPr>
          <w:lang w:val="en-GB"/>
        </w:rPr>
        <w:t xml:space="preserve"> (Investing Activities) :</w:t>
      </w:r>
    </w:p>
    <w:p w14:paraId="1284058B" w14:textId="77777777" w:rsidR="00F2511A" w:rsidRPr="00F2511A" w:rsidRDefault="00F2511A" w:rsidP="00F2511A">
      <w:pPr>
        <w:numPr>
          <w:ilvl w:val="1"/>
          <w:numId w:val="19"/>
        </w:numPr>
        <w:spacing w:after="160" w:line="278" w:lineRule="auto"/>
        <w:jc w:val="left"/>
      </w:pPr>
      <w:r w:rsidRPr="00F2511A">
        <w:t>Englobent les flux de trésorerie liés à l'acquisition et à la cession d'actifs à long terme.</w:t>
      </w:r>
    </w:p>
    <w:p w14:paraId="6DD564BC" w14:textId="77777777" w:rsidR="00F2511A" w:rsidRPr="00F2511A" w:rsidRDefault="00F2511A" w:rsidP="00F2511A">
      <w:pPr>
        <w:numPr>
          <w:ilvl w:val="1"/>
          <w:numId w:val="19"/>
        </w:numPr>
        <w:spacing w:after="160" w:line="278" w:lineRule="auto"/>
        <w:jc w:val="left"/>
      </w:pPr>
      <w:r w:rsidRPr="00F2511A">
        <w:t>Comprennent l'achat ou la vente d'équipements, les prêts accordés ou reçus, et les paiements liés aux fusions et acquisitions.</w:t>
      </w:r>
    </w:p>
    <w:p w14:paraId="2E8665D3" w14:textId="77777777" w:rsidR="00F2511A" w:rsidRPr="00F2511A" w:rsidRDefault="00F2511A" w:rsidP="00F2511A">
      <w:pPr>
        <w:numPr>
          <w:ilvl w:val="0"/>
          <w:numId w:val="19"/>
        </w:numPr>
        <w:spacing w:after="160" w:line="278" w:lineRule="auto"/>
        <w:jc w:val="left"/>
      </w:pPr>
      <w:r w:rsidRPr="00F2511A">
        <w:rPr>
          <w:b/>
          <w:bCs/>
        </w:rPr>
        <w:t>Activités de financement</w:t>
      </w:r>
      <w:r w:rsidRPr="00F2511A">
        <w:t xml:space="preserve"> (</w:t>
      </w:r>
      <w:proofErr w:type="spellStart"/>
      <w:r w:rsidRPr="00F2511A">
        <w:t>Financing</w:t>
      </w:r>
      <w:proofErr w:type="spellEnd"/>
      <w:r w:rsidRPr="00F2511A">
        <w:t xml:space="preserve"> </w:t>
      </w:r>
      <w:proofErr w:type="spellStart"/>
      <w:r w:rsidRPr="00F2511A">
        <w:t>Activities</w:t>
      </w:r>
      <w:proofErr w:type="spellEnd"/>
      <w:r w:rsidRPr="00F2511A">
        <w:t>) :</w:t>
      </w:r>
    </w:p>
    <w:p w14:paraId="74FD2E49" w14:textId="77777777" w:rsidR="00F2511A" w:rsidRPr="00F2511A" w:rsidRDefault="00F2511A" w:rsidP="00F2511A">
      <w:pPr>
        <w:numPr>
          <w:ilvl w:val="1"/>
          <w:numId w:val="19"/>
        </w:numPr>
        <w:spacing w:after="160" w:line="278" w:lineRule="auto"/>
        <w:jc w:val="left"/>
      </w:pPr>
      <w:r w:rsidRPr="00F2511A">
        <w:t>Concernent les flux de trésorerie associés aux transactions avec les propriétaires et les créanciers.</w:t>
      </w:r>
    </w:p>
    <w:p w14:paraId="2FE5902B" w14:textId="77777777" w:rsidR="00F2511A" w:rsidRPr="00F2511A" w:rsidRDefault="00F2511A" w:rsidP="00F2511A">
      <w:pPr>
        <w:numPr>
          <w:ilvl w:val="1"/>
          <w:numId w:val="19"/>
        </w:numPr>
        <w:spacing w:after="160" w:line="278" w:lineRule="auto"/>
        <w:jc w:val="left"/>
      </w:pPr>
      <w:r w:rsidRPr="00F2511A">
        <w:t>Incluent l'émission ou le rachat d'actions, l'obtention ou le remboursement de dettes, ainsi que le paiement de dividendes.</w:t>
      </w:r>
    </w:p>
    <w:p w14:paraId="14D89FF5" w14:textId="77777777" w:rsidR="00F2511A" w:rsidRPr="00F2511A" w:rsidRDefault="00F2511A" w:rsidP="00F2511A">
      <w:pPr>
        <w:spacing w:after="160" w:line="278" w:lineRule="auto"/>
        <w:jc w:val="left"/>
      </w:pPr>
      <w:r w:rsidRPr="00F2511A">
        <w:t>En analysant ces trois sections, le CFS offre une vision claire de la manière dont l'entreprise génère et utilise ses liquidités, permettant aux investisseurs et aux gestionnaires d'évaluer la santé financière et la flexibilité opérationnelle de l'entreprise.</w:t>
      </w:r>
    </w:p>
    <w:p w14:paraId="0286AD1E" w14:textId="114857EF" w:rsidR="00F2511A" w:rsidRDefault="00F2511A" w:rsidP="00F2511A">
      <w:pPr>
        <w:pStyle w:val="Titre2"/>
      </w:pPr>
      <w:r>
        <w:t xml:space="preserve">Exemple </w:t>
      </w:r>
    </w:p>
    <w:p w14:paraId="6FB1CE73" w14:textId="77777777" w:rsidR="00F2511A" w:rsidRPr="00F2511A" w:rsidRDefault="00F2511A" w:rsidP="00F2511A">
      <w:r w:rsidRPr="00F2511A">
        <w:t xml:space="preserve">Voici un exemple simplifié de </w:t>
      </w:r>
      <w:r w:rsidRPr="00F2511A">
        <w:rPr>
          <w:b/>
          <w:bCs/>
        </w:rPr>
        <w:t>tableau des flux de trésorerie</w:t>
      </w:r>
      <w:r w:rsidRPr="00F2511A">
        <w:t xml:space="preserve"> pour une entreprise fictive, XYZ Corp., pour l'année se terminant le 31 décembre 2024 :</w:t>
      </w:r>
    </w:p>
    <w:p w14:paraId="1349FA88" w14:textId="77777777" w:rsidR="00F2511A" w:rsidRPr="00F2511A" w:rsidRDefault="00F2511A" w:rsidP="00F2511A">
      <w:r w:rsidRPr="00F2511A">
        <w:rPr>
          <w:b/>
          <w:bCs/>
        </w:rPr>
        <w:t>XYZ Corp.</w:t>
      </w:r>
      <w:r w:rsidRPr="00F2511A">
        <w:t xml:space="preserve"> </w:t>
      </w:r>
      <w:r w:rsidRPr="00F2511A">
        <w:rPr>
          <w:i/>
          <w:iCs/>
        </w:rPr>
        <w:t>Tableau des flux de trésorerie</w:t>
      </w:r>
      <w:r w:rsidRPr="00F2511A">
        <w:t xml:space="preserve"> </w:t>
      </w:r>
      <w:r w:rsidRPr="00F2511A">
        <w:rPr>
          <w:i/>
          <w:iCs/>
        </w:rPr>
        <w:t>Pour l'année se terminant le 31 décembre 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5"/>
        <w:gridCol w:w="1275"/>
      </w:tblGrid>
      <w:tr w:rsidR="00F2511A" w:rsidRPr="00F2511A" w14:paraId="7ECB71D0" w14:textId="77777777" w:rsidTr="00F2511A">
        <w:trPr>
          <w:tblHeader/>
          <w:tblCellSpacing w:w="15" w:type="dxa"/>
        </w:trPr>
        <w:tc>
          <w:tcPr>
            <w:tcW w:w="0" w:type="auto"/>
            <w:vAlign w:val="center"/>
            <w:hideMark/>
          </w:tcPr>
          <w:p w14:paraId="181CE47D" w14:textId="77777777" w:rsidR="00F2511A" w:rsidRPr="00F2511A" w:rsidRDefault="00F2511A" w:rsidP="00F2511A">
            <w:pPr>
              <w:rPr>
                <w:b/>
                <w:bCs/>
                <w:lang w:val="en-GB"/>
              </w:rPr>
            </w:pPr>
            <w:proofErr w:type="spellStart"/>
            <w:r w:rsidRPr="00F2511A">
              <w:rPr>
                <w:b/>
                <w:bCs/>
                <w:lang w:val="en-GB"/>
              </w:rPr>
              <w:t>Activités</w:t>
            </w:r>
            <w:proofErr w:type="spellEnd"/>
          </w:p>
        </w:tc>
        <w:tc>
          <w:tcPr>
            <w:tcW w:w="0" w:type="auto"/>
            <w:vAlign w:val="center"/>
            <w:hideMark/>
          </w:tcPr>
          <w:p w14:paraId="277641EA" w14:textId="77777777" w:rsidR="00F2511A" w:rsidRPr="00F2511A" w:rsidRDefault="00F2511A" w:rsidP="00F2511A">
            <w:pPr>
              <w:rPr>
                <w:b/>
                <w:bCs/>
                <w:lang w:val="en-GB"/>
              </w:rPr>
            </w:pPr>
            <w:proofErr w:type="spellStart"/>
            <w:r w:rsidRPr="00F2511A">
              <w:rPr>
                <w:b/>
                <w:bCs/>
                <w:lang w:val="en-GB"/>
              </w:rPr>
              <w:t>Montant</w:t>
            </w:r>
            <w:proofErr w:type="spellEnd"/>
            <w:r w:rsidRPr="00F2511A">
              <w:rPr>
                <w:b/>
                <w:bCs/>
                <w:lang w:val="en-GB"/>
              </w:rPr>
              <w:t xml:space="preserve"> (€)</w:t>
            </w:r>
          </w:p>
        </w:tc>
      </w:tr>
      <w:tr w:rsidR="00F2511A" w:rsidRPr="00F2511A" w14:paraId="2C7F4F3A" w14:textId="77777777" w:rsidTr="00F2511A">
        <w:trPr>
          <w:tblCellSpacing w:w="15" w:type="dxa"/>
        </w:trPr>
        <w:tc>
          <w:tcPr>
            <w:tcW w:w="0" w:type="auto"/>
            <w:vAlign w:val="center"/>
            <w:hideMark/>
          </w:tcPr>
          <w:p w14:paraId="5DDA4786" w14:textId="77777777" w:rsidR="00F2511A" w:rsidRPr="00F2511A" w:rsidRDefault="00F2511A" w:rsidP="00F2511A">
            <w:pPr>
              <w:rPr>
                <w:lang w:val="en-GB"/>
              </w:rPr>
            </w:pPr>
            <w:proofErr w:type="spellStart"/>
            <w:r w:rsidRPr="00F2511A">
              <w:rPr>
                <w:b/>
                <w:bCs/>
                <w:lang w:val="en-GB"/>
              </w:rPr>
              <w:t>Activités</w:t>
            </w:r>
            <w:proofErr w:type="spellEnd"/>
            <w:r w:rsidRPr="00F2511A">
              <w:rPr>
                <w:b/>
                <w:bCs/>
                <w:lang w:val="en-GB"/>
              </w:rPr>
              <w:t xml:space="preserve"> </w:t>
            </w:r>
            <w:proofErr w:type="spellStart"/>
            <w:r w:rsidRPr="00F2511A">
              <w:rPr>
                <w:b/>
                <w:bCs/>
                <w:lang w:val="en-GB"/>
              </w:rPr>
              <w:t>opérationnelles</w:t>
            </w:r>
            <w:proofErr w:type="spellEnd"/>
          </w:p>
        </w:tc>
        <w:tc>
          <w:tcPr>
            <w:tcW w:w="0" w:type="auto"/>
            <w:vAlign w:val="center"/>
            <w:hideMark/>
          </w:tcPr>
          <w:p w14:paraId="19F6CF67" w14:textId="77777777" w:rsidR="00F2511A" w:rsidRPr="00F2511A" w:rsidRDefault="00F2511A" w:rsidP="00F2511A">
            <w:pPr>
              <w:rPr>
                <w:lang w:val="en-GB"/>
              </w:rPr>
            </w:pPr>
          </w:p>
        </w:tc>
      </w:tr>
      <w:tr w:rsidR="00F2511A" w:rsidRPr="00F2511A" w14:paraId="11FBEF08" w14:textId="77777777" w:rsidTr="00F2511A">
        <w:trPr>
          <w:tblCellSpacing w:w="15" w:type="dxa"/>
        </w:trPr>
        <w:tc>
          <w:tcPr>
            <w:tcW w:w="0" w:type="auto"/>
            <w:vAlign w:val="center"/>
            <w:hideMark/>
          </w:tcPr>
          <w:p w14:paraId="2B0F2F60" w14:textId="77777777" w:rsidR="00F2511A" w:rsidRPr="00F2511A" w:rsidRDefault="00F2511A" w:rsidP="00F2511A">
            <w:pPr>
              <w:rPr>
                <w:lang w:val="en-GB"/>
              </w:rPr>
            </w:pPr>
            <w:proofErr w:type="spellStart"/>
            <w:r w:rsidRPr="00F2511A">
              <w:rPr>
                <w:lang w:val="en-GB"/>
              </w:rPr>
              <w:t>Encaissements</w:t>
            </w:r>
            <w:proofErr w:type="spellEnd"/>
            <w:r w:rsidRPr="00F2511A">
              <w:rPr>
                <w:lang w:val="en-GB"/>
              </w:rPr>
              <w:t xml:space="preserve"> des clients</w:t>
            </w:r>
          </w:p>
        </w:tc>
        <w:tc>
          <w:tcPr>
            <w:tcW w:w="0" w:type="auto"/>
            <w:vAlign w:val="center"/>
            <w:hideMark/>
          </w:tcPr>
          <w:p w14:paraId="00993E69" w14:textId="77777777" w:rsidR="00F2511A" w:rsidRPr="00F2511A" w:rsidRDefault="00F2511A" w:rsidP="00F2511A">
            <w:pPr>
              <w:rPr>
                <w:lang w:val="en-GB"/>
              </w:rPr>
            </w:pPr>
            <w:r w:rsidRPr="00F2511A">
              <w:rPr>
                <w:lang w:val="en-GB"/>
              </w:rPr>
              <w:t>500 000</w:t>
            </w:r>
          </w:p>
        </w:tc>
      </w:tr>
      <w:tr w:rsidR="00F2511A" w:rsidRPr="00F2511A" w14:paraId="4D87EA03" w14:textId="77777777" w:rsidTr="00F2511A">
        <w:trPr>
          <w:tblCellSpacing w:w="15" w:type="dxa"/>
        </w:trPr>
        <w:tc>
          <w:tcPr>
            <w:tcW w:w="0" w:type="auto"/>
            <w:vAlign w:val="center"/>
            <w:hideMark/>
          </w:tcPr>
          <w:p w14:paraId="090DB1D2" w14:textId="77777777" w:rsidR="00F2511A" w:rsidRPr="00F2511A" w:rsidRDefault="00F2511A" w:rsidP="00F2511A">
            <w:pPr>
              <w:rPr>
                <w:lang w:val="en-GB"/>
              </w:rPr>
            </w:pPr>
            <w:proofErr w:type="spellStart"/>
            <w:r w:rsidRPr="00F2511A">
              <w:rPr>
                <w:lang w:val="en-GB"/>
              </w:rPr>
              <w:t>Paiements</w:t>
            </w:r>
            <w:proofErr w:type="spellEnd"/>
            <w:r w:rsidRPr="00F2511A">
              <w:rPr>
                <w:lang w:val="en-GB"/>
              </w:rPr>
              <w:t xml:space="preserve"> aux </w:t>
            </w:r>
            <w:proofErr w:type="spellStart"/>
            <w:r w:rsidRPr="00F2511A">
              <w:rPr>
                <w:lang w:val="en-GB"/>
              </w:rPr>
              <w:t>fournisseurs</w:t>
            </w:r>
            <w:proofErr w:type="spellEnd"/>
          </w:p>
        </w:tc>
        <w:tc>
          <w:tcPr>
            <w:tcW w:w="0" w:type="auto"/>
            <w:vAlign w:val="center"/>
            <w:hideMark/>
          </w:tcPr>
          <w:p w14:paraId="6D6B6ED6" w14:textId="77777777" w:rsidR="00F2511A" w:rsidRPr="00F2511A" w:rsidRDefault="00F2511A" w:rsidP="00F2511A">
            <w:pPr>
              <w:rPr>
                <w:lang w:val="en-GB"/>
              </w:rPr>
            </w:pPr>
            <w:r w:rsidRPr="00F2511A">
              <w:rPr>
                <w:lang w:val="en-GB"/>
              </w:rPr>
              <w:t>(300 000)</w:t>
            </w:r>
          </w:p>
        </w:tc>
      </w:tr>
      <w:tr w:rsidR="00F2511A" w:rsidRPr="00F2511A" w14:paraId="560C7F44" w14:textId="77777777" w:rsidTr="00F2511A">
        <w:trPr>
          <w:tblCellSpacing w:w="15" w:type="dxa"/>
        </w:trPr>
        <w:tc>
          <w:tcPr>
            <w:tcW w:w="0" w:type="auto"/>
            <w:vAlign w:val="center"/>
            <w:hideMark/>
          </w:tcPr>
          <w:p w14:paraId="72294449" w14:textId="77777777" w:rsidR="00F2511A" w:rsidRPr="00F2511A" w:rsidRDefault="00F2511A" w:rsidP="00F2511A">
            <w:pPr>
              <w:rPr>
                <w:lang w:val="en-GB"/>
              </w:rPr>
            </w:pPr>
            <w:proofErr w:type="spellStart"/>
            <w:r w:rsidRPr="00F2511A">
              <w:rPr>
                <w:lang w:val="en-GB"/>
              </w:rPr>
              <w:t>Paiements</w:t>
            </w:r>
            <w:proofErr w:type="spellEnd"/>
            <w:r w:rsidRPr="00F2511A">
              <w:rPr>
                <w:lang w:val="en-GB"/>
              </w:rPr>
              <w:t xml:space="preserve"> aux </w:t>
            </w:r>
            <w:proofErr w:type="spellStart"/>
            <w:r w:rsidRPr="00F2511A">
              <w:rPr>
                <w:lang w:val="en-GB"/>
              </w:rPr>
              <w:t>employés</w:t>
            </w:r>
            <w:proofErr w:type="spellEnd"/>
          </w:p>
        </w:tc>
        <w:tc>
          <w:tcPr>
            <w:tcW w:w="0" w:type="auto"/>
            <w:vAlign w:val="center"/>
            <w:hideMark/>
          </w:tcPr>
          <w:p w14:paraId="342DA480" w14:textId="77777777" w:rsidR="00F2511A" w:rsidRPr="00F2511A" w:rsidRDefault="00F2511A" w:rsidP="00F2511A">
            <w:pPr>
              <w:rPr>
                <w:lang w:val="en-GB"/>
              </w:rPr>
            </w:pPr>
            <w:r w:rsidRPr="00F2511A">
              <w:rPr>
                <w:lang w:val="en-GB"/>
              </w:rPr>
              <w:t>(100 000)</w:t>
            </w:r>
          </w:p>
        </w:tc>
      </w:tr>
      <w:tr w:rsidR="00F2511A" w:rsidRPr="00F2511A" w14:paraId="4E9BB2A0" w14:textId="77777777" w:rsidTr="00F2511A">
        <w:trPr>
          <w:tblCellSpacing w:w="15" w:type="dxa"/>
        </w:trPr>
        <w:tc>
          <w:tcPr>
            <w:tcW w:w="0" w:type="auto"/>
            <w:vAlign w:val="center"/>
            <w:hideMark/>
          </w:tcPr>
          <w:p w14:paraId="387B3975" w14:textId="77777777" w:rsidR="00F2511A" w:rsidRPr="00F2511A" w:rsidRDefault="00F2511A" w:rsidP="00F2511A">
            <w:pPr>
              <w:rPr>
                <w:lang w:val="en-GB"/>
              </w:rPr>
            </w:pPr>
            <w:proofErr w:type="spellStart"/>
            <w:r w:rsidRPr="00F2511A">
              <w:rPr>
                <w:lang w:val="en-GB"/>
              </w:rPr>
              <w:t>Paiements</w:t>
            </w:r>
            <w:proofErr w:type="spellEnd"/>
            <w:r w:rsidRPr="00F2511A">
              <w:rPr>
                <w:lang w:val="en-GB"/>
              </w:rPr>
              <w:t xml:space="preserve"> </w:t>
            </w:r>
            <w:proofErr w:type="spellStart"/>
            <w:r w:rsidRPr="00F2511A">
              <w:rPr>
                <w:lang w:val="en-GB"/>
              </w:rPr>
              <w:t>d'intérêts</w:t>
            </w:r>
            <w:proofErr w:type="spellEnd"/>
          </w:p>
        </w:tc>
        <w:tc>
          <w:tcPr>
            <w:tcW w:w="0" w:type="auto"/>
            <w:vAlign w:val="center"/>
            <w:hideMark/>
          </w:tcPr>
          <w:p w14:paraId="6A580A9A" w14:textId="77777777" w:rsidR="00F2511A" w:rsidRPr="00F2511A" w:rsidRDefault="00F2511A" w:rsidP="00F2511A">
            <w:pPr>
              <w:rPr>
                <w:lang w:val="en-GB"/>
              </w:rPr>
            </w:pPr>
            <w:r w:rsidRPr="00F2511A">
              <w:rPr>
                <w:lang w:val="en-GB"/>
              </w:rPr>
              <w:t>(10 000)</w:t>
            </w:r>
          </w:p>
        </w:tc>
      </w:tr>
      <w:tr w:rsidR="00F2511A" w:rsidRPr="00F2511A" w14:paraId="53D4C0D0" w14:textId="77777777" w:rsidTr="00F2511A">
        <w:trPr>
          <w:tblCellSpacing w:w="15" w:type="dxa"/>
        </w:trPr>
        <w:tc>
          <w:tcPr>
            <w:tcW w:w="0" w:type="auto"/>
            <w:vAlign w:val="center"/>
            <w:hideMark/>
          </w:tcPr>
          <w:p w14:paraId="4620878E" w14:textId="77777777" w:rsidR="00F2511A" w:rsidRPr="00F2511A" w:rsidRDefault="00F2511A" w:rsidP="00F2511A">
            <w:pPr>
              <w:rPr>
                <w:lang w:val="en-GB"/>
              </w:rPr>
            </w:pPr>
            <w:proofErr w:type="spellStart"/>
            <w:r w:rsidRPr="00F2511A">
              <w:rPr>
                <w:lang w:val="en-GB"/>
              </w:rPr>
              <w:lastRenderedPageBreak/>
              <w:t>Paiements</w:t>
            </w:r>
            <w:proofErr w:type="spellEnd"/>
            <w:r w:rsidRPr="00F2511A">
              <w:rPr>
                <w:lang w:val="en-GB"/>
              </w:rPr>
              <w:t xml:space="preserve"> </w:t>
            </w:r>
            <w:proofErr w:type="spellStart"/>
            <w:r w:rsidRPr="00F2511A">
              <w:rPr>
                <w:lang w:val="en-GB"/>
              </w:rPr>
              <w:t>d'impôts</w:t>
            </w:r>
            <w:proofErr w:type="spellEnd"/>
          </w:p>
        </w:tc>
        <w:tc>
          <w:tcPr>
            <w:tcW w:w="0" w:type="auto"/>
            <w:vAlign w:val="center"/>
            <w:hideMark/>
          </w:tcPr>
          <w:p w14:paraId="68FD2DD9" w14:textId="77777777" w:rsidR="00F2511A" w:rsidRPr="00F2511A" w:rsidRDefault="00F2511A" w:rsidP="00F2511A">
            <w:pPr>
              <w:rPr>
                <w:lang w:val="en-GB"/>
              </w:rPr>
            </w:pPr>
            <w:r w:rsidRPr="00F2511A">
              <w:rPr>
                <w:lang w:val="en-GB"/>
              </w:rPr>
              <w:t>(20 000)</w:t>
            </w:r>
          </w:p>
        </w:tc>
      </w:tr>
      <w:tr w:rsidR="00F2511A" w:rsidRPr="00F2511A" w14:paraId="2DF56AB3" w14:textId="77777777" w:rsidTr="00F2511A">
        <w:trPr>
          <w:tblCellSpacing w:w="15" w:type="dxa"/>
        </w:trPr>
        <w:tc>
          <w:tcPr>
            <w:tcW w:w="0" w:type="auto"/>
            <w:vAlign w:val="center"/>
            <w:hideMark/>
          </w:tcPr>
          <w:p w14:paraId="23F5C361" w14:textId="77777777" w:rsidR="00F2511A" w:rsidRPr="00F2511A" w:rsidRDefault="00F2511A" w:rsidP="00F2511A">
            <w:r w:rsidRPr="00F2511A">
              <w:rPr>
                <w:b/>
                <w:bCs/>
              </w:rPr>
              <w:t>Flux nets des activités opérationnelles</w:t>
            </w:r>
          </w:p>
        </w:tc>
        <w:tc>
          <w:tcPr>
            <w:tcW w:w="0" w:type="auto"/>
            <w:vAlign w:val="center"/>
            <w:hideMark/>
          </w:tcPr>
          <w:p w14:paraId="26553595" w14:textId="77777777" w:rsidR="00F2511A" w:rsidRPr="00F2511A" w:rsidRDefault="00F2511A" w:rsidP="00F2511A">
            <w:pPr>
              <w:rPr>
                <w:lang w:val="en-GB"/>
              </w:rPr>
            </w:pPr>
            <w:r w:rsidRPr="00F2511A">
              <w:rPr>
                <w:b/>
                <w:bCs/>
                <w:lang w:val="en-GB"/>
              </w:rPr>
              <w:t>70 000</w:t>
            </w:r>
          </w:p>
        </w:tc>
      </w:tr>
      <w:tr w:rsidR="00F2511A" w:rsidRPr="00F2511A" w14:paraId="55144AE3" w14:textId="77777777" w:rsidTr="00F2511A">
        <w:trPr>
          <w:tblCellSpacing w:w="15" w:type="dxa"/>
        </w:trPr>
        <w:tc>
          <w:tcPr>
            <w:tcW w:w="0" w:type="auto"/>
            <w:vAlign w:val="center"/>
            <w:hideMark/>
          </w:tcPr>
          <w:p w14:paraId="3B0B1923" w14:textId="77777777" w:rsidR="00F2511A" w:rsidRPr="00F2511A" w:rsidRDefault="00F2511A" w:rsidP="00F2511A">
            <w:pPr>
              <w:rPr>
                <w:lang w:val="en-GB"/>
              </w:rPr>
            </w:pPr>
            <w:proofErr w:type="spellStart"/>
            <w:r w:rsidRPr="00F2511A">
              <w:rPr>
                <w:b/>
                <w:bCs/>
                <w:lang w:val="en-GB"/>
              </w:rPr>
              <w:t>Activités</w:t>
            </w:r>
            <w:proofErr w:type="spellEnd"/>
            <w:r w:rsidRPr="00F2511A">
              <w:rPr>
                <w:b/>
                <w:bCs/>
                <w:lang w:val="en-GB"/>
              </w:rPr>
              <w:t xml:space="preserve"> </w:t>
            </w:r>
            <w:proofErr w:type="spellStart"/>
            <w:r w:rsidRPr="00F2511A">
              <w:rPr>
                <w:b/>
                <w:bCs/>
                <w:lang w:val="en-GB"/>
              </w:rPr>
              <w:t>d'investissement</w:t>
            </w:r>
            <w:proofErr w:type="spellEnd"/>
          </w:p>
        </w:tc>
        <w:tc>
          <w:tcPr>
            <w:tcW w:w="0" w:type="auto"/>
            <w:vAlign w:val="center"/>
            <w:hideMark/>
          </w:tcPr>
          <w:p w14:paraId="33D031D3" w14:textId="77777777" w:rsidR="00F2511A" w:rsidRPr="00F2511A" w:rsidRDefault="00F2511A" w:rsidP="00F2511A">
            <w:pPr>
              <w:rPr>
                <w:lang w:val="en-GB"/>
              </w:rPr>
            </w:pPr>
          </w:p>
        </w:tc>
      </w:tr>
      <w:tr w:rsidR="00F2511A" w:rsidRPr="00F2511A" w14:paraId="722D95A8" w14:textId="77777777" w:rsidTr="00F2511A">
        <w:trPr>
          <w:tblCellSpacing w:w="15" w:type="dxa"/>
        </w:trPr>
        <w:tc>
          <w:tcPr>
            <w:tcW w:w="0" w:type="auto"/>
            <w:vAlign w:val="center"/>
            <w:hideMark/>
          </w:tcPr>
          <w:p w14:paraId="0689BB23" w14:textId="77777777" w:rsidR="00F2511A" w:rsidRPr="00F2511A" w:rsidRDefault="00F2511A" w:rsidP="00F2511A">
            <w:pPr>
              <w:rPr>
                <w:lang w:val="en-GB"/>
              </w:rPr>
            </w:pPr>
            <w:proofErr w:type="spellStart"/>
            <w:r w:rsidRPr="00F2511A">
              <w:rPr>
                <w:lang w:val="en-GB"/>
              </w:rPr>
              <w:t>Achat</w:t>
            </w:r>
            <w:proofErr w:type="spellEnd"/>
            <w:r w:rsidRPr="00F2511A">
              <w:rPr>
                <w:lang w:val="en-GB"/>
              </w:rPr>
              <w:t xml:space="preserve"> </w:t>
            </w:r>
            <w:proofErr w:type="spellStart"/>
            <w:r w:rsidRPr="00F2511A">
              <w:rPr>
                <w:lang w:val="en-GB"/>
              </w:rPr>
              <w:t>d'équipement</w:t>
            </w:r>
            <w:proofErr w:type="spellEnd"/>
          </w:p>
        </w:tc>
        <w:tc>
          <w:tcPr>
            <w:tcW w:w="0" w:type="auto"/>
            <w:vAlign w:val="center"/>
            <w:hideMark/>
          </w:tcPr>
          <w:p w14:paraId="6CDCEAEE" w14:textId="77777777" w:rsidR="00F2511A" w:rsidRPr="00F2511A" w:rsidRDefault="00F2511A" w:rsidP="00F2511A">
            <w:pPr>
              <w:rPr>
                <w:lang w:val="en-GB"/>
              </w:rPr>
            </w:pPr>
            <w:r w:rsidRPr="00F2511A">
              <w:rPr>
                <w:lang w:val="en-GB"/>
              </w:rPr>
              <w:t>(50 000)</w:t>
            </w:r>
          </w:p>
        </w:tc>
      </w:tr>
      <w:tr w:rsidR="00F2511A" w:rsidRPr="00F2511A" w14:paraId="13931C8B" w14:textId="77777777" w:rsidTr="00F2511A">
        <w:trPr>
          <w:tblCellSpacing w:w="15" w:type="dxa"/>
        </w:trPr>
        <w:tc>
          <w:tcPr>
            <w:tcW w:w="0" w:type="auto"/>
            <w:vAlign w:val="center"/>
            <w:hideMark/>
          </w:tcPr>
          <w:p w14:paraId="59D34F22" w14:textId="77777777" w:rsidR="00F2511A" w:rsidRPr="00F2511A" w:rsidRDefault="00F2511A" w:rsidP="00F2511A">
            <w:pPr>
              <w:rPr>
                <w:lang w:val="en-GB"/>
              </w:rPr>
            </w:pPr>
            <w:r w:rsidRPr="00F2511A">
              <w:rPr>
                <w:lang w:val="en-GB"/>
              </w:rPr>
              <w:t xml:space="preserve">Vente d'un </w:t>
            </w:r>
            <w:proofErr w:type="spellStart"/>
            <w:r w:rsidRPr="00F2511A">
              <w:rPr>
                <w:lang w:val="en-GB"/>
              </w:rPr>
              <w:t>investissement</w:t>
            </w:r>
            <w:proofErr w:type="spellEnd"/>
          </w:p>
        </w:tc>
        <w:tc>
          <w:tcPr>
            <w:tcW w:w="0" w:type="auto"/>
            <w:vAlign w:val="center"/>
            <w:hideMark/>
          </w:tcPr>
          <w:p w14:paraId="1A8FA3FF" w14:textId="77777777" w:rsidR="00F2511A" w:rsidRPr="00F2511A" w:rsidRDefault="00F2511A" w:rsidP="00F2511A">
            <w:pPr>
              <w:rPr>
                <w:lang w:val="en-GB"/>
              </w:rPr>
            </w:pPr>
            <w:r w:rsidRPr="00F2511A">
              <w:rPr>
                <w:lang w:val="en-GB"/>
              </w:rPr>
              <w:t>30 000</w:t>
            </w:r>
          </w:p>
        </w:tc>
      </w:tr>
      <w:tr w:rsidR="00F2511A" w:rsidRPr="00F2511A" w14:paraId="07A36CCD" w14:textId="77777777" w:rsidTr="00F2511A">
        <w:trPr>
          <w:tblCellSpacing w:w="15" w:type="dxa"/>
        </w:trPr>
        <w:tc>
          <w:tcPr>
            <w:tcW w:w="0" w:type="auto"/>
            <w:vAlign w:val="center"/>
            <w:hideMark/>
          </w:tcPr>
          <w:p w14:paraId="0DBACF19" w14:textId="77777777" w:rsidR="00F2511A" w:rsidRPr="00F2511A" w:rsidRDefault="00F2511A" w:rsidP="00F2511A">
            <w:r w:rsidRPr="00F2511A">
              <w:rPr>
                <w:b/>
                <w:bCs/>
              </w:rPr>
              <w:t>Flux nets des activités d'investissement</w:t>
            </w:r>
          </w:p>
        </w:tc>
        <w:tc>
          <w:tcPr>
            <w:tcW w:w="0" w:type="auto"/>
            <w:vAlign w:val="center"/>
            <w:hideMark/>
          </w:tcPr>
          <w:p w14:paraId="52A7BA50" w14:textId="77777777" w:rsidR="00F2511A" w:rsidRPr="00F2511A" w:rsidRDefault="00F2511A" w:rsidP="00F2511A">
            <w:pPr>
              <w:rPr>
                <w:lang w:val="en-GB"/>
              </w:rPr>
            </w:pPr>
            <w:r w:rsidRPr="00F2511A">
              <w:rPr>
                <w:b/>
                <w:bCs/>
                <w:lang w:val="en-GB"/>
              </w:rPr>
              <w:t>(20 000)</w:t>
            </w:r>
          </w:p>
        </w:tc>
      </w:tr>
      <w:tr w:rsidR="00F2511A" w:rsidRPr="00F2511A" w14:paraId="1C380AA9" w14:textId="77777777" w:rsidTr="00F2511A">
        <w:trPr>
          <w:tblCellSpacing w:w="15" w:type="dxa"/>
        </w:trPr>
        <w:tc>
          <w:tcPr>
            <w:tcW w:w="0" w:type="auto"/>
            <w:vAlign w:val="center"/>
            <w:hideMark/>
          </w:tcPr>
          <w:p w14:paraId="2391B0DE" w14:textId="77777777" w:rsidR="00F2511A" w:rsidRPr="00F2511A" w:rsidRDefault="00F2511A" w:rsidP="00F2511A">
            <w:pPr>
              <w:rPr>
                <w:lang w:val="en-GB"/>
              </w:rPr>
            </w:pPr>
            <w:proofErr w:type="spellStart"/>
            <w:r w:rsidRPr="00F2511A">
              <w:rPr>
                <w:b/>
                <w:bCs/>
                <w:lang w:val="en-GB"/>
              </w:rPr>
              <w:t>Activités</w:t>
            </w:r>
            <w:proofErr w:type="spellEnd"/>
            <w:r w:rsidRPr="00F2511A">
              <w:rPr>
                <w:b/>
                <w:bCs/>
                <w:lang w:val="en-GB"/>
              </w:rPr>
              <w:t xml:space="preserve"> de </w:t>
            </w:r>
            <w:proofErr w:type="spellStart"/>
            <w:r w:rsidRPr="00F2511A">
              <w:rPr>
                <w:b/>
                <w:bCs/>
                <w:lang w:val="en-GB"/>
              </w:rPr>
              <w:t>financement</w:t>
            </w:r>
            <w:proofErr w:type="spellEnd"/>
          </w:p>
        </w:tc>
        <w:tc>
          <w:tcPr>
            <w:tcW w:w="0" w:type="auto"/>
            <w:vAlign w:val="center"/>
            <w:hideMark/>
          </w:tcPr>
          <w:p w14:paraId="273AF790" w14:textId="77777777" w:rsidR="00F2511A" w:rsidRPr="00F2511A" w:rsidRDefault="00F2511A" w:rsidP="00F2511A">
            <w:pPr>
              <w:rPr>
                <w:lang w:val="en-GB"/>
              </w:rPr>
            </w:pPr>
          </w:p>
        </w:tc>
      </w:tr>
      <w:tr w:rsidR="00F2511A" w:rsidRPr="00F2511A" w14:paraId="443DFED6" w14:textId="77777777" w:rsidTr="00F2511A">
        <w:trPr>
          <w:tblCellSpacing w:w="15" w:type="dxa"/>
        </w:trPr>
        <w:tc>
          <w:tcPr>
            <w:tcW w:w="0" w:type="auto"/>
            <w:vAlign w:val="center"/>
            <w:hideMark/>
          </w:tcPr>
          <w:p w14:paraId="2CFDA37A" w14:textId="77777777" w:rsidR="00F2511A" w:rsidRPr="00F2511A" w:rsidRDefault="00F2511A" w:rsidP="00F2511A">
            <w:pPr>
              <w:rPr>
                <w:lang w:val="en-GB"/>
              </w:rPr>
            </w:pPr>
            <w:r w:rsidRPr="00F2511A">
              <w:rPr>
                <w:lang w:val="en-GB"/>
              </w:rPr>
              <w:t xml:space="preserve">Emission </w:t>
            </w:r>
            <w:proofErr w:type="spellStart"/>
            <w:r w:rsidRPr="00F2511A">
              <w:rPr>
                <w:lang w:val="en-GB"/>
              </w:rPr>
              <w:t>d'actions</w:t>
            </w:r>
            <w:proofErr w:type="spellEnd"/>
          </w:p>
        </w:tc>
        <w:tc>
          <w:tcPr>
            <w:tcW w:w="0" w:type="auto"/>
            <w:vAlign w:val="center"/>
            <w:hideMark/>
          </w:tcPr>
          <w:p w14:paraId="19754DFF" w14:textId="77777777" w:rsidR="00F2511A" w:rsidRPr="00F2511A" w:rsidRDefault="00F2511A" w:rsidP="00F2511A">
            <w:pPr>
              <w:rPr>
                <w:lang w:val="en-GB"/>
              </w:rPr>
            </w:pPr>
            <w:r w:rsidRPr="00F2511A">
              <w:rPr>
                <w:lang w:val="en-GB"/>
              </w:rPr>
              <w:t>100 000</w:t>
            </w:r>
          </w:p>
        </w:tc>
      </w:tr>
      <w:tr w:rsidR="00F2511A" w:rsidRPr="00F2511A" w14:paraId="56043E30" w14:textId="77777777" w:rsidTr="00F2511A">
        <w:trPr>
          <w:tblCellSpacing w:w="15" w:type="dxa"/>
        </w:trPr>
        <w:tc>
          <w:tcPr>
            <w:tcW w:w="0" w:type="auto"/>
            <w:vAlign w:val="center"/>
            <w:hideMark/>
          </w:tcPr>
          <w:p w14:paraId="1966315C" w14:textId="77777777" w:rsidR="00F2511A" w:rsidRPr="00F2511A" w:rsidRDefault="00F2511A" w:rsidP="00F2511A">
            <w:pPr>
              <w:rPr>
                <w:lang w:val="en-GB"/>
              </w:rPr>
            </w:pPr>
            <w:proofErr w:type="spellStart"/>
            <w:r w:rsidRPr="00F2511A">
              <w:rPr>
                <w:lang w:val="en-GB"/>
              </w:rPr>
              <w:t>Remboursement</w:t>
            </w:r>
            <w:proofErr w:type="spellEnd"/>
            <w:r w:rsidRPr="00F2511A">
              <w:rPr>
                <w:lang w:val="en-GB"/>
              </w:rPr>
              <w:t xml:space="preserve"> de </w:t>
            </w:r>
            <w:proofErr w:type="spellStart"/>
            <w:r w:rsidRPr="00F2511A">
              <w:rPr>
                <w:lang w:val="en-GB"/>
              </w:rPr>
              <w:t>dettes</w:t>
            </w:r>
            <w:proofErr w:type="spellEnd"/>
          </w:p>
        </w:tc>
        <w:tc>
          <w:tcPr>
            <w:tcW w:w="0" w:type="auto"/>
            <w:vAlign w:val="center"/>
            <w:hideMark/>
          </w:tcPr>
          <w:p w14:paraId="00805331" w14:textId="77777777" w:rsidR="00F2511A" w:rsidRPr="00F2511A" w:rsidRDefault="00F2511A" w:rsidP="00F2511A">
            <w:pPr>
              <w:rPr>
                <w:lang w:val="en-GB"/>
              </w:rPr>
            </w:pPr>
            <w:r w:rsidRPr="00F2511A">
              <w:rPr>
                <w:lang w:val="en-GB"/>
              </w:rPr>
              <w:t>(50 000)</w:t>
            </w:r>
          </w:p>
        </w:tc>
      </w:tr>
      <w:tr w:rsidR="00F2511A" w:rsidRPr="00F2511A" w14:paraId="1E2C4B84" w14:textId="77777777" w:rsidTr="00F2511A">
        <w:trPr>
          <w:tblCellSpacing w:w="15" w:type="dxa"/>
        </w:trPr>
        <w:tc>
          <w:tcPr>
            <w:tcW w:w="0" w:type="auto"/>
            <w:vAlign w:val="center"/>
            <w:hideMark/>
          </w:tcPr>
          <w:p w14:paraId="7BD2AAE6" w14:textId="77777777" w:rsidR="00F2511A" w:rsidRPr="00F2511A" w:rsidRDefault="00F2511A" w:rsidP="00F2511A">
            <w:pPr>
              <w:rPr>
                <w:lang w:val="en-GB"/>
              </w:rPr>
            </w:pPr>
            <w:r w:rsidRPr="00F2511A">
              <w:rPr>
                <w:lang w:val="en-GB"/>
              </w:rPr>
              <w:t xml:space="preserve">Paiement de </w:t>
            </w:r>
            <w:proofErr w:type="spellStart"/>
            <w:r w:rsidRPr="00F2511A">
              <w:rPr>
                <w:lang w:val="en-GB"/>
              </w:rPr>
              <w:t>dividendes</w:t>
            </w:r>
            <w:proofErr w:type="spellEnd"/>
          </w:p>
        </w:tc>
        <w:tc>
          <w:tcPr>
            <w:tcW w:w="0" w:type="auto"/>
            <w:vAlign w:val="center"/>
            <w:hideMark/>
          </w:tcPr>
          <w:p w14:paraId="5BF341B3" w14:textId="77777777" w:rsidR="00F2511A" w:rsidRPr="00F2511A" w:rsidRDefault="00F2511A" w:rsidP="00F2511A">
            <w:pPr>
              <w:rPr>
                <w:lang w:val="en-GB"/>
              </w:rPr>
            </w:pPr>
            <w:r w:rsidRPr="00F2511A">
              <w:rPr>
                <w:lang w:val="en-GB"/>
              </w:rPr>
              <w:t>(10 000)</w:t>
            </w:r>
          </w:p>
        </w:tc>
      </w:tr>
      <w:tr w:rsidR="00F2511A" w:rsidRPr="00F2511A" w14:paraId="19490166" w14:textId="77777777" w:rsidTr="00F2511A">
        <w:trPr>
          <w:tblCellSpacing w:w="15" w:type="dxa"/>
        </w:trPr>
        <w:tc>
          <w:tcPr>
            <w:tcW w:w="0" w:type="auto"/>
            <w:vAlign w:val="center"/>
            <w:hideMark/>
          </w:tcPr>
          <w:p w14:paraId="2459D87A" w14:textId="77777777" w:rsidR="00F2511A" w:rsidRPr="00F2511A" w:rsidRDefault="00F2511A" w:rsidP="00F2511A">
            <w:r w:rsidRPr="00F2511A">
              <w:rPr>
                <w:b/>
                <w:bCs/>
              </w:rPr>
              <w:t>Flux nets des activités de financement</w:t>
            </w:r>
          </w:p>
        </w:tc>
        <w:tc>
          <w:tcPr>
            <w:tcW w:w="0" w:type="auto"/>
            <w:vAlign w:val="center"/>
            <w:hideMark/>
          </w:tcPr>
          <w:p w14:paraId="25D28BC6" w14:textId="77777777" w:rsidR="00F2511A" w:rsidRPr="00F2511A" w:rsidRDefault="00F2511A" w:rsidP="00F2511A">
            <w:pPr>
              <w:rPr>
                <w:lang w:val="en-GB"/>
              </w:rPr>
            </w:pPr>
            <w:r w:rsidRPr="00F2511A">
              <w:rPr>
                <w:b/>
                <w:bCs/>
                <w:lang w:val="en-GB"/>
              </w:rPr>
              <w:t>40 000</w:t>
            </w:r>
          </w:p>
        </w:tc>
      </w:tr>
      <w:tr w:rsidR="00F2511A" w:rsidRPr="00F2511A" w14:paraId="76492252" w14:textId="77777777" w:rsidTr="00F2511A">
        <w:trPr>
          <w:tblCellSpacing w:w="15" w:type="dxa"/>
        </w:trPr>
        <w:tc>
          <w:tcPr>
            <w:tcW w:w="0" w:type="auto"/>
            <w:vAlign w:val="center"/>
            <w:hideMark/>
          </w:tcPr>
          <w:p w14:paraId="20C7710F" w14:textId="77777777" w:rsidR="00F2511A" w:rsidRPr="00F2511A" w:rsidRDefault="00F2511A" w:rsidP="00F2511A">
            <w:r w:rsidRPr="00F2511A">
              <w:rPr>
                <w:b/>
                <w:bCs/>
              </w:rPr>
              <w:t>Augmentation nette de la trésorerie</w:t>
            </w:r>
          </w:p>
        </w:tc>
        <w:tc>
          <w:tcPr>
            <w:tcW w:w="0" w:type="auto"/>
            <w:vAlign w:val="center"/>
            <w:hideMark/>
          </w:tcPr>
          <w:p w14:paraId="1E491F79" w14:textId="77777777" w:rsidR="00F2511A" w:rsidRPr="00F2511A" w:rsidRDefault="00F2511A" w:rsidP="00F2511A">
            <w:pPr>
              <w:rPr>
                <w:lang w:val="en-GB"/>
              </w:rPr>
            </w:pPr>
            <w:r w:rsidRPr="00F2511A">
              <w:rPr>
                <w:b/>
                <w:bCs/>
                <w:lang w:val="en-GB"/>
              </w:rPr>
              <w:t>90 000</w:t>
            </w:r>
          </w:p>
        </w:tc>
      </w:tr>
      <w:tr w:rsidR="00F2511A" w:rsidRPr="00F2511A" w14:paraId="4B8D8859" w14:textId="77777777" w:rsidTr="00F2511A">
        <w:trPr>
          <w:tblCellSpacing w:w="15" w:type="dxa"/>
        </w:trPr>
        <w:tc>
          <w:tcPr>
            <w:tcW w:w="0" w:type="auto"/>
            <w:vAlign w:val="center"/>
            <w:hideMark/>
          </w:tcPr>
          <w:p w14:paraId="6EB69AEC" w14:textId="77777777" w:rsidR="00F2511A" w:rsidRPr="00F2511A" w:rsidRDefault="00F2511A" w:rsidP="00F2511A">
            <w:r w:rsidRPr="00F2511A">
              <w:t>Trésorerie au début de la période</w:t>
            </w:r>
          </w:p>
        </w:tc>
        <w:tc>
          <w:tcPr>
            <w:tcW w:w="0" w:type="auto"/>
            <w:vAlign w:val="center"/>
            <w:hideMark/>
          </w:tcPr>
          <w:p w14:paraId="6E6248BE" w14:textId="77777777" w:rsidR="00F2511A" w:rsidRPr="00F2511A" w:rsidRDefault="00F2511A" w:rsidP="00F2511A">
            <w:pPr>
              <w:rPr>
                <w:lang w:val="en-GB"/>
              </w:rPr>
            </w:pPr>
            <w:r w:rsidRPr="00F2511A">
              <w:rPr>
                <w:lang w:val="en-GB"/>
              </w:rPr>
              <w:t>50 000</w:t>
            </w:r>
          </w:p>
        </w:tc>
      </w:tr>
      <w:tr w:rsidR="00F2511A" w:rsidRPr="00F2511A" w14:paraId="3803184E" w14:textId="77777777" w:rsidTr="00F2511A">
        <w:trPr>
          <w:tblCellSpacing w:w="15" w:type="dxa"/>
        </w:trPr>
        <w:tc>
          <w:tcPr>
            <w:tcW w:w="0" w:type="auto"/>
            <w:vAlign w:val="center"/>
            <w:hideMark/>
          </w:tcPr>
          <w:p w14:paraId="0FB4AAC2" w14:textId="77777777" w:rsidR="00F2511A" w:rsidRPr="00F2511A" w:rsidRDefault="00F2511A" w:rsidP="00F2511A">
            <w:r w:rsidRPr="00F2511A">
              <w:rPr>
                <w:b/>
                <w:bCs/>
              </w:rPr>
              <w:t>Trésorerie à la fin de la période</w:t>
            </w:r>
          </w:p>
        </w:tc>
        <w:tc>
          <w:tcPr>
            <w:tcW w:w="0" w:type="auto"/>
            <w:vAlign w:val="center"/>
            <w:hideMark/>
          </w:tcPr>
          <w:p w14:paraId="21078196" w14:textId="77777777" w:rsidR="00F2511A" w:rsidRPr="00F2511A" w:rsidRDefault="00F2511A" w:rsidP="00F2511A">
            <w:pPr>
              <w:rPr>
                <w:lang w:val="en-GB"/>
              </w:rPr>
            </w:pPr>
            <w:r w:rsidRPr="00F2511A">
              <w:rPr>
                <w:b/>
                <w:bCs/>
                <w:lang w:val="en-GB"/>
              </w:rPr>
              <w:t>140 000</w:t>
            </w:r>
          </w:p>
        </w:tc>
      </w:tr>
    </w:tbl>
    <w:p w14:paraId="69C846BE" w14:textId="77777777" w:rsidR="00F2511A" w:rsidRPr="00F2511A" w:rsidRDefault="00F2511A" w:rsidP="00F2511A">
      <w:pPr>
        <w:rPr>
          <w:lang w:val="en-GB"/>
        </w:rPr>
      </w:pPr>
      <w:r w:rsidRPr="00F2511A">
        <w:rPr>
          <w:i/>
          <w:iCs/>
          <w:lang w:val="en-GB"/>
        </w:rPr>
        <w:t>Remarques :</w:t>
      </w:r>
    </w:p>
    <w:p w14:paraId="434EE221" w14:textId="77777777" w:rsidR="00F2511A" w:rsidRPr="00F2511A" w:rsidRDefault="00F2511A" w:rsidP="00F2511A">
      <w:pPr>
        <w:numPr>
          <w:ilvl w:val="0"/>
          <w:numId w:val="20"/>
        </w:numPr>
      </w:pPr>
      <w:r w:rsidRPr="00F2511A">
        <w:rPr>
          <w:b/>
          <w:bCs/>
        </w:rPr>
        <w:t>Activités opérationnelles</w:t>
      </w:r>
      <w:r w:rsidRPr="00F2511A">
        <w:t xml:space="preserve"> : Reflètent les flux de trésorerie liés aux activités principales de l'entreprise, comme la vente de produits ou de services.</w:t>
      </w:r>
    </w:p>
    <w:p w14:paraId="4445F689" w14:textId="77777777" w:rsidR="00F2511A" w:rsidRPr="00F2511A" w:rsidRDefault="00F2511A" w:rsidP="00F2511A">
      <w:pPr>
        <w:numPr>
          <w:ilvl w:val="0"/>
          <w:numId w:val="20"/>
        </w:numPr>
      </w:pPr>
      <w:r w:rsidRPr="00F2511A">
        <w:rPr>
          <w:b/>
          <w:bCs/>
        </w:rPr>
        <w:t>Activités d'investissement</w:t>
      </w:r>
      <w:r w:rsidRPr="00F2511A">
        <w:t xml:space="preserve"> : Incluent les flux de trésorerie liés à l'achat et à la vente d'actifs à long terme, tels que l'équipement.</w:t>
      </w:r>
    </w:p>
    <w:p w14:paraId="4B0FCAD9" w14:textId="77777777" w:rsidR="00F2511A" w:rsidRPr="00F2511A" w:rsidRDefault="00F2511A" w:rsidP="00F2511A">
      <w:pPr>
        <w:numPr>
          <w:ilvl w:val="0"/>
          <w:numId w:val="20"/>
        </w:numPr>
      </w:pPr>
      <w:r w:rsidRPr="00F2511A">
        <w:rPr>
          <w:b/>
          <w:bCs/>
        </w:rPr>
        <w:t>Activités de financement</w:t>
      </w:r>
      <w:r w:rsidRPr="00F2511A">
        <w:t xml:space="preserve"> : Concernent les flux de trésorerie liés aux transactions avec les actionnaires et les créanciers, comme l'émission d'actions, le remboursement de dettes et le paiement de dividendes.</w:t>
      </w:r>
    </w:p>
    <w:p w14:paraId="37E5C1F2" w14:textId="77777777" w:rsidR="00F2511A" w:rsidRPr="00F2511A" w:rsidRDefault="00F2511A" w:rsidP="00F2511A">
      <w:r w:rsidRPr="00F2511A">
        <w:t>Cet exemple illustre comment le tableau des flux de trésorerie fournit une vue d'ensemble des entrées et sorties de liquidités d'une entreprise, permettant aux investisseurs et aux gestionnaires d'évaluer la liquidité et la solvabilité de l'entreprise.</w:t>
      </w:r>
    </w:p>
    <w:p w14:paraId="4F1D8582" w14:textId="0EF9F240" w:rsidR="00F2511A" w:rsidRDefault="00F2511A" w:rsidP="00F2511A">
      <w:pPr>
        <w:pStyle w:val="Titre2"/>
      </w:pPr>
      <w:r>
        <w:t>Exemple 2</w:t>
      </w:r>
    </w:p>
    <w:p w14:paraId="2AD5CD30" w14:textId="77777777" w:rsidR="00F2511A" w:rsidRPr="00F2511A" w:rsidRDefault="00F2511A" w:rsidP="00F2511A">
      <w:r w:rsidRPr="00F2511A">
        <w:t xml:space="preserve">Le </w:t>
      </w:r>
      <w:r w:rsidRPr="00F2511A">
        <w:rPr>
          <w:b/>
          <w:bCs/>
        </w:rPr>
        <w:t>tableau des flux de trésorerie</w:t>
      </w:r>
      <w:r w:rsidRPr="00F2511A">
        <w:t xml:space="preserve"> d'ExxonMobil pour l'exercice fiscal 2023, clôturé le 31 décembre 2023, met en évidence les flux de liquidités dans trois domaines principaux :</w:t>
      </w:r>
    </w:p>
    <w:p w14:paraId="672D7091" w14:textId="77777777" w:rsidR="00F2511A" w:rsidRPr="00F2511A" w:rsidRDefault="00F2511A" w:rsidP="00F2511A">
      <w:pPr>
        <w:numPr>
          <w:ilvl w:val="0"/>
          <w:numId w:val="21"/>
        </w:numPr>
      </w:pPr>
      <w:r w:rsidRPr="00F2511A">
        <w:rPr>
          <w:b/>
          <w:bCs/>
        </w:rPr>
        <w:t>Activités opérationnelles</w:t>
      </w:r>
      <w:r w:rsidRPr="00F2511A">
        <w:t xml:space="preserve"> : ExxonMobil a généré un flux de trésorerie positif de </w:t>
      </w:r>
      <w:r w:rsidRPr="00F2511A">
        <w:rPr>
          <w:b/>
          <w:bCs/>
        </w:rPr>
        <w:t>55,4 milliards de dollars</w:t>
      </w:r>
      <w:r w:rsidRPr="00F2511A">
        <w:t xml:space="preserve">, reflétant la rentabilité de ses opérations principales. </w:t>
      </w:r>
    </w:p>
    <w:p w14:paraId="55446B7A" w14:textId="77777777" w:rsidR="00F2511A" w:rsidRPr="00F2511A" w:rsidRDefault="00F2511A" w:rsidP="00F2511A">
      <w:pPr>
        <w:rPr>
          <w:lang w:val="en-GB"/>
        </w:rPr>
      </w:pPr>
      <w:hyperlink r:id="rId5" w:tgtFrame="_blank" w:history="1">
        <w:r w:rsidRPr="00F2511A">
          <w:rPr>
            <w:rStyle w:val="Lienhypertexte"/>
            <w:lang w:val="en-GB"/>
          </w:rPr>
          <w:t>investor.exxonmobil.com</w:t>
        </w:r>
      </w:hyperlink>
    </w:p>
    <w:p w14:paraId="3CDC0A60" w14:textId="77777777" w:rsidR="00F2511A" w:rsidRPr="00F2511A" w:rsidRDefault="00F2511A" w:rsidP="00F2511A">
      <w:pPr>
        <w:numPr>
          <w:ilvl w:val="0"/>
          <w:numId w:val="21"/>
        </w:numPr>
      </w:pPr>
      <w:r w:rsidRPr="00F2511A">
        <w:rPr>
          <w:b/>
          <w:bCs/>
        </w:rPr>
        <w:t>Activités d'investissement</w:t>
      </w:r>
      <w:r w:rsidRPr="00F2511A">
        <w:t xml:space="preserve"> : L'entreprise a investi </w:t>
      </w:r>
      <w:r w:rsidRPr="00F2511A">
        <w:rPr>
          <w:b/>
          <w:bCs/>
        </w:rPr>
        <w:t>19,3 milliards de dollars</w:t>
      </w:r>
      <w:r w:rsidRPr="00F2511A">
        <w:t xml:space="preserve">, principalement consacrés à l'achat de </w:t>
      </w:r>
      <w:r w:rsidRPr="00F2511A">
        <w:rPr>
          <w:b/>
          <w:bCs/>
        </w:rPr>
        <w:t>biens de propriété, d'usines et d'équipements</w:t>
      </w:r>
      <w:r w:rsidRPr="00F2511A">
        <w:t xml:space="preserve">, indiquant un investissement substantiel dans l'expansion et le maintien de ses actifs fixes. </w:t>
      </w:r>
    </w:p>
    <w:p w14:paraId="31D89B9E" w14:textId="77777777" w:rsidR="00F2511A" w:rsidRPr="00F2511A" w:rsidRDefault="00F2511A" w:rsidP="00F2511A">
      <w:pPr>
        <w:numPr>
          <w:ilvl w:val="0"/>
          <w:numId w:val="21"/>
        </w:numPr>
      </w:pPr>
      <w:r w:rsidRPr="00F2511A">
        <w:rPr>
          <w:b/>
          <w:bCs/>
        </w:rPr>
        <w:t>Activités de financement</w:t>
      </w:r>
      <w:r w:rsidRPr="00F2511A">
        <w:t xml:space="preserve"> : ExxonMobil a distribué </w:t>
      </w:r>
      <w:r w:rsidRPr="00F2511A">
        <w:rPr>
          <w:b/>
          <w:bCs/>
        </w:rPr>
        <w:t>34,3 milliards de dollars</w:t>
      </w:r>
      <w:r w:rsidRPr="00F2511A">
        <w:t xml:space="preserve"> aux actionnaires, incluant des </w:t>
      </w:r>
      <w:r w:rsidRPr="00F2511A">
        <w:rPr>
          <w:b/>
          <w:bCs/>
        </w:rPr>
        <w:t>dividendes</w:t>
      </w:r>
      <w:r w:rsidRPr="00F2511A">
        <w:t xml:space="preserve"> et des rachats d'actions, reflétant un engagement à retourner une partie significative de ses bénéfices aux actionnaires. </w:t>
      </w:r>
    </w:p>
    <w:p w14:paraId="5DD6D257" w14:textId="77777777" w:rsidR="00F2511A" w:rsidRPr="00F2511A" w:rsidRDefault="00F2511A" w:rsidP="00F2511A">
      <w:hyperlink r:id="rId6" w:tgtFrame="_blank" w:history="1">
        <w:r w:rsidRPr="00F2511A">
          <w:rPr>
            <w:rStyle w:val="Lienhypertexte"/>
          </w:rPr>
          <w:t>investor.exxonmobil.com</w:t>
        </w:r>
      </w:hyperlink>
    </w:p>
    <w:p w14:paraId="15503A8F" w14:textId="77777777" w:rsidR="00F2511A" w:rsidRDefault="00F2511A" w:rsidP="00F2511A">
      <w:r w:rsidRPr="00F2511A">
        <w:t>Ces informations fournissent une vue d'ensemble de la manière dont ExxonMobil a généré et utilisé ses liquidités au cours de l'année, mettant en lumière les priorités stratégiques de l'entreprise en matière d'investissement et de rémunération des actionnaires.</w:t>
      </w:r>
    </w:p>
    <w:p w14:paraId="1D505413" w14:textId="2B786D96" w:rsidR="003F6447" w:rsidRDefault="003F6447" w:rsidP="003F6447">
      <w:pPr>
        <w:pStyle w:val="Titre1"/>
      </w:pPr>
      <w:r>
        <w:rPr>
          <w:bCs/>
        </w:rPr>
        <w:lastRenderedPageBreak/>
        <w:t>T</w:t>
      </w:r>
      <w:r w:rsidRPr="003F6447">
        <w:rPr>
          <w:bCs/>
        </w:rPr>
        <w:t>ableau des variations des capitaux propres</w:t>
      </w:r>
      <w:r w:rsidRPr="003F6447">
        <w:t xml:space="preserve"> (</w:t>
      </w:r>
      <w:proofErr w:type="spellStart"/>
      <w:r w:rsidRPr="003F6447">
        <w:t>Statement</w:t>
      </w:r>
      <w:proofErr w:type="spellEnd"/>
      <w:r w:rsidRPr="003F6447">
        <w:t xml:space="preserve"> of Changes in </w:t>
      </w:r>
      <w:proofErr w:type="spellStart"/>
      <w:r w:rsidRPr="003F6447">
        <w:t>Shareholders</w:t>
      </w:r>
      <w:proofErr w:type="spellEnd"/>
      <w:r w:rsidRPr="003F6447">
        <w:t xml:space="preserve">' </w:t>
      </w:r>
      <w:proofErr w:type="spellStart"/>
      <w:r w:rsidRPr="003F6447">
        <w:t>Equity</w:t>
      </w:r>
      <w:proofErr w:type="spellEnd"/>
      <w:r w:rsidRPr="003F6447">
        <w:t>)</w:t>
      </w:r>
    </w:p>
    <w:p w14:paraId="132AD6AA" w14:textId="0D7A064C" w:rsidR="003F6447" w:rsidRPr="003F6447" w:rsidRDefault="003F6447" w:rsidP="003F6447">
      <w:r w:rsidRPr="003F6447">
        <w:t xml:space="preserve">Le </w:t>
      </w:r>
      <w:r w:rsidRPr="003F6447">
        <w:rPr>
          <w:b/>
          <w:bCs/>
        </w:rPr>
        <w:t>tableau des variations des capitaux propres</w:t>
      </w:r>
      <w:r w:rsidRPr="003F6447">
        <w:t xml:space="preserve"> (</w:t>
      </w:r>
      <w:proofErr w:type="spellStart"/>
      <w:r w:rsidRPr="003F6447">
        <w:t>Statement</w:t>
      </w:r>
      <w:proofErr w:type="spellEnd"/>
      <w:r w:rsidRPr="003F6447">
        <w:t xml:space="preserve"> of Changes in </w:t>
      </w:r>
      <w:proofErr w:type="spellStart"/>
      <w:r w:rsidRPr="003F6447">
        <w:t>Shareholders</w:t>
      </w:r>
      <w:proofErr w:type="spellEnd"/>
      <w:r w:rsidRPr="003F6447">
        <w:t xml:space="preserve">' </w:t>
      </w:r>
      <w:proofErr w:type="spellStart"/>
      <w:r w:rsidRPr="003F6447">
        <w:t>Equity</w:t>
      </w:r>
      <w:proofErr w:type="spellEnd"/>
      <w:r w:rsidRPr="003F6447">
        <w:t xml:space="preserve">) est un état financier qui retrace les changements dans les </w:t>
      </w:r>
      <w:r w:rsidRPr="003F6447">
        <w:rPr>
          <w:b/>
          <w:bCs/>
        </w:rPr>
        <w:t>capitaux propres</w:t>
      </w:r>
      <w:r w:rsidRPr="003F6447">
        <w:t xml:space="preserve"> d'une entreprise sur une période donnée. Il fournit des informations essentielles sur la rentabilité de l'entreprise et l'évolution de la valeur pour les actionnaires.</w:t>
      </w:r>
    </w:p>
    <w:p w14:paraId="6D7A00A9" w14:textId="77777777" w:rsidR="003F6447" w:rsidRPr="003F6447" w:rsidRDefault="003F6447" w:rsidP="003F6447">
      <w:r w:rsidRPr="003F6447">
        <w:rPr>
          <w:b/>
          <w:bCs/>
        </w:rPr>
        <w:t>Composants principaux du tableau des variations des capitaux propres :</w:t>
      </w:r>
    </w:p>
    <w:p w14:paraId="7C78497A" w14:textId="77777777" w:rsidR="003F6447" w:rsidRPr="003F6447" w:rsidRDefault="003F6447" w:rsidP="003F6447">
      <w:pPr>
        <w:numPr>
          <w:ilvl w:val="0"/>
          <w:numId w:val="22"/>
        </w:numPr>
      </w:pPr>
      <w:proofErr w:type="spellStart"/>
      <w:r w:rsidRPr="003F6447">
        <w:rPr>
          <w:b/>
          <w:bCs/>
        </w:rPr>
        <w:t>Beginning</w:t>
      </w:r>
      <w:proofErr w:type="spellEnd"/>
      <w:r w:rsidRPr="003F6447">
        <w:rPr>
          <w:b/>
          <w:bCs/>
        </w:rPr>
        <w:t xml:space="preserve"> </w:t>
      </w:r>
      <w:proofErr w:type="spellStart"/>
      <w:r w:rsidRPr="003F6447">
        <w:rPr>
          <w:b/>
          <w:bCs/>
        </w:rPr>
        <w:t>Equity</w:t>
      </w:r>
      <w:proofErr w:type="spellEnd"/>
      <w:r w:rsidRPr="003F6447">
        <w:t xml:space="preserve"> : Représente les </w:t>
      </w:r>
      <w:r w:rsidRPr="003F6447">
        <w:rPr>
          <w:b/>
          <w:bCs/>
        </w:rPr>
        <w:t>capitaux propres</w:t>
      </w:r>
      <w:r w:rsidRPr="003F6447">
        <w:t xml:space="preserve"> à la fin de la période précédente, reportés au début de la nouvelle période.</w:t>
      </w:r>
    </w:p>
    <w:p w14:paraId="2DA7D7B7" w14:textId="77777777" w:rsidR="003F6447" w:rsidRPr="003F6447" w:rsidRDefault="003F6447" w:rsidP="003F6447">
      <w:pPr>
        <w:numPr>
          <w:ilvl w:val="0"/>
          <w:numId w:val="22"/>
        </w:numPr>
      </w:pPr>
      <w:r w:rsidRPr="003F6447">
        <w:rPr>
          <w:b/>
          <w:bCs/>
        </w:rPr>
        <w:t xml:space="preserve">Net </w:t>
      </w:r>
      <w:proofErr w:type="spellStart"/>
      <w:r w:rsidRPr="003F6447">
        <w:rPr>
          <w:b/>
          <w:bCs/>
        </w:rPr>
        <w:t>Income</w:t>
      </w:r>
      <w:proofErr w:type="spellEnd"/>
      <w:r w:rsidRPr="003F6447">
        <w:t xml:space="preserve"> : Montre le </w:t>
      </w:r>
      <w:r w:rsidRPr="003F6447">
        <w:rPr>
          <w:b/>
          <w:bCs/>
        </w:rPr>
        <w:t>bénéfice net</w:t>
      </w:r>
      <w:r w:rsidRPr="003F6447">
        <w:t xml:space="preserve"> généré par l'entreprise pendant la période, généralement reporté dans les </w:t>
      </w:r>
      <w:r w:rsidRPr="003F6447">
        <w:rPr>
          <w:b/>
          <w:bCs/>
        </w:rPr>
        <w:t>résultats non distribués</w:t>
      </w:r>
      <w:r w:rsidRPr="003F6447">
        <w:t xml:space="preserve"> (</w:t>
      </w:r>
      <w:proofErr w:type="spellStart"/>
      <w:r w:rsidRPr="003F6447">
        <w:t>Retained</w:t>
      </w:r>
      <w:proofErr w:type="spellEnd"/>
      <w:r w:rsidRPr="003F6447">
        <w:t xml:space="preserve"> </w:t>
      </w:r>
      <w:proofErr w:type="spellStart"/>
      <w:r w:rsidRPr="003F6447">
        <w:t>Earnings</w:t>
      </w:r>
      <w:proofErr w:type="spellEnd"/>
      <w:r w:rsidRPr="003F6447">
        <w:t>) à la fin de l'exercice.</w:t>
      </w:r>
    </w:p>
    <w:p w14:paraId="1B0B4DD7" w14:textId="77777777" w:rsidR="003F6447" w:rsidRPr="003F6447" w:rsidRDefault="003F6447" w:rsidP="003F6447">
      <w:pPr>
        <w:numPr>
          <w:ilvl w:val="0"/>
          <w:numId w:val="22"/>
        </w:numPr>
      </w:pPr>
      <w:proofErr w:type="spellStart"/>
      <w:r w:rsidRPr="003F6447">
        <w:rPr>
          <w:b/>
          <w:bCs/>
        </w:rPr>
        <w:t>Dividends</w:t>
      </w:r>
      <w:proofErr w:type="spellEnd"/>
      <w:r w:rsidRPr="003F6447">
        <w:t xml:space="preserve"> : Représentent les paiements effectués aux actionnaires à partir des bénéfices de l'entreprise.</w:t>
      </w:r>
    </w:p>
    <w:p w14:paraId="1BB5FA17" w14:textId="77777777" w:rsidR="003F6447" w:rsidRPr="003F6447" w:rsidRDefault="003F6447" w:rsidP="003F6447">
      <w:pPr>
        <w:numPr>
          <w:ilvl w:val="0"/>
          <w:numId w:val="22"/>
        </w:numPr>
      </w:pPr>
      <w:proofErr w:type="spellStart"/>
      <w:r w:rsidRPr="003F6447">
        <w:rPr>
          <w:b/>
          <w:bCs/>
        </w:rPr>
        <w:t>Other</w:t>
      </w:r>
      <w:proofErr w:type="spellEnd"/>
      <w:r w:rsidRPr="003F6447">
        <w:rPr>
          <w:b/>
          <w:bCs/>
        </w:rPr>
        <w:t xml:space="preserve"> </w:t>
      </w:r>
      <w:proofErr w:type="spellStart"/>
      <w:r w:rsidRPr="003F6447">
        <w:rPr>
          <w:b/>
          <w:bCs/>
        </w:rPr>
        <w:t>Comprehensive</w:t>
      </w:r>
      <w:proofErr w:type="spellEnd"/>
      <w:r w:rsidRPr="003F6447">
        <w:rPr>
          <w:b/>
          <w:bCs/>
        </w:rPr>
        <w:t xml:space="preserve"> </w:t>
      </w:r>
      <w:proofErr w:type="spellStart"/>
      <w:r w:rsidRPr="003F6447">
        <w:rPr>
          <w:b/>
          <w:bCs/>
        </w:rPr>
        <w:t>Income</w:t>
      </w:r>
      <w:proofErr w:type="spellEnd"/>
      <w:r w:rsidRPr="003F6447">
        <w:t xml:space="preserve"> : Incluent les variations des éléments tels que les </w:t>
      </w:r>
      <w:r w:rsidRPr="003F6447">
        <w:rPr>
          <w:b/>
          <w:bCs/>
        </w:rPr>
        <w:t>réserves de réévaluation</w:t>
      </w:r>
      <w:r w:rsidRPr="003F6447">
        <w:t xml:space="preserve">, les ajustements liés aux devises étrangères et d'autres ajustements comptables qui affectent les </w:t>
      </w:r>
      <w:r w:rsidRPr="003F6447">
        <w:rPr>
          <w:b/>
          <w:bCs/>
        </w:rPr>
        <w:t>capitaux propres</w:t>
      </w:r>
      <w:r w:rsidRPr="003F6447">
        <w:t xml:space="preserve"> mais ne sont pas reflétés dans le </w:t>
      </w:r>
      <w:r w:rsidRPr="003F6447">
        <w:rPr>
          <w:b/>
          <w:bCs/>
        </w:rPr>
        <w:t>bénéfice net</w:t>
      </w:r>
      <w:r w:rsidRPr="003F6447">
        <w:t>.</w:t>
      </w:r>
    </w:p>
    <w:p w14:paraId="2F47F4B0" w14:textId="77777777" w:rsidR="003F6447" w:rsidRPr="003F6447" w:rsidRDefault="003F6447" w:rsidP="003F6447">
      <w:r w:rsidRPr="003F6447">
        <w:t xml:space="preserve">Ces éléments permettent aux investisseurs et aux analystes de comprendre comment les actions de l'entreprise au cours de la période ont influencé la valeur nette de l'entreprise pour ses actionnaires, complétant ainsi les autres états financiers tels que le </w:t>
      </w:r>
      <w:r w:rsidRPr="003F6447">
        <w:rPr>
          <w:b/>
          <w:bCs/>
        </w:rPr>
        <w:t>bilan</w:t>
      </w:r>
      <w:r w:rsidRPr="003F6447">
        <w:t xml:space="preserve"> (Balance </w:t>
      </w:r>
      <w:proofErr w:type="spellStart"/>
      <w:r w:rsidRPr="003F6447">
        <w:t>Sheet</w:t>
      </w:r>
      <w:proofErr w:type="spellEnd"/>
      <w:r w:rsidRPr="003F6447">
        <w:t xml:space="preserve">) et le </w:t>
      </w:r>
      <w:r w:rsidRPr="003F6447">
        <w:rPr>
          <w:b/>
          <w:bCs/>
        </w:rPr>
        <w:t>compte de résultat</w:t>
      </w:r>
      <w:r w:rsidRPr="003F6447">
        <w:t xml:space="preserve"> (</w:t>
      </w:r>
      <w:proofErr w:type="spellStart"/>
      <w:r w:rsidRPr="003F6447">
        <w:t>Income</w:t>
      </w:r>
      <w:proofErr w:type="spellEnd"/>
      <w:r w:rsidRPr="003F6447">
        <w:t xml:space="preserve"> </w:t>
      </w:r>
      <w:proofErr w:type="spellStart"/>
      <w:r w:rsidRPr="003F6447">
        <w:t>Statement</w:t>
      </w:r>
      <w:proofErr w:type="spellEnd"/>
      <w:r w:rsidRPr="003F6447">
        <w:t>).</w:t>
      </w:r>
    </w:p>
    <w:p w14:paraId="7682BD7B" w14:textId="77777777" w:rsidR="003F6447" w:rsidRPr="003F6447" w:rsidRDefault="003F6447" w:rsidP="003F6447">
      <w:pPr>
        <w:rPr>
          <w:lang w:val="en-GB"/>
        </w:rPr>
      </w:pPr>
      <w:proofErr w:type="spellStart"/>
      <w:r w:rsidRPr="003F6447">
        <w:rPr>
          <w:b/>
          <w:bCs/>
          <w:lang w:val="en-GB"/>
        </w:rPr>
        <w:t>Exemple</w:t>
      </w:r>
      <w:proofErr w:type="spellEnd"/>
      <w:r w:rsidRPr="003F6447">
        <w:rPr>
          <w:b/>
          <w:bCs/>
          <w:lang w:val="en-GB"/>
        </w:rPr>
        <w:t xml:space="preserve"> </w:t>
      </w:r>
      <w:proofErr w:type="spellStart"/>
      <w:r w:rsidRPr="003F6447">
        <w:rPr>
          <w:b/>
          <w:bCs/>
          <w:lang w:val="en-GB"/>
        </w:rPr>
        <w:t>simplifié</w:t>
      </w:r>
      <w:proofErr w:type="spellEnd"/>
      <w:r w:rsidRPr="003F6447">
        <w:rPr>
          <w:b/>
          <w:bCs/>
          <w:lang w:val="en-GB"/>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5"/>
        <w:gridCol w:w="1275"/>
      </w:tblGrid>
      <w:tr w:rsidR="003F6447" w:rsidRPr="003F6447" w14:paraId="758BE0F6" w14:textId="77777777" w:rsidTr="003F6447">
        <w:trPr>
          <w:tblHeader/>
          <w:tblCellSpacing w:w="15" w:type="dxa"/>
        </w:trPr>
        <w:tc>
          <w:tcPr>
            <w:tcW w:w="0" w:type="auto"/>
            <w:vAlign w:val="center"/>
            <w:hideMark/>
          </w:tcPr>
          <w:p w14:paraId="10AC04B5" w14:textId="77777777" w:rsidR="003F6447" w:rsidRPr="003F6447" w:rsidRDefault="003F6447" w:rsidP="003F6447">
            <w:pPr>
              <w:rPr>
                <w:b/>
                <w:bCs/>
                <w:lang w:val="en-GB"/>
              </w:rPr>
            </w:pPr>
            <w:proofErr w:type="spellStart"/>
            <w:r w:rsidRPr="003F6447">
              <w:rPr>
                <w:b/>
                <w:bCs/>
                <w:lang w:val="en-GB"/>
              </w:rPr>
              <w:t>Élément</w:t>
            </w:r>
            <w:proofErr w:type="spellEnd"/>
          </w:p>
        </w:tc>
        <w:tc>
          <w:tcPr>
            <w:tcW w:w="0" w:type="auto"/>
            <w:vAlign w:val="center"/>
            <w:hideMark/>
          </w:tcPr>
          <w:p w14:paraId="323D5252" w14:textId="77777777" w:rsidR="003F6447" w:rsidRPr="003F6447" w:rsidRDefault="003F6447" w:rsidP="003F6447">
            <w:pPr>
              <w:rPr>
                <w:b/>
                <w:bCs/>
                <w:lang w:val="en-GB"/>
              </w:rPr>
            </w:pPr>
            <w:proofErr w:type="spellStart"/>
            <w:r w:rsidRPr="003F6447">
              <w:rPr>
                <w:b/>
                <w:bCs/>
                <w:lang w:val="en-GB"/>
              </w:rPr>
              <w:t>Montant</w:t>
            </w:r>
            <w:proofErr w:type="spellEnd"/>
            <w:r w:rsidRPr="003F6447">
              <w:rPr>
                <w:b/>
                <w:bCs/>
                <w:lang w:val="en-GB"/>
              </w:rPr>
              <w:t xml:space="preserve"> (€)</w:t>
            </w:r>
          </w:p>
        </w:tc>
      </w:tr>
      <w:tr w:rsidR="003F6447" w:rsidRPr="003F6447" w14:paraId="2DE39559" w14:textId="77777777" w:rsidTr="003F6447">
        <w:trPr>
          <w:tblCellSpacing w:w="15" w:type="dxa"/>
        </w:trPr>
        <w:tc>
          <w:tcPr>
            <w:tcW w:w="0" w:type="auto"/>
            <w:vAlign w:val="center"/>
            <w:hideMark/>
          </w:tcPr>
          <w:p w14:paraId="12424105" w14:textId="77777777" w:rsidR="003F6447" w:rsidRPr="003F6447" w:rsidRDefault="003F6447" w:rsidP="003F6447">
            <w:pPr>
              <w:rPr>
                <w:lang w:val="en-GB"/>
              </w:rPr>
            </w:pPr>
            <w:r w:rsidRPr="003F6447">
              <w:rPr>
                <w:lang w:val="en-GB"/>
              </w:rPr>
              <w:t>Beginning Equity</w:t>
            </w:r>
          </w:p>
        </w:tc>
        <w:tc>
          <w:tcPr>
            <w:tcW w:w="0" w:type="auto"/>
            <w:vAlign w:val="center"/>
            <w:hideMark/>
          </w:tcPr>
          <w:p w14:paraId="12C515D7" w14:textId="77777777" w:rsidR="003F6447" w:rsidRPr="003F6447" w:rsidRDefault="003F6447" w:rsidP="003F6447">
            <w:pPr>
              <w:rPr>
                <w:lang w:val="en-GB"/>
              </w:rPr>
            </w:pPr>
            <w:r w:rsidRPr="003F6447">
              <w:rPr>
                <w:lang w:val="en-GB"/>
              </w:rPr>
              <w:t>1 000 000</w:t>
            </w:r>
          </w:p>
        </w:tc>
      </w:tr>
      <w:tr w:rsidR="003F6447" w:rsidRPr="003F6447" w14:paraId="5E230A3C" w14:textId="77777777" w:rsidTr="003F6447">
        <w:trPr>
          <w:tblCellSpacing w:w="15" w:type="dxa"/>
        </w:trPr>
        <w:tc>
          <w:tcPr>
            <w:tcW w:w="0" w:type="auto"/>
            <w:vAlign w:val="center"/>
            <w:hideMark/>
          </w:tcPr>
          <w:p w14:paraId="0EE552AC" w14:textId="77777777" w:rsidR="003F6447" w:rsidRPr="003F6447" w:rsidRDefault="003F6447" w:rsidP="003F6447">
            <w:pPr>
              <w:rPr>
                <w:lang w:val="en-GB"/>
              </w:rPr>
            </w:pPr>
            <w:r w:rsidRPr="003F6447">
              <w:rPr>
                <w:lang w:val="en-GB"/>
              </w:rPr>
              <w:t>Net Income</w:t>
            </w:r>
          </w:p>
        </w:tc>
        <w:tc>
          <w:tcPr>
            <w:tcW w:w="0" w:type="auto"/>
            <w:vAlign w:val="center"/>
            <w:hideMark/>
          </w:tcPr>
          <w:p w14:paraId="0EA15413" w14:textId="77777777" w:rsidR="003F6447" w:rsidRPr="003F6447" w:rsidRDefault="003F6447" w:rsidP="003F6447">
            <w:pPr>
              <w:rPr>
                <w:lang w:val="en-GB"/>
              </w:rPr>
            </w:pPr>
            <w:r w:rsidRPr="003F6447">
              <w:rPr>
                <w:lang w:val="en-GB"/>
              </w:rPr>
              <w:t>200 000</w:t>
            </w:r>
          </w:p>
        </w:tc>
      </w:tr>
      <w:tr w:rsidR="003F6447" w:rsidRPr="003F6447" w14:paraId="0F29A4DF" w14:textId="77777777" w:rsidTr="003F6447">
        <w:trPr>
          <w:tblCellSpacing w:w="15" w:type="dxa"/>
        </w:trPr>
        <w:tc>
          <w:tcPr>
            <w:tcW w:w="0" w:type="auto"/>
            <w:vAlign w:val="center"/>
            <w:hideMark/>
          </w:tcPr>
          <w:p w14:paraId="014C7585" w14:textId="77777777" w:rsidR="003F6447" w:rsidRPr="003F6447" w:rsidRDefault="003F6447" w:rsidP="003F6447">
            <w:pPr>
              <w:rPr>
                <w:lang w:val="en-GB"/>
              </w:rPr>
            </w:pPr>
            <w:r w:rsidRPr="003F6447">
              <w:rPr>
                <w:lang w:val="en-GB"/>
              </w:rPr>
              <w:t>Dividends</w:t>
            </w:r>
          </w:p>
        </w:tc>
        <w:tc>
          <w:tcPr>
            <w:tcW w:w="0" w:type="auto"/>
            <w:vAlign w:val="center"/>
            <w:hideMark/>
          </w:tcPr>
          <w:p w14:paraId="6D451AFF" w14:textId="77777777" w:rsidR="003F6447" w:rsidRPr="003F6447" w:rsidRDefault="003F6447" w:rsidP="003F6447">
            <w:pPr>
              <w:rPr>
                <w:lang w:val="en-GB"/>
              </w:rPr>
            </w:pPr>
            <w:r w:rsidRPr="003F6447">
              <w:rPr>
                <w:lang w:val="en-GB"/>
              </w:rPr>
              <w:t>(50 000)</w:t>
            </w:r>
          </w:p>
        </w:tc>
      </w:tr>
      <w:tr w:rsidR="003F6447" w:rsidRPr="003F6447" w14:paraId="12A99838" w14:textId="77777777" w:rsidTr="003F6447">
        <w:trPr>
          <w:tblCellSpacing w:w="15" w:type="dxa"/>
        </w:trPr>
        <w:tc>
          <w:tcPr>
            <w:tcW w:w="0" w:type="auto"/>
            <w:vAlign w:val="center"/>
            <w:hideMark/>
          </w:tcPr>
          <w:p w14:paraId="4BA6C42C" w14:textId="77777777" w:rsidR="003F6447" w:rsidRPr="003F6447" w:rsidRDefault="003F6447" w:rsidP="003F6447">
            <w:pPr>
              <w:rPr>
                <w:lang w:val="en-GB"/>
              </w:rPr>
            </w:pPr>
            <w:r w:rsidRPr="003F6447">
              <w:rPr>
                <w:lang w:val="en-GB"/>
              </w:rPr>
              <w:t>Other Comprehensive Income</w:t>
            </w:r>
          </w:p>
        </w:tc>
        <w:tc>
          <w:tcPr>
            <w:tcW w:w="0" w:type="auto"/>
            <w:vAlign w:val="center"/>
            <w:hideMark/>
          </w:tcPr>
          <w:p w14:paraId="57C0988F" w14:textId="77777777" w:rsidR="003F6447" w:rsidRPr="003F6447" w:rsidRDefault="003F6447" w:rsidP="003F6447">
            <w:pPr>
              <w:rPr>
                <w:lang w:val="en-GB"/>
              </w:rPr>
            </w:pPr>
            <w:r w:rsidRPr="003F6447">
              <w:rPr>
                <w:lang w:val="en-GB"/>
              </w:rPr>
              <w:t>30 000</w:t>
            </w:r>
          </w:p>
        </w:tc>
      </w:tr>
      <w:tr w:rsidR="003F6447" w:rsidRPr="003F6447" w14:paraId="1DFEACA6" w14:textId="77777777" w:rsidTr="003F6447">
        <w:trPr>
          <w:tblCellSpacing w:w="15" w:type="dxa"/>
        </w:trPr>
        <w:tc>
          <w:tcPr>
            <w:tcW w:w="0" w:type="auto"/>
            <w:vAlign w:val="center"/>
            <w:hideMark/>
          </w:tcPr>
          <w:p w14:paraId="0F414FE6" w14:textId="77777777" w:rsidR="003F6447" w:rsidRPr="003F6447" w:rsidRDefault="003F6447" w:rsidP="003F6447">
            <w:pPr>
              <w:rPr>
                <w:lang w:val="en-GB"/>
              </w:rPr>
            </w:pPr>
            <w:r w:rsidRPr="003F6447">
              <w:rPr>
                <w:b/>
                <w:bCs/>
                <w:lang w:val="en-GB"/>
              </w:rPr>
              <w:t>Ending Equity</w:t>
            </w:r>
          </w:p>
        </w:tc>
        <w:tc>
          <w:tcPr>
            <w:tcW w:w="0" w:type="auto"/>
            <w:vAlign w:val="center"/>
            <w:hideMark/>
          </w:tcPr>
          <w:p w14:paraId="57A2DCD5" w14:textId="77777777" w:rsidR="003F6447" w:rsidRPr="003F6447" w:rsidRDefault="003F6447" w:rsidP="003F6447">
            <w:pPr>
              <w:rPr>
                <w:lang w:val="en-GB"/>
              </w:rPr>
            </w:pPr>
            <w:r w:rsidRPr="003F6447">
              <w:rPr>
                <w:b/>
                <w:bCs/>
                <w:lang w:val="en-GB"/>
              </w:rPr>
              <w:t>1 180 000</w:t>
            </w:r>
          </w:p>
        </w:tc>
      </w:tr>
    </w:tbl>
    <w:p w14:paraId="4E322AE7" w14:textId="77777777" w:rsidR="003F6447" w:rsidRPr="003F6447" w:rsidRDefault="003F6447" w:rsidP="003F6447">
      <w:r w:rsidRPr="003F6447">
        <w:t xml:space="preserve">Dans cet exemple, les </w:t>
      </w:r>
      <w:r w:rsidRPr="003F6447">
        <w:rPr>
          <w:b/>
          <w:bCs/>
        </w:rPr>
        <w:t>capitaux propres</w:t>
      </w:r>
      <w:r w:rsidRPr="003F6447">
        <w:t xml:space="preserve"> de l'entreprise ont augmenté de 180 000 € au cours de l'année, reflétant le </w:t>
      </w:r>
      <w:r w:rsidRPr="003F6447">
        <w:rPr>
          <w:b/>
          <w:bCs/>
        </w:rPr>
        <w:t>bénéfice net</w:t>
      </w:r>
      <w:r w:rsidRPr="003F6447">
        <w:t xml:space="preserve"> positif, les </w:t>
      </w:r>
      <w:r w:rsidRPr="003F6447">
        <w:rPr>
          <w:b/>
          <w:bCs/>
        </w:rPr>
        <w:t>dividendes</w:t>
      </w:r>
      <w:r w:rsidRPr="003F6447">
        <w:t xml:space="preserve"> distribués et d'autres ajustements.</w:t>
      </w:r>
    </w:p>
    <w:p w14:paraId="75A4CE82" w14:textId="77777777" w:rsidR="003F6447" w:rsidRPr="003F6447" w:rsidRDefault="003F6447" w:rsidP="003F6447">
      <w:r w:rsidRPr="003F6447">
        <w:t xml:space="preserve">En résumé, le </w:t>
      </w:r>
      <w:r w:rsidRPr="003F6447">
        <w:rPr>
          <w:b/>
          <w:bCs/>
        </w:rPr>
        <w:t>tableau des variations des capitaux propres</w:t>
      </w:r>
      <w:r w:rsidRPr="003F6447">
        <w:t xml:space="preserve"> offre une perspective détaillée sur les facteurs influençant la valeur nette de l'entreprise pour ses actionnaires, complétant ainsi les autres états financiers tels que le </w:t>
      </w:r>
      <w:r w:rsidRPr="003F6447">
        <w:rPr>
          <w:b/>
          <w:bCs/>
        </w:rPr>
        <w:t>bilan</w:t>
      </w:r>
      <w:r w:rsidRPr="003F6447">
        <w:t xml:space="preserve"> et le </w:t>
      </w:r>
      <w:r w:rsidRPr="003F6447">
        <w:rPr>
          <w:b/>
          <w:bCs/>
        </w:rPr>
        <w:t>compte de résultat</w:t>
      </w:r>
      <w:r w:rsidRPr="003F6447">
        <w:t>.</w:t>
      </w:r>
    </w:p>
    <w:p w14:paraId="7DDC7CA6" w14:textId="77777777" w:rsidR="00F2511A" w:rsidRPr="00F2511A" w:rsidRDefault="00F2511A" w:rsidP="00F2511A"/>
    <w:p w14:paraId="0307E690" w14:textId="77777777" w:rsidR="00F2511A" w:rsidRPr="00F2511A" w:rsidRDefault="00F2511A" w:rsidP="00F2511A"/>
    <w:p w14:paraId="71647728" w14:textId="77777777" w:rsidR="00255605" w:rsidRPr="00255605" w:rsidRDefault="00255605" w:rsidP="00104DE3"/>
    <w:sectPr w:rsidR="00255605" w:rsidRPr="002556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3991"/>
    <w:multiLevelType w:val="multilevel"/>
    <w:tmpl w:val="5404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30AD8"/>
    <w:multiLevelType w:val="multilevel"/>
    <w:tmpl w:val="6424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03029"/>
    <w:multiLevelType w:val="multilevel"/>
    <w:tmpl w:val="B1580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27A60"/>
    <w:multiLevelType w:val="multilevel"/>
    <w:tmpl w:val="2A987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700AF"/>
    <w:multiLevelType w:val="multilevel"/>
    <w:tmpl w:val="C0FE8400"/>
    <w:lvl w:ilvl="0">
      <w:start w:val="1"/>
      <w:numFmt w:val="decimal"/>
      <w:lvlText w:val="%1."/>
      <w:lvlJc w:val="left"/>
      <w:pPr>
        <w:ind w:left="360" w:hanging="360"/>
      </w:pPr>
      <w:rPr>
        <w:rFonts w:hint="default"/>
        <w:b/>
        <w:bCs/>
      </w:rPr>
    </w:lvl>
    <w:lvl w:ilvl="1">
      <w:start w:val="1"/>
      <w:numFmt w:val="decimal"/>
      <w:pStyle w:val="Titre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A92355"/>
    <w:multiLevelType w:val="multilevel"/>
    <w:tmpl w:val="78745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1715CE"/>
    <w:multiLevelType w:val="multilevel"/>
    <w:tmpl w:val="6EBA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A3C3F"/>
    <w:multiLevelType w:val="multilevel"/>
    <w:tmpl w:val="1330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801DC"/>
    <w:multiLevelType w:val="hybridMultilevel"/>
    <w:tmpl w:val="61CC24CC"/>
    <w:lvl w:ilvl="0" w:tplc="0DCEDB36">
      <w:start w:val="1"/>
      <w:numFmt w:val="decimal"/>
      <w:pStyle w:val="Titre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A54DB2"/>
    <w:multiLevelType w:val="multilevel"/>
    <w:tmpl w:val="FCB40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D6E65"/>
    <w:multiLevelType w:val="multilevel"/>
    <w:tmpl w:val="C9D47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72FE4"/>
    <w:multiLevelType w:val="multilevel"/>
    <w:tmpl w:val="61CC24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3195142"/>
    <w:multiLevelType w:val="multilevel"/>
    <w:tmpl w:val="0B76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E06A3"/>
    <w:multiLevelType w:val="multilevel"/>
    <w:tmpl w:val="9A9E3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C70EE"/>
    <w:multiLevelType w:val="multilevel"/>
    <w:tmpl w:val="5D20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3D42AD"/>
    <w:multiLevelType w:val="multilevel"/>
    <w:tmpl w:val="6DC2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9328D9"/>
    <w:multiLevelType w:val="multilevel"/>
    <w:tmpl w:val="8B36F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77C8F"/>
    <w:multiLevelType w:val="multilevel"/>
    <w:tmpl w:val="9270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23DC7"/>
    <w:multiLevelType w:val="hybridMultilevel"/>
    <w:tmpl w:val="24DC9002"/>
    <w:lvl w:ilvl="0" w:tplc="06181F4A">
      <w:start w:val="1"/>
      <w:numFmt w:val="decimal"/>
      <w:pStyle w:val="Titre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C22151"/>
    <w:multiLevelType w:val="multilevel"/>
    <w:tmpl w:val="8BB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340CFC"/>
    <w:multiLevelType w:val="multilevel"/>
    <w:tmpl w:val="AAE6A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74681E"/>
    <w:multiLevelType w:val="multilevel"/>
    <w:tmpl w:val="2656F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821244">
    <w:abstractNumId w:val="16"/>
  </w:num>
  <w:num w:numId="2" w16cid:durableId="1105080489">
    <w:abstractNumId w:val="9"/>
  </w:num>
  <w:num w:numId="3" w16cid:durableId="1701054039">
    <w:abstractNumId w:val="2"/>
  </w:num>
  <w:num w:numId="4" w16cid:durableId="866720820">
    <w:abstractNumId w:val="8"/>
  </w:num>
  <w:num w:numId="5" w16cid:durableId="858156399">
    <w:abstractNumId w:val="4"/>
  </w:num>
  <w:num w:numId="6" w16cid:durableId="378015065">
    <w:abstractNumId w:val="3"/>
  </w:num>
  <w:num w:numId="7" w16cid:durableId="414087218">
    <w:abstractNumId w:val="12"/>
  </w:num>
  <w:num w:numId="8" w16cid:durableId="4553570">
    <w:abstractNumId w:val="10"/>
  </w:num>
  <w:num w:numId="9" w16cid:durableId="1744063428">
    <w:abstractNumId w:val="13"/>
  </w:num>
  <w:num w:numId="10" w16cid:durableId="218706286">
    <w:abstractNumId w:val="19"/>
  </w:num>
  <w:num w:numId="11" w16cid:durableId="930361121">
    <w:abstractNumId w:val="15"/>
  </w:num>
  <w:num w:numId="12" w16cid:durableId="1898660320">
    <w:abstractNumId w:val="18"/>
  </w:num>
  <w:num w:numId="13" w16cid:durableId="715590419">
    <w:abstractNumId w:val="20"/>
  </w:num>
  <w:num w:numId="14" w16cid:durableId="1205555682">
    <w:abstractNumId w:val="1"/>
  </w:num>
  <w:num w:numId="15" w16cid:durableId="390886988">
    <w:abstractNumId w:val="17"/>
  </w:num>
  <w:num w:numId="16" w16cid:durableId="1833251781">
    <w:abstractNumId w:val="14"/>
  </w:num>
  <w:num w:numId="17" w16cid:durableId="413939376">
    <w:abstractNumId w:val="11"/>
  </w:num>
  <w:num w:numId="18" w16cid:durableId="1997220104">
    <w:abstractNumId w:val="7"/>
  </w:num>
  <w:num w:numId="19" w16cid:durableId="2023240786">
    <w:abstractNumId w:val="5"/>
  </w:num>
  <w:num w:numId="20" w16cid:durableId="523176509">
    <w:abstractNumId w:val="6"/>
  </w:num>
  <w:num w:numId="21" w16cid:durableId="1675301780">
    <w:abstractNumId w:val="21"/>
  </w:num>
  <w:num w:numId="22" w16cid:durableId="185213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621"/>
    <w:rsid w:val="00102DE9"/>
    <w:rsid w:val="00104DE3"/>
    <w:rsid w:val="001436C4"/>
    <w:rsid w:val="00255605"/>
    <w:rsid w:val="003F6447"/>
    <w:rsid w:val="006F4DFA"/>
    <w:rsid w:val="008B2621"/>
    <w:rsid w:val="009E698E"/>
    <w:rsid w:val="00B55B11"/>
    <w:rsid w:val="00B75CC1"/>
    <w:rsid w:val="00BD1916"/>
    <w:rsid w:val="00E0083F"/>
    <w:rsid w:val="00E50BA0"/>
    <w:rsid w:val="00E73347"/>
    <w:rsid w:val="00EF5529"/>
    <w:rsid w:val="00F2511A"/>
    <w:rsid w:val="00FF653D"/>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5E9E"/>
  <w15:chartTrackingRefBased/>
  <w15:docId w15:val="{40929047-E3FA-44E9-94BA-33B37D55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M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347"/>
    <w:pPr>
      <w:spacing w:after="0" w:line="240" w:lineRule="auto"/>
      <w:jc w:val="both"/>
    </w:pPr>
    <w:rPr>
      <w:lang w:val="fr-FR"/>
    </w:rPr>
  </w:style>
  <w:style w:type="paragraph" w:styleId="Titre1">
    <w:name w:val="heading 1"/>
    <w:basedOn w:val="Normal"/>
    <w:next w:val="Normal"/>
    <w:link w:val="Titre1Car"/>
    <w:uiPriority w:val="9"/>
    <w:qFormat/>
    <w:rsid w:val="00E50BA0"/>
    <w:pPr>
      <w:keepNext/>
      <w:keepLines/>
      <w:numPr>
        <w:numId w:val="4"/>
      </w:numPr>
      <w:spacing w:before="360" w:after="80"/>
      <w:ind w:left="284"/>
      <w:outlineLvl w:val="0"/>
    </w:pPr>
    <w:rPr>
      <w:rFonts w:asciiTheme="majorHAnsi" w:eastAsiaTheme="majorEastAsia" w:hAnsiTheme="majorHAnsi" w:cstheme="majorBidi"/>
      <w:b/>
      <w:sz w:val="32"/>
      <w:szCs w:val="40"/>
    </w:rPr>
  </w:style>
  <w:style w:type="paragraph" w:styleId="Titre2">
    <w:name w:val="heading 2"/>
    <w:basedOn w:val="Normal"/>
    <w:next w:val="Normal"/>
    <w:link w:val="Titre2Car"/>
    <w:uiPriority w:val="9"/>
    <w:unhideWhenUsed/>
    <w:qFormat/>
    <w:rsid w:val="00EF5529"/>
    <w:pPr>
      <w:keepNext/>
      <w:keepLines/>
      <w:numPr>
        <w:ilvl w:val="1"/>
        <w:numId w:val="5"/>
      </w:numPr>
      <w:spacing w:before="160" w:after="80"/>
      <w:ind w:left="426"/>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B55B11"/>
    <w:pPr>
      <w:keepNext/>
      <w:keepLines/>
      <w:numPr>
        <w:numId w:val="12"/>
      </w:numPr>
      <w:spacing w:before="160" w:after="80"/>
      <w:ind w:left="284"/>
      <w:outlineLvl w:val="2"/>
    </w:pPr>
    <w:rPr>
      <w:rFonts w:eastAsiaTheme="majorEastAsia" w:cstheme="majorBidi"/>
      <w:b/>
      <w:i/>
      <w:szCs w:val="28"/>
      <w:lang w:val="en-GB"/>
    </w:rPr>
  </w:style>
  <w:style w:type="paragraph" w:styleId="Titre4">
    <w:name w:val="heading 4"/>
    <w:basedOn w:val="Normal"/>
    <w:next w:val="Normal"/>
    <w:link w:val="Titre4Car"/>
    <w:uiPriority w:val="9"/>
    <w:semiHidden/>
    <w:unhideWhenUsed/>
    <w:qFormat/>
    <w:rsid w:val="008B262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B262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B262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B262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B262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B2621"/>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0BA0"/>
    <w:rPr>
      <w:rFonts w:asciiTheme="majorHAnsi" w:eastAsiaTheme="majorEastAsia" w:hAnsiTheme="majorHAnsi" w:cstheme="majorBidi"/>
      <w:b/>
      <w:sz w:val="32"/>
      <w:szCs w:val="40"/>
    </w:rPr>
  </w:style>
  <w:style w:type="character" w:customStyle="1" w:styleId="Titre2Car">
    <w:name w:val="Titre 2 Car"/>
    <w:basedOn w:val="Policepardfaut"/>
    <w:link w:val="Titre2"/>
    <w:uiPriority w:val="9"/>
    <w:rsid w:val="00EF5529"/>
    <w:rPr>
      <w:rFonts w:asciiTheme="majorHAnsi" w:eastAsiaTheme="majorEastAsia" w:hAnsiTheme="majorHAnsi" w:cstheme="majorBidi"/>
      <w:b/>
      <w:sz w:val="26"/>
      <w:szCs w:val="26"/>
      <w:lang w:val="fr-FR"/>
    </w:rPr>
  </w:style>
  <w:style w:type="character" w:customStyle="1" w:styleId="Titre3Car">
    <w:name w:val="Titre 3 Car"/>
    <w:basedOn w:val="Policepardfaut"/>
    <w:link w:val="Titre3"/>
    <w:uiPriority w:val="9"/>
    <w:rsid w:val="00B55B11"/>
    <w:rPr>
      <w:rFonts w:eastAsiaTheme="majorEastAsia" w:cstheme="majorBidi"/>
      <w:b/>
      <w:i/>
      <w:szCs w:val="28"/>
      <w:lang w:val="en-GB"/>
    </w:rPr>
  </w:style>
  <w:style w:type="character" w:customStyle="1" w:styleId="Titre4Car">
    <w:name w:val="Titre 4 Car"/>
    <w:basedOn w:val="Policepardfaut"/>
    <w:link w:val="Titre4"/>
    <w:uiPriority w:val="9"/>
    <w:semiHidden/>
    <w:rsid w:val="008B262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B262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B262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B262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B262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B2621"/>
    <w:rPr>
      <w:rFonts w:eastAsiaTheme="majorEastAsia" w:cstheme="majorBidi"/>
      <w:color w:val="272727" w:themeColor="text1" w:themeTint="D8"/>
    </w:rPr>
  </w:style>
  <w:style w:type="paragraph" w:styleId="Titre">
    <w:name w:val="Title"/>
    <w:basedOn w:val="Normal"/>
    <w:next w:val="Normal"/>
    <w:link w:val="TitreCar"/>
    <w:uiPriority w:val="10"/>
    <w:qFormat/>
    <w:rsid w:val="00E73347"/>
    <w:pPr>
      <w:spacing w:after="80"/>
      <w:contextualSpacing/>
      <w:jc w:val="center"/>
    </w:pPr>
    <w:rPr>
      <w:rFonts w:asciiTheme="majorHAnsi" w:eastAsiaTheme="majorEastAsia" w:hAnsiTheme="majorHAnsi" w:cstheme="majorBidi"/>
      <w:spacing w:val="-10"/>
      <w:kern w:val="28"/>
      <w:sz w:val="40"/>
      <w:szCs w:val="40"/>
    </w:rPr>
  </w:style>
  <w:style w:type="character" w:customStyle="1" w:styleId="TitreCar">
    <w:name w:val="Titre Car"/>
    <w:basedOn w:val="Policepardfaut"/>
    <w:link w:val="Titre"/>
    <w:uiPriority w:val="10"/>
    <w:rsid w:val="00E73347"/>
    <w:rPr>
      <w:rFonts w:asciiTheme="majorHAnsi" w:eastAsiaTheme="majorEastAsia" w:hAnsiTheme="majorHAnsi" w:cstheme="majorBidi"/>
      <w:spacing w:val="-10"/>
      <w:kern w:val="28"/>
      <w:sz w:val="40"/>
      <w:szCs w:val="40"/>
      <w:lang w:val="fr-FR"/>
    </w:rPr>
  </w:style>
  <w:style w:type="paragraph" w:styleId="Sous-titre">
    <w:name w:val="Subtitle"/>
    <w:basedOn w:val="Normal"/>
    <w:next w:val="Normal"/>
    <w:link w:val="Sous-titreCar"/>
    <w:uiPriority w:val="11"/>
    <w:qFormat/>
    <w:rsid w:val="008B262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B262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B2621"/>
    <w:pPr>
      <w:spacing w:before="160"/>
      <w:jc w:val="center"/>
    </w:pPr>
    <w:rPr>
      <w:i/>
      <w:iCs/>
      <w:color w:val="404040" w:themeColor="text1" w:themeTint="BF"/>
    </w:rPr>
  </w:style>
  <w:style w:type="character" w:customStyle="1" w:styleId="CitationCar">
    <w:name w:val="Citation Car"/>
    <w:basedOn w:val="Policepardfaut"/>
    <w:link w:val="Citation"/>
    <w:uiPriority w:val="29"/>
    <w:rsid w:val="008B2621"/>
    <w:rPr>
      <w:i/>
      <w:iCs/>
      <w:color w:val="404040" w:themeColor="text1" w:themeTint="BF"/>
    </w:rPr>
  </w:style>
  <w:style w:type="paragraph" w:styleId="Paragraphedeliste">
    <w:name w:val="List Paragraph"/>
    <w:basedOn w:val="Normal"/>
    <w:uiPriority w:val="34"/>
    <w:qFormat/>
    <w:rsid w:val="008B2621"/>
    <w:pPr>
      <w:ind w:left="720"/>
      <w:contextualSpacing/>
    </w:pPr>
  </w:style>
  <w:style w:type="character" w:styleId="Accentuationintense">
    <w:name w:val="Intense Emphasis"/>
    <w:basedOn w:val="Policepardfaut"/>
    <w:uiPriority w:val="21"/>
    <w:qFormat/>
    <w:rsid w:val="008B2621"/>
    <w:rPr>
      <w:i/>
      <w:iCs/>
      <w:color w:val="2F5496" w:themeColor="accent1" w:themeShade="BF"/>
    </w:rPr>
  </w:style>
  <w:style w:type="paragraph" w:styleId="Citationintense">
    <w:name w:val="Intense Quote"/>
    <w:basedOn w:val="Normal"/>
    <w:next w:val="Normal"/>
    <w:link w:val="CitationintenseCar"/>
    <w:uiPriority w:val="30"/>
    <w:qFormat/>
    <w:rsid w:val="008B26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B2621"/>
    <w:rPr>
      <w:i/>
      <w:iCs/>
      <w:color w:val="2F5496" w:themeColor="accent1" w:themeShade="BF"/>
    </w:rPr>
  </w:style>
  <w:style w:type="character" w:styleId="Rfrenceintense">
    <w:name w:val="Intense Reference"/>
    <w:basedOn w:val="Policepardfaut"/>
    <w:uiPriority w:val="32"/>
    <w:qFormat/>
    <w:rsid w:val="008B2621"/>
    <w:rPr>
      <w:b/>
      <w:bCs/>
      <w:smallCaps/>
      <w:color w:val="2F5496" w:themeColor="accent1" w:themeShade="BF"/>
      <w:spacing w:val="5"/>
    </w:rPr>
  </w:style>
  <w:style w:type="character" w:styleId="Lienhypertexte">
    <w:name w:val="Hyperlink"/>
    <w:basedOn w:val="Policepardfaut"/>
    <w:uiPriority w:val="99"/>
    <w:unhideWhenUsed/>
    <w:rsid w:val="00255605"/>
    <w:rPr>
      <w:color w:val="0563C1" w:themeColor="hyperlink"/>
      <w:u w:val="single"/>
    </w:rPr>
  </w:style>
  <w:style w:type="character" w:styleId="Mentionnonrsolue">
    <w:name w:val="Unresolved Mention"/>
    <w:basedOn w:val="Policepardfaut"/>
    <w:uiPriority w:val="99"/>
    <w:semiHidden/>
    <w:unhideWhenUsed/>
    <w:rsid w:val="00255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6931">
      <w:bodyDiv w:val="1"/>
      <w:marLeft w:val="0"/>
      <w:marRight w:val="0"/>
      <w:marTop w:val="0"/>
      <w:marBottom w:val="0"/>
      <w:divBdr>
        <w:top w:val="none" w:sz="0" w:space="0" w:color="auto"/>
        <w:left w:val="none" w:sz="0" w:space="0" w:color="auto"/>
        <w:bottom w:val="none" w:sz="0" w:space="0" w:color="auto"/>
        <w:right w:val="none" w:sz="0" w:space="0" w:color="auto"/>
      </w:divBdr>
    </w:div>
    <w:div w:id="137235018">
      <w:bodyDiv w:val="1"/>
      <w:marLeft w:val="0"/>
      <w:marRight w:val="0"/>
      <w:marTop w:val="0"/>
      <w:marBottom w:val="0"/>
      <w:divBdr>
        <w:top w:val="none" w:sz="0" w:space="0" w:color="auto"/>
        <w:left w:val="none" w:sz="0" w:space="0" w:color="auto"/>
        <w:bottom w:val="none" w:sz="0" w:space="0" w:color="auto"/>
        <w:right w:val="none" w:sz="0" w:space="0" w:color="auto"/>
      </w:divBdr>
    </w:div>
    <w:div w:id="229464066">
      <w:bodyDiv w:val="1"/>
      <w:marLeft w:val="0"/>
      <w:marRight w:val="0"/>
      <w:marTop w:val="0"/>
      <w:marBottom w:val="0"/>
      <w:divBdr>
        <w:top w:val="none" w:sz="0" w:space="0" w:color="auto"/>
        <w:left w:val="none" w:sz="0" w:space="0" w:color="auto"/>
        <w:bottom w:val="none" w:sz="0" w:space="0" w:color="auto"/>
        <w:right w:val="none" w:sz="0" w:space="0" w:color="auto"/>
      </w:divBdr>
      <w:divsChild>
        <w:div w:id="1970241305">
          <w:marLeft w:val="0"/>
          <w:marRight w:val="0"/>
          <w:marTop w:val="0"/>
          <w:marBottom w:val="0"/>
          <w:divBdr>
            <w:top w:val="none" w:sz="0" w:space="0" w:color="auto"/>
            <w:left w:val="none" w:sz="0" w:space="0" w:color="auto"/>
            <w:bottom w:val="none" w:sz="0" w:space="0" w:color="auto"/>
            <w:right w:val="none" w:sz="0" w:space="0" w:color="auto"/>
          </w:divBdr>
        </w:div>
      </w:divsChild>
    </w:div>
    <w:div w:id="318652072">
      <w:bodyDiv w:val="1"/>
      <w:marLeft w:val="0"/>
      <w:marRight w:val="0"/>
      <w:marTop w:val="0"/>
      <w:marBottom w:val="0"/>
      <w:divBdr>
        <w:top w:val="none" w:sz="0" w:space="0" w:color="auto"/>
        <w:left w:val="none" w:sz="0" w:space="0" w:color="auto"/>
        <w:bottom w:val="none" w:sz="0" w:space="0" w:color="auto"/>
        <w:right w:val="none" w:sz="0" w:space="0" w:color="auto"/>
      </w:divBdr>
    </w:div>
    <w:div w:id="334653721">
      <w:bodyDiv w:val="1"/>
      <w:marLeft w:val="0"/>
      <w:marRight w:val="0"/>
      <w:marTop w:val="0"/>
      <w:marBottom w:val="0"/>
      <w:divBdr>
        <w:top w:val="none" w:sz="0" w:space="0" w:color="auto"/>
        <w:left w:val="none" w:sz="0" w:space="0" w:color="auto"/>
        <w:bottom w:val="none" w:sz="0" w:space="0" w:color="auto"/>
        <w:right w:val="none" w:sz="0" w:space="0" w:color="auto"/>
      </w:divBdr>
    </w:div>
    <w:div w:id="383604504">
      <w:bodyDiv w:val="1"/>
      <w:marLeft w:val="0"/>
      <w:marRight w:val="0"/>
      <w:marTop w:val="0"/>
      <w:marBottom w:val="0"/>
      <w:divBdr>
        <w:top w:val="none" w:sz="0" w:space="0" w:color="auto"/>
        <w:left w:val="none" w:sz="0" w:space="0" w:color="auto"/>
        <w:bottom w:val="none" w:sz="0" w:space="0" w:color="auto"/>
        <w:right w:val="none" w:sz="0" w:space="0" w:color="auto"/>
      </w:divBdr>
    </w:div>
    <w:div w:id="522481968">
      <w:bodyDiv w:val="1"/>
      <w:marLeft w:val="0"/>
      <w:marRight w:val="0"/>
      <w:marTop w:val="0"/>
      <w:marBottom w:val="0"/>
      <w:divBdr>
        <w:top w:val="none" w:sz="0" w:space="0" w:color="auto"/>
        <w:left w:val="none" w:sz="0" w:space="0" w:color="auto"/>
        <w:bottom w:val="none" w:sz="0" w:space="0" w:color="auto"/>
        <w:right w:val="none" w:sz="0" w:space="0" w:color="auto"/>
      </w:divBdr>
    </w:div>
    <w:div w:id="560289830">
      <w:bodyDiv w:val="1"/>
      <w:marLeft w:val="0"/>
      <w:marRight w:val="0"/>
      <w:marTop w:val="0"/>
      <w:marBottom w:val="0"/>
      <w:divBdr>
        <w:top w:val="none" w:sz="0" w:space="0" w:color="auto"/>
        <w:left w:val="none" w:sz="0" w:space="0" w:color="auto"/>
        <w:bottom w:val="none" w:sz="0" w:space="0" w:color="auto"/>
        <w:right w:val="none" w:sz="0" w:space="0" w:color="auto"/>
      </w:divBdr>
      <w:divsChild>
        <w:div w:id="1258903154">
          <w:marLeft w:val="0"/>
          <w:marRight w:val="0"/>
          <w:marTop w:val="0"/>
          <w:marBottom w:val="0"/>
          <w:divBdr>
            <w:top w:val="none" w:sz="0" w:space="0" w:color="auto"/>
            <w:left w:val="none" w:sz="0" w:space="0" w:color="auto"/>
            <w:bottom w:val="none" w:sz="0" w:space="0" w:color="auto"/>
            <w:right w:val="none" w:sz="0" w:space="0" w:color="auto"/>
          </w:divBdr>
        </w:div>
        <w:div w:id="138351294">
          <w:marLeft w:val="0"/>
          <w:marRight w:val="0"/>
          <w:marTop w:val="0"/>
          <w:marBottom w:val="0"/>
          <w:divBdr>
            <w:top w:val="none" w:sz="0" w:space="0" w:color="auto"/>
            <w:left w:val="none" w:sz="0" w:space="0" w:color="auto"/>
            <w:bottom w:val="none" w:sz="0" w:space="0" w:color="auto"/>
            <w:right w:val="none" w:sz="0" w:space="0" w:color="auto"/>
          </w:divBdr>
        </w:div>
        <w:div w:id="364797162">
          <w:marLeft w:val="0"/>
          <w:marRight w:val="0"/>
          <w:marTop w:val="0"/>
          <w:marBottom w:val="0"/>
          <w:divBdr>
            <w:top w:val="none" w:sz="0" w:space="0" w:color="auto"/>
            <w:left w:val="none" w:sz="0" w:space="0" w:color="auto"/>
            <w:bottom w:val="none" w:sz="0" w:space="0" w:color="auto"/>
            <w:right w:val="none" w:sz="0" w:space="0" w:color="auto"/>
          </w:divBdr>
        </w:div>
      </w:divsChild>
    </w:div>
    <w:div w:id="596138828">
      <w:bodyDiv w:val="1"/>
      <w:marLeft w:val="0"/>
      <w:marRight w:val="0"/>
      <w:marTop w:val="0"/>
      <w:marBottom w:val="0"/>
      <w:divBdr>
        <w:top w:val="none" w:sz="0" w:space="0" w:color="auto"/>
        <w:left w:val="none" w:sz="0" w:space="0" w:color="auto"/>
        <w:bottom w:val="none" w:sz="0" w:space="0" w:color="auto"/>
        <w:right w:val="none" w:sz="0" w:space="0" w:color="auto"/>
      </w:divBdr>
    </w:div>
    <w:div w:id="937561786">
      <w:bodyDiv w:val="1"/>
      <w:marLeft w:val="0"/>
      <w:marRight w:val="0"/>
      <w:marTop w:val="0"/>
      <w:marBottom w:val="0"/>
      <w:divBdr>
        <w:top w:val="none" w:sz="0" w:space="0" w:color="auto"/>
        <w:left w:val="none" w:sz="0" w:space="0" w:color="auto"/>
        <w:bottom w:val="none" w:sz="0" w:space="0" w:color="auto"/>
        <w:right w:val="none" w:sz="0" w:space="0" w:color="auto"/>
      </w:divBdr>
    </w:div>
    <w:div w:id="944775823">
      <w:bodyDiv w:val="1"/>
      <w:marLeft w:val="0"/>
      <w:marRight w:val="0"/>
      <w:marTop w:val="0"/>
      <w:marBottom w:val="0"/>
      <w:divBdr>
        <w:top w:val="none" w:sz="0" w:space="0" w:color="auto"/>
        <w:left w:val="none" w:sz="0" w:space="0" w:color="auto"/>
        <w:bottom w:val="none" w:sz="0" w:space="0" w:color="auto"/>
        <w:right w:val="none" w:sz="0" w:space="0" w:color="auto"/>
      </w:divBdr>
      <w:divsChild>
        <w:div w:id="1345127799">
          <w:marLeft w:val="0"/>
          <w:marRight w:val="0"/>
          <w:marTop w:val="0"/>
          <w:marBottom w:val="0"/>
          <w:divBdr>
            <w:top w:val="none" w:sz="0" w:space="0" w:color="auto"/>
            <w:left w:val="none" w:sz="0" w:space="0" w:color="auto"/>
            <w:bottom w:val="none" w:sz="0" w:space="0" w:color="auto"/>
            <w:right w:val="none" w:sz="0" w:space="0" w:color="auto"/>
          </w:divBdr>
          <w:divsChild>
            <w:div w:id="1857307238">
              <w:marLeft w:val="0"/>
              <w:marRight w:val="0"/>
              <w:marTop w:val="0"/>
              <w:marBottom w:val="0"/>
              <w:divBdr>
                <w:top w:val="none" w:sz="0" w:space="0" w:color="auto"/>
                <w:left w:val="none" w:sz="0" w:space="0" w:color="auto"/>
                <w:bottom w:val="none" w:sz="0" w:space="0" w:color="auto"/>
                <w:right w:val="none" w:sz="0" w:space="0" w:color="auto"/>
              </w:divBdr>
              <w:divsChild>
                <w:div w:id="1964649061">
                  <w:marLeft w:val="0"/>
                  <w:marRight w:val="0"/>
                  <w:marTop w:val="0"/>
                  <w:marBottom w:val="0"/>
                  <w:divBdr>
                    <w:top w:val="none" w:sz="0" w:space="0" w:color="auto"/>
                    <w:left w:val="none" w:sz="0" w:space="0" w:color="auto"/>
                    <w:bottom w:val="none" w:sz="0" w:space="0" w:color="auto"/>
                    <w:right w:val="none" w:sz="0" w:space="0" w:color="auto"/>
                  </w:divBdr>
                  <w:divsChild>
                    <w:div w:id="643393379">
                      <w:marLeft w:val="0"/>
                      <w:marRight w:val="0"/>
                      <w:marTop w:val="0"/>
                      <w:marBottom w:val="0"/>
                      <w:divBdr>
                        <w:top w:val="none" w:sz="0" w:space="0" w:color="auto"/>
                        <w:left w:val="none" w:sz="0" w:space="0" w:color="auto"/>
                        <w:bottom w:val="none" w:sz="0" w:space="0" w:color="auto"/>
                        <w:right w:val="none" w:sz="0" w:space="0" w:color="auto"/>
                      </w:divBdr>
                      <w:divsChild>
                        <w:div w:id="40985121">
                          <w:marLeft w:val="0"/>
                          <w:marRight w:val="0"/>
                          <w:marTop w:val="0"/>
                          <w:marBottom w:val="0"/>
                          <w:divBdr>
                            <w:top w:val="none" w:sz="0" w:space="0" w:color="auto"/>
                            <w:left w:val="none" w:sz="0" w:space="0" w:color="auto"/>
                            <w:bottom w:val="none" w:sz="0" w:space="0" w:color="auto"/>
                            <w:right w:val="none" w:sz="0" w:space="0" w:color="auto"/>
                          </w:divBdr>
                          <w:divsChild>
                            <w:div w:id="910507629">
                              <w:marLeft w:val="0"/>
                              <w:marRight w:val="0"/>
                              <w:marTop w:val="0"/>
                              <w:marBottom w:val="0"/>
                              <w:divBdr>
                                <w:top w:val="none" w:sz="0" w:space="0" w:color="auto"/>
                                <w:left w:val="none" w:sz="0" w:space="0" w:color="auto"/>
                                <w:bottom w:val="none" w:sz="0" w:space="0" w:color="auto"/>
                                <w:right w:val="none" w:sz="0" w:space="0" w:color="auto"/>
                              </w:divBdr>
                              <w:divsChild>
                                <w:div w:id="170024107">
                                  <w:marLeft w:val="0"/>
                                  <w:marRight w:val="0"/>
                                  <w:marTop w:val="0"/>
                                  <w:marBottom w:val="0"/>
                                  <w:divBdr>
                                    <w:top w:val="none" w:sz="0" w:space="0" w:color="auto"/>
                                    <w:left w:val="none" w:sz="0" w:space="0" w:color="auto"/>
                                    <w:bottom w:val="none" w:sz="0" w:space="0" w:color="auto"/>
                                    <w:right w:val="none" w:sz="0" w:space="0" w:color="auto"/>
                                  </w:divBdr>
                                  <w:divsChild>
                                    <w:div w:id="814763998">
                                      <w:marLeft w:val="0"/>
                                      <w:marRight w:val="0"/>
                                      <w:marTop w:val="0"/>
                                      <w:marBottom w:val="0"/>
                                      <w:divBdr>
                                        <w:top w:val="none" w:sz="0" w:space="0" w:color="auto"/>
                                        <w:left w:val="none" w:sz="0" w:space="0" w:color="auto"/>
                                        <w:bottom w:val="none" w:sz="0" w:space="0" w:color="auto"/>
                                        <w:right w:val="none" w:sz="0" w:space="0" w:color="auto"/>
                                      </w:divBdr>
                                      <w:divsChild>
                                        <w:div w:id="555357223">
                                          <w:marLeft w:val="0"/>
                                          <w:marRight w:val="0"/>
                                          <w:marTop w:val="0"/>
                                          <w:marBottom w:val="0"/>
                                          <w:divBdr>
                                            <w:top w:val="none" w:sz="0" w:space="0" w:color="auto"/>
                                            <w:left w:val="none" w:sz="0" w:space="0" w:color="auto"/>
                                            <w:bottom w:val="none" w:sz="0" w:space="0" w:color="auto"/>
                                            <w:right w:val="none" w:sz="0" w:space="0" w:color="auto"/>
                                          </w:divBdr>
                                          <w:divsChild>
                                            <w:div w:id="18316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282098">
          <w:marLeft w:val="0"/>
          <w:marRight w:val="0"/>
          <w:marTop w:val="0"/>
          <w:marBottom w:val="0"/>
          <w:divBdr>
            <w:top w:val="none" w:sz="0" w:space="0" w:color="auto"/>
            <w:left w:val="none" w:sz="0" w:space="0" w:color="auto"/>
            <w:bottom w:val="none" w:sz="0" w:space="0" w:color="auto"/>
            <w:right w:val="none" w:sz="0" w:space="0" w:color="auto"/>
          </w:divBdr>
          <w:divsChild>
            <w:div w:id="600338499">
              <w:marLeft w:val="0"/>
              <w:marRight w:val="0"/>
              <w:marTop w:val="0"/>
              <w:marBottom w:val="0"/>
              <w:divBdr>
                <w:top w:val="none" w:sz="0" w:space="0" w:color="auto"/>
                <w:left w:val="none" w:sz="0" w:space="0" w:color="auto"/>
                <w:bottom w:val="none" w:sz="0" w:space="0" w:color="auto"/>
                <w:right w:val="none" w:sz="0" w:space="0" w:color="auto"/>
              </w:divBdr>
              <w:divsChild>
                <w:div w:id="1415668433">
                  <w:marLeft w:val="0"/>
                  <w:marRight w:val="0"/>
                  <w:marTop w:val="0"/>
                  <w:marBottom w:val="0"/>
                  <w:divBdr>
                    <w:top w:val="none" w:sz="0" w:space="0" w:color="auto"/>
                    <w:left w:val="none" w:sz="0" w:space="0" w:color="auto"/>
                    <w:bottom w:val="none" w:sz="0" w:space="0" w:color="auto"/>
                    <w:right w:val="none" w:sz="0" w:space="0" w:color="auto"/>
                  </w:divBdr>
                  <w:divsChild>
                    <w:div w:id="1192454233">
                      <w:marLeft w:val="0"/>
                      <w:marRight w:val="0"/>
                      <w:marTop w:val="0"/>
                      <w:marBottom w:val="0"/>
                      <w:divBdr>
                        <w:top w:val="none" w:sz="0" w:space="0" w:color="auto"/>
                        <w:left w:val="none" w:sz="0" w:space="0" w:color="auto"/>
                        <w:bottom w:val="none" w:sz="0" w:space="0" w:color="auto"/>
                        <w:right w:val="none" w:sz="0" w:space="0" w:color="auto"/>
                      </w:divBdr>
                      <w:divsChild>
                        <w:div w:id="2127196507">
                          <w:marLeft w:val="0"/>
                          <w:marRight w:val="0"/>
                          <w:marTop w:val="0"/>
                          <w:marBottom w:val="0"/>
                          <w:divBdr>
                            <w:top w:val="none" w:sz="0" w:space="0" w:color="auto"/>
                            <w:left w:val="none" w:sz="0" w:space="0" w:color="auto"/>
                            <w:bottom w:val="none" w:sz="0" w:space="0" w:color="auto"/>
                            <w:right w:val="none" w:sz="0" w:space="0" w:color="auto"/>
                          </w:divBdr>
                          <w:divsChild>
                            <w:div w:id="1546872489">
                              <w:marLeft w:val="0"/>
                              <w:marRight w:val="0"/>
                              <w:marTop w:val="0"/>
                              <w:marBottom w:val="0"/>
                              <w:divBdr>
                                <w:top w:val="none" w:sz="0" w:space="0" w:color="auto"/>
                                <w:left w:val="none" w:sz="0" w:space="0" w:color="auto"/>
                                <w:bottom w:val="none" w:sz="0" w:space="0" w:color="auto"/>
                                <w:right w:val="none" w:sz="0" w:space="0" w:color="auto"/>
                              </w:divBdr>
                              <w:divsChild>
                                <w:div w:id="263003103">
                                  <w:marLeft w:val="0"/>
                                  <w:marRight w:val="0"/>
                                  <w:marTop w:val="0"/>
                                  <w:marBottom w:val="0"/>
                                  <w:divBdr>
                                    <w:top w:val="none" w:sz="0" w:space="0" w:color="auto"/>
                                    <w:left w:val="none" w:sz="0" w:space="0" w:color="auto"/>
                                    <w:bottom w:val="none" w:sz="0" w:space="0" w:color="auto"/>
                                    <w:right w:val="none" w:sz="0" w:space="0" w:color="auto"/>
                                  </w:divBdr>
                                  <w:divsChild>
                                    <w:div w:id="1745949951">
                                      <w:marLeft w:val="0"/>
                                      <w:marRight w:val="0"/>
                                      <w:marTop w:val="0"/>
                                      <w:marBottom w:val="0"/>
                                      <w:divBdr>
                                        <w:top w:val="none" w:sz="0" w:space="0" w:color="auto"/>
                                        <w:left w:val="none" w:sz="0" w:space="0" w:color="auto"/>
                                        <w:bottom w:val="none" w:sz="0" w:space="0" w:color="auto"/>
                                        <w:right w:val="none" w:sz="0" w:space="0" w:color="auto"/>
                                      </w:divBdr>
                                      <w:divsChild>
                                        <w:div w:id="9339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103459">
          <w:marLeft w:val="0"/>
          <w:marRight w:val="0"/>
          <w:marTop w:val="0"/>
          <w:marBottom w:val="0"/>
          <w:divBdr>
            <w:top w:val="none" w:sz="0" w:space="0" w:color="auto"/>
            <w:left w:val="none" w:sz="0" w:space="0" w:color="auto"/>
            <w:bottom w:val="none" w:sz="0" w:space="0" w:color="auto"/>
            <w:right w:val="none" w:sz="0" w:space="0" w:color="auto"/>
          </w:divBdr>
          <w:divsChild>
            <w:div w:id="1272010823">
              <w:marLeft w:val="0"/>
              <w:marRight w:val="0"/>
              <w:marTop w:val="0"/>
              <w:marBottom w:val="0"/>
              <w:divBdr>
                <w:top w:val="none" w:sz="0" w:space="0" w:color="auto"/>
                <w:left w:val="none" w:sz="0" w:space="0" w:color="auto"/>
                <w:bottom w:val="none" w:sz="0" w:space="0" w:color="auto"/>
                <w:right w:val="none" w:sz="0" w:space="0" w:color="auto"/>
              </w:divBdr>
              <w:divsChild>
                <w:div w:id="1424454666">
                  <w:marLeft w:val="0"/>
                  <w:marRight w:val="0"/>
                  <w:marTop w:val="0"/>
                  <w:marBottom w:val="0"/>
                  <w:divBdr>
                    <w:top w:val="none" w:sz="0" w:space="0" w:color="auto"/>
                    <w:left w:val="none" w:sz="0" w:space="0" w:color="auto"/>
                    <w:bottom w:val="none" w:sz="0" w:space="0" w:color="auto"/>
                    <w:right w:val="none" w:sz="0" w:space="0" w:color="auto"/>
                  </w:divBdr>
                  <w:divsChild>
                    <w:div w:id="1657340343">
                      <w:marLeft w:val="0"/>
                      <w:marRight w:val="0"/>
                      <w:marTop w:val="0"/>
                      <w:marBottom w:val="0"/>
                      <w:divBdr>
                        <w:top w:val="none" w:sz="0" w:space="0" w:color="auto"/>
                        <w:left w:val="none" w:sz="0" w:space="0" w:color="auto"/>
                        <w:bottom w:val="none" w:sz="0" w:space="0" w:color="auto"/>
                        <w:right w:val="none" w:sz="0" w:space="0" w:color="auto"/>
                      </w:divBdr>
                      <w:divsChild>
                        <w:div w:id="1113982295">
                          <w:marLeft w:val="0"/>
                          <w:marRight w:val="0"/>
                          <w:marTop w:val="0"/>
                          <w:marBottom w:val="0"/>
                          <w:divBdr>
                            <w:top w:val="none" w:sz="0" w:space="0" w:color="auto"/>
                            <w:left w:val="none" w:sz="0" w:space="0" w:color="auto"/>
                            <w:bottom w:val="none" w:sz="0" w:space="0" w:color="auto"/>
                            <w:right w:val="none" w:sz="0" w:space="0" w:color="auto"/>
                          </w:divBdr>
                          <w:divsChild>
                            <w:div w:id="1205949351">
                              <w:marLeft w:val="0"/>
                              <w:marRight w:val="0"/>
                              <w:marTop w:val="0"/>
                              <w:marBottom w:val="0"/>
                              <w:divBdr>
                                <w:top w:val="none" w:sz="0" w:space="0" w:color="auto"/>
                                <w:left w:val="none" w:sz="0" w:space="0" w:color="auto"/>
                                <w:bottom w:val="none" w:sz="0" w:space="0" w:color="auto"/>
                                <w:right w:val="none" w:sz="0" w:space="0" w:color="auto"/>
                              </w:divBdr>
                              <w:divsChild>
                                <w:div w:id="1275018296">
                                  <w:marLeft w:val="0"/>
                                  <w:marRight w:val="0"/>
                                  <w:marTop w:val="0"/>
                                  <w:marBottom w:val="0"/>
                                  <w:divBdr>
                                    <w:top w:val="none" w:sz="0" w:space="0" w:color="auto"/>
                                    <w:left w:val="none" w:sz="0" w:space="0" w:color="auto"/>
                                    <w:bottom w:val="none" w:sz="0" w:space="0" w:color="auto"/>
                                    <w:right w:val="none" w:sz="0" w:space="0" w:color="auto"/>
                                  </w:divBdr>
                                  <w:divsChild>
                                    <w:div w:id="1811433913">
                                      <w:marLeft w:val="0"/>
                                      <w:marRight w:val="0"/>
                                      <w:marTop w:val="0"/>
                                      <w:marBottom w:val="0"/>
                                      <w:divBdr>
                                        <w:top w:val="none" w:sz="0" w:space="0" w:color="auto"/>
                                        <w:left w:val="none" w:sz="0" w:space="0" w:color="auto"/>
                                        <w:bottom w:val="none" w:sz="0" w:space="0" w:color="auto"/>
                                        <w:right w:val="none" w:sz="0" w:space="0" w:color="auto"/>
                                      </w:divBdr>
                                      <w:divsChild>
                                        <w:div w:id="1979219412">
                                          <w:marLeft w:val="0"/>
                                          <w:marRight w:val="0"/>
                                          <w:marTop w:val="0"/>
                                          <w:marBottom w:val="0"/>
                                          <w:divBdr>
                                            <w:top w:val="none" w:sz="0" w:space="0" w:color="auto"/>
                                            <w:left w:val="none" w:sz="0" w:space="0" w:color="auto"/>
                                            <w:bottom w:val="none" w:sz="0" w:space="0" w:color="auto"/>
                                            <w:right w:val="none" w:sz="0" w:space="0" w:color="auto"/>
                                          </w:divBdr>
                                          <w:divsChild>
                                            <w:div w:id="13080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331370">
          <w:marLeft w:val="0"/>
          <w:marRight w:val="0"/>
          <w:marTop w:val="0"/>
          <w:marBottom w:val="0"/>
          <w:divBdr>
            <w:top w:val="none" w:sz="0" w:space="0" w:color="auto"/>
            <w:left w:val="none" w:sz="0" w:space="0" w:color="auto"/>
            <w:bottom w:val="none" w:sz="0" w:space="0" w:color="auto"/>
            <w:right w:val="none" w:sz="0" w:space="0" w:color="auto"/>
          </w:divBdr>
          <w:divsChild>
            <w:div w:id="993682802">
              <w:marLeft w:val="0"/>
              <w:marRight w:val="0"/>
              <w:marTop w:val="0"/>
              <w:marBottom w:val="0"/>
              <w:divBdr>
                <w:top w:val="none" w:sz="0" w:space="0" w:color="auto"/>
                <w:left w:val="none" w:sz="0" w:space="0" w:color="auto"/>
                <w:bottom w:val="none" w:sz="0" w:space="0" w:color="auto"/>
                <w:right w:val="none" w:sz="0" w:space="0" w:color="auto"/>
              </w:divBdr>
              <w:divsChild>
                <w:div w:id="18430177">
                  <w:marLeft w:val="0"/>
                  <w:marRight w:val="0"/>
                  <w:marTop w:val="0"/>
                  <w:marBottom w:val="0"/>
                  <w:divBdr>
                    <w:top w:val="none" w:sz="0" w:space="0" w:color="auto"/>
                    <w:left w:val="none" w:sz="0" w:space="0" w:color="auto"/>
                    <w:bottom w:val="none" w:sz="0" w:space="0" w:color="auto"/>
                    <w:right w:val="none" w:sz="0" w:space="0" w:color="auto"/>
                  </w:divBdr>
                  <w:divsChild>
                    <w:div w:id="1070732876">
                      <w:marLeft w:val="0"/>
                      <w:marRight w:val="0"/>
                      <w:marTop w:val="0"/>
                      <w:marBottom w:val="0"/>
                      <w:divBdr>
                        <w:top w:val="none" w:sz="0" w:space="0" w:color="auto"/>
                        <w:left w:val="none" w:sz="0" w:space="0" w:color="auto"/>
                        <w:bottom w:val="none" w:sz="0" w:space="0" w:color="auto"/>
                        <w:right w:val="none" w:sz="0" w:space="0" w:color="auto"/>
                      </w:divBdr>
                      <w:divsChild>
                        <w:div w:id="1240140749">
                          <w:marLeft w:val="0"/>
                          <w:marRight w:val="0"/>
                          <w:marTop w:val="0"/>
                          <w:marBottom w:val="0"/>
                          <w:divBdr>
                            <w:top w:val="none" w:sz="0" w:space="0" w:color="auto"/>
                            <w:left w:val="none" w:sz="0" w:space="0" w:color="auto"/>
                            <w:bottom w:val="none" w:sz="0" w:space="0" w:color="auto"/>
                            <w:right w:val="none" w:sz="0" w:space="0" w:color="auto"/>
                          </w:divBdr>
                          <w:divsChild>
                            <w:div w:id="1397514982">
                              <w:marLeft w:val="0"/>
                              <w:marRight w:val="0"/>
                              <w:marTop w:val="0"/>
                              <w:marBottom w:val="0"/>
                              <w:divBdr>
                                <w:top w:val="none" w:sz="0" w:space="0" w:color="auto"/>
                                <w:left w:val="none" w:sz="0" w:space="0" w:color="auto"/>
                                <w:bottom w:val="none" w:sz="0" w:space="0" w:color="auto"/>
                                <w:right w:val="none" w:sz="0" w:space="0" w:color="auto"/>
                              </w:divBdr>
                              <w:divsChild>
                                <w:div w:id="616567438">
                                  <w:marLeft w:val="0"/>
                                  <w:marRight w:val="0"/>
                                  <w:marTop w:val="0"/>
                                  <w:marBottom w:val="0"/>
                                  <w:divBdr>
                                    <w:top w:val="none" w:sz="0" w:space="0" w:color="auto"/>
                                    <w:left w:val="none" w:sz="0" w:space="0" w:color="auto"/>
                                    <w:bottom w:val="none" w:sz="0" w:space="0" w:color="auto"/>
                                    <w:right w:val="none" w:sz="0" w:space="0" w:color="auto"/>
                                  </w:divBdr>
                                  <w:divsChild>
                                    <w:div w:id="1734035939">
                                      <w:marLeft w:val="0"/>
                                      <w:marRight w:val="0"/>
                                      <w:marTop w:val="0"/>
                                      <w:marBottom w:val="0"/>
                                      <w:divBdr>
                                        <w:top w:val="none" w:sz="0" w:space="0" w:color="auto"/>
                                        <w:left w:val="none" w:sz="0" w:space="0" w:color="auto"/>
                                        <w:bottom w:val="none" w:sz="0" w:space="0" w:color="auto"/>
                                        <w:right w:val="none" w:sz="0" w:space="0" w:color="auto"/>
                                      </w:divBdr>
                                      <w:divsChild>
                                        <w:div w:id="6956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541341">
          <w:marLeft w:val="0"/>
          <w:marRight w:val="0"/>
          <w:marTop w:val="0"/>
          <w:marBottom w:val="0"/>
          <w:divBdr>
            <w:top w:val="none" w:sz="0" w:space="0" w:color="auto"/>
            <w:left w:val="none" w:sz="0" w:space="0" w:color="auto"/>
            <w:bottom w:val="none" w:sz="0" w:space="0" w:color="auto"/>
            <w:right w:val="none" w:sz="0" w:space="0" w:color="auto"/>
          </w:divBdr>
          <w:divsChild>
            <w:div w:id="983239539">
              <w:marLeft w:val="0"/>
              <w:marRight w:val="0"/>
              <w:marTop w:val="0"/>
              <w:marBottom w:val="0"/>
              <w:divBdr>
                <w:top w:val="none" w:sz="0" w:space="0" w:color="auto"/>
                <w:left w:val="none" w:sz="0" w:space="0" w:color="auto"/>
                <w:bottom w:val="none" w:sz="0" w:space="0" w:color="auto"/>
                <w:right w:val="none" w:sz="0" w:space="0" w:color="auto"/>
              </w:divBdr>
              <w:divsChild>
                <w:div w:id="1071076996">
                  <w:marLeft w:val="0"/>
                  <w:marRight w:val="0"/>
                  <w:marTop w:val="0"/>
                  <w:marBottom w:val="0"/>
                  <w:divBdr>
                    <w:top w:val="none" w:sz="0" w:space="0" w:color="auto"/>
                    <w:left w:val="none" w:sz="0" w:space="0" w:color="auto"/>
                    <w:bottom w:val="none" w:sz="0" w:space="0" w:color="auto"/>
                    <w:right w:val="none" w:sz="0" w:space="0" w:color="auto"/>
                  </w:divBdr>
                  <w:divsChild>
                    <w:div w:id="522204606">
                      <w:marLeft w:val="0"/>
                      <w:marRight w:val="0"/>
                      <w:marTop w:val="0"/>
                      <w:marBottom w:val="0"/>
                      <w:divBdr>
                        <w:top w:val="none" w:sz="0" w:space="0" w:color="auto"/>
                        <w:left w:val="none" w:sz="0" w:space="0" w:color="auto"/>
                        <w:bottom w:val="none" w:sz="0" w:space="0" w:color="auto"/>
                        <w:right w:val="none" w:sz="0" w:space="0" w:color="auto"/>
                      </w:divBdr>
                      <w:divsChild>
                        <w:div w:id="1790392888">
                          <w:marLeft w:val="0"/>
                          <w:marRight w:val="0"/>
                          <w:marTop w:val="0"/>
                          <w:marBottom w:val="0"/>
                          <w:divBdr>
                            <w:top w:val="none" w:sz="0" w:space="0" w:color="auto"/>
                            <w:left w:val="none" w:sz="0" w:space="0" w:color="auto"/>
                            <w:bottom w:val="none" w:sz="0" w:space="0" w:color="auto"/>
                            <w:right w:val="none" w:sz="0" w:space="0" w:color="auto"/>
                          </w:divBdr>
                          <w:divsChild>
                            <w:div w:id="331563542">
                              <w:marLeft w:val="0"/>
                              <w:marRight w:val="0"/>
                              <w:marTop w:val="0"/>
                              <w:marBottom w:val="0"/>
                              <w:divBdr>
                                <w:top w:val="none" w:sz="0" w:space="0" w:color="auto"/>
                                <w:left w:val="none" w:sz="0" w:space="0" w:color="auto"/>
                                <w:bottom w:val="none" w:sz="0" w:space="0" w:color="auto"/>
                                <w:right w:val="none" w:sz="0" w:space="0" w:color="auto"/>
                              </w:divBdr>
                              <w:divsChild>
                                <w:div w:id="843398983">
                                  <w:marLeft w:val="0"/>
                                  <w:marRight w:val="0"/>
                                  <w:marTop w:val="0"/>
                                  <w:marBottom w:val="0"/>
                                  <w:divBdr>
                                    <w:top w:val="none" w:sz="0" w:space="0" w:color="auto"/>
                                    <w:left w:val="none" w:sz="0" w:space="0" w:color="auto"/>
                                    <w:bottom w:val="none" w:sz="0" w:space="0" w:color="auto"/>
                                    <w:right w:val="none" w:sz="0" w:space="0" w:color="auto"/>
                                  </w:divBdr>
                                  <w:divsChild>
                                    <w:div w:id="1911959830">
                                      <w:marLeft w:val="0"/>
                                      <w:marRight w:val="0"/>
                                      <w:marTop w:val="0"/>
                                      <w:marBottom w:val="0"/>
                                      <w:divBdr>
                                        <w:top w:val="none" w:sz="0" w:space="0" w:color="auto"/>
                                        <w:left w:val="none" w:sz="0" w:space="0" w:color="auto"/>
                                        <w:bottom w:val="none" w:sz="0" w:space="0" w:color="auto"/>
                                        <w:right w:val="none" w:sz="0" w:space="0" w:color="auto"/>
                                      </w:divBdr>
                                      <w:divsChild>
                                        <w:div w:id="1467818693">
                                          <w:marLeft w:val="0"/>
                                          <w:marRight w:val="0"/>
                                          <w:marTop w:val="0"/>
                                          <w:marBottom w:val="0"/>
                                          <w:divBdr>
                                            <w:top w:val="none" w:sz="0" w:space="0" w:color="auto"/>
                                            <w:left w:val="none" w:sz="0" w:space="0" w:color="auto"/>
                                            <w:bottom w:val="none" w:sz="0" w:space="0" w:color="auto"/>
                                            <w:right w:val="none" w:sz="0" w:space="0" w:color="auto"/>
                                          </w:divBdr>
                                          <w:divsChild>
                                            <w:div w:id="607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362493">
          <w:marLeft w:val="0"/>
          <w:marRight w:val="0"/>
          <w:marTop w:val="0"/>
          <w:marBottom w:val="0"/>
          <w:divBdr>
            <w:top w:val="none" w:sz="0" w:space="0" w:color="auto"/>
            <w:left w:val="none" w:sz="0" w:space="0" w:color="auto"/>
            <w:bottom w:val="none" w:sz="0" w:space="0" w:color="auto"/>
            <w:right w:val="none" w:sz="0" w:space="0" w:color="auto"/>
          </w:divBdr>
          <w:divsChild>
            <w:div w:id="260720472">
              <w:marLeft w:val="0"/>
              <w:marRight w:val="0"/>
              <w:marTop w:val="0"/>
              <w:marBottom w:val="0"/>
              <w:divBdr>
                <w:top w:val="none" w:sz="0" w:space="0" w:color="auto"/>
                <w:left w:val="none" w:sz="0" w:space="0" w:color="auto"/>
                <w:bottom w:val="none" w:sz="0" w:space="0" w:color="auto"/>
                <w:right w:val="none" w:sz="0" w:space="0" w:color="auto"/>
              </w:divBdr>
              <w:divsChild>
                <w:div w:id="660357091">
                  <w:marLeft w:val="0"/>
                  <w:marRight w:val="0"/>
                  <w:marTop w:val="0"/>
                  <w:marBottom w:val="0"/>
                  <w:divBdr>
                    <w:top w:val="none" w:sz="0" w:space="0" w:color="auto"/>
                    <w:left w:val="none" w:sz="0" w:space="0" w:color="auto"/>
                    <w:bottom w:val="none" w:sz="0" w:space="0" w:color="auto"/>
                    <w:right w:val="none" w:sz="0" w:space="0" w:color="auto"/>
                  </w:divBdr>
                  <w:divsChild>
                    <w:div w:id="479467813">
                      <w:marLeft w:val="0"/>
                      <w:marRight w:val="0"/>
                      <w:marTop w:val="0"/>
                      <w:marBottom w:val="0"/>
                      <w:divBdr>
                        <w:top w:val="none" w:sz="0" w:space="0" w:color="auto"/>
                        <w:left w:val="none" w:sz="0" w:space="0" w:color="auto"/>
                        <w:bottom w:val="none" w:sz="0" w:space="0" w:color="auto"/>
                        <w:right w:val="none" w:sz="0" w:space="0" w:color="auto"/>
                      </w:divBdr>
                      <w:divsChild>
                        <w:div w:id="1628393952">
                          <w:marLeft w:val="0"/>
                          <w:marRight w:val="0"/>
                          <w:marTop w:val="0"/>
                          <w:marBottom w:val="0"/>
                          <w:divBdr>
                            <w:top w:val="none" w:sz="0" w:space="0" w:color="auto"/>
                            <w:left w:val="none" w:sz="0" w:space="0" w:color="auto"/>
                            <w:bottom w:val="none" w:sz="0" w:space="0" w:color="auto"/>
                            <w:right w:val="none" w:sz="0" w:space="0" w:color="auto"/>
                          </w:divBdr>
                          <w:divsChild>
                            <w:div w:id="738213968">
                              <w:marLeft w:val="0"/>
                              <w:marRight w:val="0"/>
                              <w:marTop w:val="0"/>
                              <w:marBottom w:val="0"/>
                              <w:divBdr>
                                <w:top w:val="none" w:sz="0" w:space="0" w:color="auto"/>
                                <w:left w:val="none" w:sz="0" w:space="0" w:color="auto"/>
                                <w:bottom w:val="none" w:sz="0" w:space="0" w:color="auto"/>
                                <w:right w:val="none" w:sz="0" w:space="0" w:color="auto"/>
                              </w:divBdr>
                              <w:divsChild>
                                <w:div w:id="1079525745">
                                  <w:marLeft w:val="0"/>
                                  <w:marRight w:val="0"/>
                                  <w:marTop w:val="0"/>
                                  <w:marBottom w:val="0"/>
                                  <w:divBdr>
                                    <w:top w:val="none" w:sz="0" w:space="0" w:color="auto"/>
                                    <w:left w:val="none" w:sz="0" w:space="0" w:color="auto"/>
                                    <w:bottom w:val="none" w:sz="0" w:space="0" w:color="auto"/>
                                    <w:right w:val="none" w:sz="0" w:space="0" w:color="auto"/>
                                  </w:divBdr>
                                  <w:divsChild>
                                    <w:div w:id="403726368">
                                      <w:marLeft w:val="0"/>
                                      <w:marRight w:val="0"/>
                                      <w:marTop w:val="0"/>
                                      <w:marBottom w:val="0"/>
                                      <w:divBdr>
                                        <w:top w:val="none" w:sz="0" w:space="0" w:color="auto"/>
                                        <w:left w:val="none" w:sz="0" w:space="0" w:color="auto"/>
                                        <w:bottom w:val="none" w:sz="0" w:space="0" w:color="auto"/>
                                        <w:right w:val="none" w:sz="0" w:space="0" w:color="auto"/>
                                      </w:divBdr>
                                      <w:divsChild>
                                        <w:div w:id="15434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065209">
          <w:marLeft w:val="0"/>
          <w:marRight w:val="0"/>
          <w:marTop w:val="0"/>
          <w:marBottom w:val="0"/>
          <w:divBdr>
            <w:top w:val="none" w:sz="0" w:space="0" w:color="auto"/>
            <w:left w:val="none" w:sz="0" w:space="0" w:color="auto"/>
            <w:bottom w:val="none" w:sz="0" w:space="0" w:color="auto"/>
            <w:right w:val="none" w:sz="0" w:space="0" w:color="auto"/>
          </w:divBdr>
          <w:divsChild>
            <w:div w:id="923077140">
              <w:marLeft w:val="0"/>
              <w:marRight w:val="0"/>
              <w:marTop w:val="0"/>
              <w:marBottom w:val="0"/>
              <w:divBdr>
                <w:top w:val="none" w:sz="0" w:space="0" w:color="auto"/>
                <w:left w:val="none" w:sz="0" w:space="0" w:color="auto"/>
                <w:bottom w:val="none" w:sz="0" w:space="0" w:color="auto"/>
                <w:right w:val="none" w:sz="0" w:space="0" w:color="auto"/>
              </w:divBdr>
              <w:divsChild>
                <w:div w:id="1201868352">
                  <w:marLeft w:val="0"/>
                  <w:marRight w:val="0"/>
                  <w:marTop w:val="0"/>
                  <w:marBottom w:val="0"/>
                  <w:divBdr>
                    <w:top w:val="none" w:sz="0" w:space="0" w:color="auto"/>
                    <w:left w:val="none" w:sz="0" w:space="0" w:color="auto"/>
                    <w:bottom w:val="none" w:sz="0" w:space="0" w:color="auto"/>
                    <w:right w:val="none" w:sz="0" w:space="0" w:color="auto"/>
                  </w:divBdr>
                  <w:divsChild>
                    <w:div w:id="669451499">
                      <w:marLeft w:val="0"/>
                      <w:marRight w:val="0"/>
                      <w:marTop w:val="0"/>
                      <w:marBottom w:val="0"/>
                      <w:divBdr>
                        <w:top w:val="none" w:sz="0" w:space="0" w:color="auto"/>
                        <w:left w:val="none" w:sz="0" w:space="0" w:color="auto"/>
                        <w:bottom w:val="none" w:sz="0" w:space="0" w:color="auto"/>
                        <w:right w:val="none" w:sz="0" w:space="0" w:color="auto"/>
                      </w:divBdr>
                      <w:divsChild>
                        <w:div w:id="3561300">
                          <w:marLeft w:val="0"/>
                          <w:marRight w:val="0"/>
                          <w:marTop w:val="0"/>
                          <w:marBottom w:val="0"/>
                          <w:divBdr>
                            <w:top w:val="none" w:sz="0" w:space="0" w:color="auto"/>
                            <w:left w:val="none" w:sz="0" w:space="0" w:color="auto"/>
                            <w:bottom w:val="none" w:sz="0" w:space="0" w:color="auto"/>
                            <w:right w:val="none" w:sz="0" w:space="0" w:color="auto"/>
                          </w:divBdr>
                          <w:divsChild>
                            <w:div w:id="1551451541">
                              <w:marLeft w:val="0"/>
                              <w:marRight w:val="0"/>
                              <w:marTop w:val="0"/>
                              <w:marBottom w:val="0"/>
                              <w:divBdr>
                                <w:top w:val="none" w:sz="0" w:space="0" w:color="auto"/>
                                <w:left w:val="none" w:sz="0" w:space="0" w:color="auto"/>
                                <w:bottom w:val="none" w:sz="0" w:space="0" w:color="auto"/>
                                <w:right w:val="none" w:sz="0" w:space="0" w:color="auto"/>
                              </w:divBdr>
                              <w:divsChild>
                                <w:div w:id="1813280578">
                                  <w:marLeft w:val="0"/>
                                  <w:marRight w:val="0"/>
                                  <w:marTop w:val="0"/>
                                  <w:marBottom w:val="0"/>
                                  <w:divBdr>
                                    <w:top w:val="none" w:sz="0" w:space="0" w:color="auto"/>
                                    <w:left w:val="none" w:sz="0" w:space="0" w:color="auto"/>
                                    <w:bottom w:val="none" w:sz="0" w:space="0" w:color="auto"/>
                                    <w:right w:val="none" w:sz="0" w:space="0" w:color="auto"/>
                                  </w:divBdr>
                                  <w:divsChild>
                                    <w:div w:id="619605199">
                                      <w:marLeft w:val="0"/>
                                      <w:marRight w:val="0"/>
                                      <w:marTop w:val="0"/>
                                      <w:marBottom w:val="0"/>
                                      <w:divBdr>
                                        <w:top w:val="none" w:sz="0" w:space="0" w:color="auto"/>
                                        <w:left w:val="none" w:sz="0" w:space="0" w:color="auto"/>
                                        <w:bottom w:val="none" w:sz="0" w:space="0" w:color="auto"/>
                                        <w:right w:val="none" w:sz="0" w:space="0" w:color="auto"/>
                                      </w:divBdr>
                                      <w:divsChild>
                                        <w:div w:id="572393824">
                                          <w:marLeft w:val="0"/>
                                          <w:marRight w:val="0"/>
                                          <w:marTop w:val="0"/>
                                          <w:marBottom w:val="0"/>
                                          <w:divBdr>
                                            <w:top w:val="none" w:sz="0" w:space="0" w:color="auto"/>
                                            <w:left w:val="none" w:sz="0" w:space="0" w:color="auto"/>
                                            <w:bottom w:val="none" w:sz="0" w:space="0" w:color="auto"/>
                                            <w:right w:val="none" w:sz="0" w:space="0" w:color="auto"/>
                                          </w:divBdr>
                                          <w:divsChild>
                                            <w:div w:id="18832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585561">
                          <w:marLeft w:val="0"/>
                          <w:marRight w:val="0"/>
                          <w:marTop w:val="0"/>
                          <w:marBottom w:val="0"/>
                          <w:divBdr>
                            <w:top w:val="none" w:sz="0" w:space="0" w:color="auto"/>
                            <w:left w:val="none" w:sz="0" w:space="0" w:color="auto"/>
                            <w:bottom w:val="none" w:sz="0" w:space="0" w:color="auto"/>
                            <w:right w:val="none" w:sz="0" w:space="0" w:color="auto"/>
                          </w:divBdr>
                          <w:divsChild>
                            <w:div w:id="900409554">
                              <w:marLeft w:val="0"/>
                              <w:marRight w:val="0"/>
                              <w:marTop w:val="0"/>
                              <w:marBottom w:val="0"/>
                              <w:divBdr>
                                <w:top w:val="none" w:sz="0" w:space="0" w:color="auto"/>
                                <w:left w:val="none" w:sz="0" w:space="0" w:color="auto"/>
                                <w:bottom w:val="none" w:sz="0" w:space="0" w:color="auto"/>
                                <w:right w:val="none" w:sz="0" w:space="0" w:color="auto"/>
                              </w:divBdr>
                              <w:divsChild>
                                <w:div w:id="1929998765">
                                  <w:marLeft w:val="0"/>
                                  <w:marRight w:val="0"/>
                                  <w:marTop w:val="0"/>
                                  <w:marBottom w:val="0"/>
                                  <w:divBdr>
                                    <w:top w:val="none" w:sz="0" w:space="0" w:color="auto"/>
                                    <w:left w:val="none" w:sz="0" w:space="0" w:color="auto"/>
                                    <w:bottom w:val="none" w:sz="0" w:space="0" w:color="auto"/>
                                    <w:right w:val="none" w:sz="0" w:space="0" w:color="auto"/>
                                  </w:divBdr>
                                  <w:divsChild>
                                    <w:div w:id="11432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492705">
      <w:bodyDiv w:val="1"/>
      <w:marLeft w:val="0"/>
      <w:marRight w:val="0"/>
      <w:marTop w:val="0"/>
      <w:marBottom w:val="0"/>
      <w:divBdr>
        <w:top w:val="none" w:sz="0" w:space="0" w:color="auto"/>
        <w:left w:val="none" w:sz="0" w:space="0" w:color="auto"/>
        <w:bottom w:val="none" w:sz="0" w:space="0" w:color="auto"/>
        <w:right w:val="none" w:sz="0" w:space="0" w:color="auto"/>
      </w:divBdr>
      <w:divsChild>
        <w:div w:id="630943690">
          <w:marLeft w:val="0"/>
          <w:marRight w:val="0"/>
          <w:marTop w:val="0"/>
          <w:marBottom w:val="0"/>
          <w:divBdr>
            <w:top w:val="none" w:sz="0" w:space="0" w:color="auto"/>
            <w:left w:val="none" w:sz="0" w:space="0" w:color="auto"/>
            <w:bottom w:val="none" w:sz="0" w:space="0" w:color="auto"/>
            <w:right w:val="none" w:sz="0" w:space="0" w:color="auto"/>
          </w:divBdr>
        </w:div>
        <w:div w:id="1417676261">
          <w:marLeft w:val="0"/>
          <w:marRight w:val="0"/>
          <w:marTop w:val="0"/>
          <w:marBottom w:val="0"/>
          <w:divBdr>
            <w:top w:val="none" w:sz="0" w:space="0" w:color="auto"/>
            <w:left w:val="none" w:sz="0" w:space="0" w:color="auto"/>
            <w:bottom w:val="none" w:sz="0" w:space="0" w:color="auto"/>
            <w:right w:val="none" w:sz="0" w:space="0" w:color="auto"/>
          </w:divBdr>
        </w:div>
        <w:div w:id="643005247">
          <w:marLeft w:val="0"/>
          <w:marRight w:val="0"/>
          <w:marTop w:val="0"/>
          <w:marBottom w:val="0"/>
          <w:divBdr>
            <w:top w:val="none" w:sz="0" w:space="0" w:color="auto"/>
            <w:left w:val="none" w:sz="0" w:space="0" w:color="auto"/>
            <w:bottom w:val="none" w:sz="0" w:space="0" w:color="auto"/>
            <w:right w:val="none" w:sz="0" w:space="0" w:color="auto"/>
          </w:divBdr>
        </w:div>
      </w:divsChild>
    </w:div>
    <w:div w:id="1146892578">
      <w:bodyDiv w:val="1"/>
      <w:marLeft w:val="0"/>
      <w:marRight w:val="0"/>
      <w:marTop w:val="0"/>
      <w:marBottom w:val="0"/>
      <w:divBdr>
        <w:top w:val="none" w:sz="0" w:space="0" w:color="auto"/>
        <w:left w:val="none" w:sz="0" w:space="0" w:color="auto"/>
        <w:bottom w:val="none" w:sz="0" w:space="0" w:color="auto"/>
        <w:right w:val="none" w:sz="0" w:space="0" w:color="auto"/>
      </w:divBdr>
    </w:div>
    <w:div w:id="1461874685">
      <w:bodyDiv w:val="1"/>
      <w:marLeft w:val="0"/>
      <w:marRight w:val="0"/>
      <w:marTop w:val="0"/>
      <w:marBottom w:val="0"/>
      <w:divBdr>
        <w:top w:val="none" w:sz="0" w:space="0" w:color="auto"/>
        <w:left w:val="none" w:sz="0" w:space="0" w:color="auto"/>
        <w:bottom w:val="none" w:sz="0" w:space="0" w:color="auto"/>
        <w:right w:val="none" w:sz="0" w:space="0" w:color="auto"/>
      </w:divBdr>
      <w:divsChild>
        <w:div w:id="1000080567">
          <w:marLeft w:val="0"/>
          <w:marRight w:val="0"/>
          <w:marTop w:val="0"/>
          <w:marBottom w:val="0"/>
          <w:divBdr>
            <w:top w:val="none" w:sz="0" w:space="0" w:color="auto"/>
            <w:left w:val="none" w:sz="0" w:space="0" w:color="auto"/>
            <w:bottom w:val="none" w:sz="0" w:space="0" w:color="auto"/>
            <w:right w:val="none" w:sz="0" w:space="0" w:color="auto"/>
          </w:divBdr>
          <w:divsChild>
            <w:div w:id="2055344571">
              <w:marLeft w:val="0"/>
              <w:marRight w:val="0"/>
              <w:marTop w:val="0"/>
              <w:marBottom w:val="0"/>
              <w:divBdr>
                <w:top w:val="none" w:sz="0" w:space="0" w:color="auto"/>
                <w:left w:val="none" w:sz="0" w:space="0" w:color="auto"/>
                <w:bottom w:val="none" w:sz="0" w:space="0" w:color="auto"/>
                <w:right w:val="none" w:sz="0" w:space="0" w:color="auto"/>
              </w:divBdr>
              <w:divsChild>
                <w:div w:id="818155254">
                  <w:marLeft w:val="0"/>
                  <w:marRight w:val="0"/>
                  <w:marTop w:val="0"/>
                  <w:marBottom w:val="0"/>
                  <w:divBdr>
                    <w:top w:val="none" w:sz="0" w:space="0" w:color="auto"/>
                    <w:left w:val="none" w:sz="0" w:space="0" w:color="auto"/>
                    <w:bottom w:val="none" w:sz="0" w:space="0" w:color="auto"/>
                    <w:right w:val="none" w:sz="0" w:space="0" w:color="auto"/>
                  </w:divBdr>
                  <w:divsChild>
                    <w:div w:id="827941082">
                      <w:marLeft w:val="0"/>
                      <w:marRight w:val="0"/>
                      <w:marTop w:val="0"/>
                      <w:marBottom w:val="0"/>
                      <w:divBdr>
                        <w:top w:val="none" w:sz="0" w:space="0" w:color="auto"/>
                        <w:left w:val="none" w:sz="0" w:space="0" w:color="auto"/>
                        <w:bottom w:val="none" w:sz="0" w:space="0" w:color="auto"/>
                        <w:right w:val="none" w:sz="0" w:space="0" w:color="auto"/>
                      </w:divBdr>
                      <w:divsChild>
                        <w:div w:id="602373473">
                          <w:marLeft w:val="0"/>
                          <w:marRight w:val="0"/>
                          <w:marTop w:val="0"/>
                          <w:marBottom w:val="0"/>
                          <w:divBdr>
                            <w:top w:val="none" w:sz="0" w:space="0" w:color="auto"/>
                            <w:left w:val="none" w:sz="0" w:space="0" w:color="auto"/>
                            <w:bottom w:val="none" w:sz="0" w:space="0" w:color="auto"/>
                            <w:right w:val="none" w:sz="0" w:space="0" w:color="auto"/>
                          </w:divBdr>
                          <w:divsChild>
                            <w:div w:id="1546680740">
                              <w:marLeft w:val="0"/>
                              <w:marRight w:val="0"/>
                              <w:marTop w:val="0"/>
                              <w:marBottom w:val="0"/>
                              <w:divBdr>
                                <w:top w:val="none" w:sz="0" w:space="0" w:color="auto"/>
                                <w:left w:val="none" w:sz="0" w:space="0" w:color="auto"/>
                                <w:bottom w:val="none" w:sz="0" w:space="0" w:color="auto"/>
                                <w:right w:val="none" w:sz="0" w:space="0" w:color="auto"/>
                              </w:divBdr>
                              <w:divsChild>
                                <w:div w:id="1647776775">
                                  <w:marLeft w:val="0"/>
                                  <w:marRight w:val="0"/>
                                  <w:marTop w:val="0"/>
                                  <w:marBottom w:val="0"/>
                                  <w:divBdr>
                                    <w:top w:val="none" w:sz="0" w:space="0" w:color="auto"/>
                                    <w:left w:val="none" w:sz="0" w:space="0" w:color="auto"/>
                                    <w:bottom w:val="none" w:sz="0" w:space="0" w:color="auto"/>
                                    <w:right w:val="none" w:sz="0" w:space="0" w:color="auto"/>
                                  </w:divBdr>
                                  <w:divsChild>
                                    <w:div w:id="1516846761">
                                      <w:marLeft w:val="0"/>
                                      <w:marRight w:val="0"/>
                                      <w:marTop w:val="0"/>
                                      <w:marBottom w:val="0"/>
                                      <w:divBdr>
                                        <w:top w:val="none" w:sz="0" w:space="0" w:color="auto"/>
                                        <w:left w:val="none" w:sz="0" w:space="0" w:color="auto"/>
                                        <w:bottom w:val="none" w:sz="0" w:space="0" w:color="auto"/>
                                        <w:right w:val="none" w:sz="0" w:space="0" w:color="auto"/>
                                      </w:divBdr>
                                      <w:divsChild>
                                        <w:div w:id="2052462089">
                                          <w:marLeft w:val="0"/>
                                          <w:marRight w:val="0"/>
                                          <w:marTop w:val="0"/>
                                          <w:marBottom w:val="0"/>
                                          <w:divBdr>
                                            <w:top w:val="none" w:sz="0" w:space="0" w:color="auto"/>
                                            <w:left w:val="none" w:sz="0" w:space="0" w:color="auto"/>
                                            <w:bottom w:val="none" w:sz="0" w:space="0" w:color="auto"/>
                                            <w:right w:val="none" w:sz="0" w:space="0" w:color="auto"/>
                                          </w:divBdr>
                                          <w:divsChild>
                                            <w:div w:id="5827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859354">
          <w:marLeft w:val="0"/>
          <w:marRight w:val="0"/>
          <w:marTop w:val="0"/>
          <w:marBottom w:val="0"/>
          <w:divBdr>
            <w:top w:val="none" w:sz="0" w:space="0" w:color="auto"/>
            <w:left w:val="none" w:sz="0" w:space="0" w:color="auto"/>
            <w:bottom w:val="none" w:sz="0" w:space="0" w:color="auto"/>
            <w:right w:val="none" w:sz="0" w:space="0" w:color="auto"/>
          </w:divBdr>
          <w:divsChild>
            <w:div w:id="1989162827">
              <w:marLeft w:val="0"/>
              <w:marRight w:val="0"/>
              <w:marTop w:val="0"/>
              <w:marBottom w:val="0"/>
              <w:divBdr>
                <w:top w:val="none" w:sz="0" w:space="0" w:color="auto"/>
                <w:left w:val="none" w:sz="0" w:space="0" w:color="auto"/>
                <w:bottom w:val="none" w:sz="0" w:space="0" w:color="auto"/>
                <w:right w:val="none" w:sz="0" w:space="0" w:color="auto"/>
              </w:divBdr>
              <w:divsChild>
                <w:div w:id="1273590064">
                  <w:marLeft w:val="0"/>
                  <w:marRight w:val="0"/>
                  <w:marTop w:val="0"/>
                  <w:marBottom w:val="0"/>
                  <w:divBdr>
                    <w:top w:val="none" w:sz="0" w:space="0" w:color="auto"/>
                    <w:left w:val="none" w:sz="0" w:space="0" w:color="auto"/>
                    <w:bottom w:val="none" w:sz="0" w:space="0" w:color="auto"/>
                    <w:right w:val="none" w:sz="0" w:space="0" w:color="auto"/>
                  </w:divBdr>
                  <w:divsChild>
                    <w:div w:id="1382359755">
                      <w:marLeft w:val="0"/>
                      <w:marRight w:val="0"/>
                      <w:marTop w:val="0"/>
                      <w:marBottom w:val="0"/>
                      <w:divBdr>
                        <w:top w:val="none" w:sz="0" w:space="0" w:color="auto"/>
                        <w:left w:val="none" w:sz="0" w:space="0" w:color="auto"/>
                        <w:bottom w:val="none" w:sz="0" w:space="0" w:color="auto"/>
                        <w:right w:val="none" w:sz="0" w:space="0" w:color="auto"/>
                      </w:divBdr>
                      <w:divsChild>
                        <w:div w:id="1859346017">
                          <w:marLeft w:val="0"/>
                          <w:marRight w:val="0"/>
                          <w:marTop w:val="0"/>
                          <w:marBottom w:val="0"/>
                          <w:divBdr>
                            <w:top w:val="none" w:sz="0" w:space="0" w:color="auto"/>
                            <w:left w:val="none" w:sz="0" w:space="0" w:color="auto"/>
                            <w:bottom w:val="none" w:sz="0" w:space="0" w:color="auto"/>
                            <w:right w:val="none" w:sz="0" w:space="0" w:color="auto"/>
                          </w:divBdr>
                          <w:divsChild>
                            <w:div w:id="159851856">
                              <w:marLeft w:val="0"/>
                              <w:marRight w:val="0"/>
                              <w:marTop w:val="0"/>
                              <w:marBottom w:val="0"/>
                              <w:divBdr>
                                <w:top w:val="none" w:sz="0" w:space="0" w:color="auto"/>
                                <w:left w:val="none" w:sz="0" w:space="0" w:color="auto"/>
                                <w:bottom w:val="none" w:sz="0" w:space="0" w:color="auto"/>
                                <w:right w:val="none" w:sz="0" w:space="0" w:color="auto"/>
                              </w:divBdr>
                              <w:divsChild>
                                <w:div w:id="209540112">
                                  <w:marLeft w:val="0"/>
                                  <w:marRight w:val="0"/>
                                  <w:marTop w:val="0"/>
                                  <w:marBottom w:val="0"/>
                                  <w:divBdr>
                                    <w:top w:val="none" w:sz="0" w:space="0" w:color="auto"/>
                                    <w:left w:val="none" w:sz="0" w:space="0" w:color="auto"/>
                                    <w:bottom w:val="none" w:sz="0" w:space="0" w:color="auto"/>
                                    <w:right w:val="none" w:sz="0" w:space="0" w:color="auto"/>
                                  </w:divBdr>
                                  <w:divsChild>
                                    <w:div w:id="123080639">
                                      <w:marLeft w:val="0"/>
                                      <w:marRight w:val="0"/>
                                      <w:marTop w:val="0"/>
                                      <w:marBottom w:val="0"/>
                                      <w:divBdr>
                                        <w:top w:val="none" w:sz="0" w:space="0" w:color="auto"/>
                                        <w:left w:val="none" w:sz="0" w:space="0" w:color="auto"/>
                                        <w:bottom w:val="none" w:sz="0" w:space="0" w:color="auto"/>
                                        <w:right w:val="none" w:sz="0" w:space="0" w:color="auto"/>
                                      </w:divBdr>
                                      <w:divsChild>
                                        <w:div w:id="17670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943312">
          <w:marLeft w:val="0"/>
          <w:marRight w:val="0"/>
          <w:marTop w:val="0"/>
          <w:marBottom w:val="0"/>
          <w:divBdr>
            <w:top w:val="none" w:sz="0" w:space="0" w:color="auto"/>
            <w:left w:val="none" w:sz="0" w:space="0" w:color="auto"/>
            <w:bottom w:val="none" w:sz="0" w:space="0" w:color="auto"/>
            <w:right w:val="none" w:sz="0" w:space="0" w:color="auto"/>
          </w:divBdr>
          <w:divsChild>
            <w:div w:id="238292418">
              <w:marLeft w:val="0"/>
              <w:marRight w:val="0"/>
              <w:marTop w:val="0"/>
              <w:marBottom w:val="0"/>
              <w:divBdr>
                <w:top w:val="none" w:sz="0" w:space="0" w:color="auto"/>
                <w:left w:val="none" w:sz="0" w:space="0" w:color="auto"/>
                <w:bottom w:val="none" w:sz="0" w:space="0" w:color="auto"/>
                <w:right w:val="none" w:sz="0" w:space="0" w:color="auto"/>
              </w:divBdr>
              <w:divsChild>
                <w:div w:id="1682664973">
                  <w:marLeft w:val="0"/>
                  <w:marRight w:val="0"/>
                  <w:marTop w:val="0"/>
                  <w:marBottom w:val="0"/>
                  <w:divBdr>
                    <w:top w:val="none" w:sz="0" w:space="0" w:color="auto"/>
                    <w:left w:val="none" w:sz="0" w:space="0" w:color="auto"/>
                    <w:bottom w:val="none" w:sz="0" w:space="0" w:color="auto"/>
                    <w:right w:val="none" w:sz="0" w:space="0" w:color="auto"/>
                  </w:divBdr>
                  <w:divsChild>
                    <w:div w:id="480538234">
                      <w:marLeft w:val="0"/>
                      <w:marRight w:val="0"/>
                      <w:marTop w:val="0"/>
                      <w:marBottom w:val="0"/>
                      <w:divBdr>
                        <w:top w:val="none" w:sz="0" w:space="0" w:color="auto"/>
                        <w:left w:val="none" w:sz="0" w:space="0" w:color="auto"/>
                        <w:bottom w:val="none" w:sz="0" w:space="0" w:color="auto"/>
                        <w:right w:val="none" w:sz="0" w:space="0" w:color="auto"/>
                      </w:divBdr>
                      <w:divsChild>
                        <w:div w:id="1599407575">
                          <w:marLeft w:val="0"/>
                          <w:marRight w:val="0"/>
                          <w:marTop w:val="0"/>
                          <w:marBottom w:val="0"/>
                          <w:divBdr>
                            <w:top w:val="none" w:sz="0" w:space="0" w:color="auto"/>
                            <w:left w:val="none" w:sz="0" w:space="0" w:color="auto"/>
                            <w:bottom w:val="none" w:sz="0" w:space="0" w:color="auto"/>
                            <w:right w:val="none" w:sz="0" w:space="0" w:color="auto"/>
                          </w:divBdr>
                          <w:divsChild>
                            <w:div w:id="447046215">
                              <w:marLeft w:val="0"/>
                              <w:marRight w:val="0"/>
                              <w:marTop w:val="0"/>
                              <w:marBottom w:val="0"/>
                              <w:divBdr>
                                <w:top w:val="none" w:sz="0" w:space="0" w:color="auto"/>
                                <w:left w:val="none" w:sz="0" w:space="0" w:color="auto"/>
                                <w:bottom w:val="none" w:sz="0" w:space="0" w:color="auto"/>
                                <w:right w:val="none" w:sz="0" w:space="0" w:color="auto"/>
                              </w:divBdr>
                              <w:divsChild>
                                <w:div w:id="527573525">
                                  <w:marLeft w:val="0"/>
                                  <w:marRight w:val="0"/>
                                  <w:marTop w:val="0"/>
                                  <w:marBottom w:val="0"/>
                                  <w:divBdr>
                                    <w:top w:val="none" w:sz="0" w:space="0" w:color="auto"/>
                                    <w:left w:val="none" w:sz="0" w:space="0" w:color="auto"/>
                                    <w:bottom w:val="none" w:sz="0" w:space="0" w:color="auto"/>
                                    <w:right w:val="none" w:sz="0" w:space="0" w:color="auto"/>
                                  </w:divBdr>
                                  <w:divsChild>
                                    <w:div w:id="1912691569">
                                      <w:marLeft w:val="0"/>
                                      <w:marRight w:val="0"/>
                                      <w:marTop w:val="0"/>
                                      <w:marBottom w:val="0"/>
                                      <w:divBdr>
                                        <w:top w:val="none" w:sz="0" w:space="0" w:color="auto"/>
                                        <w:left w:val="none" w:sz="0" w:space="0" w:color="auto"/>
                                        <w:bottom w:val="none" w:sz="0" w:space="0" w:color="auto"/>
                                        <w:right w:val="none" w:sz="0" w:space="0" w:color="auto"/>
                                      </w:divBdr>
                                      <w:divsChild>
                                        <w:div w:id="2124184621">
                                          <w:marLeft w:val="0"/>
                                          <w:marRight w:val="0"/>
                                          <w:marTop w:val="0"/>
                                          <w:marBottom w:val="0"/>
                                          <w:divBdr>
                                            <w:top w:val="none" w:sz="0" w:space="0" w:color="auto"/>
                                            <w:left w:val="none" w:sz="0" w:space="0" w:color="auto"/>
                                            <w:bottom w:val="none" w:sz="0" w:space="0" w:color="auto"/>
                                            <w:right w:val="none" w:sz="0" w:space="0" w:color="auto"/>
                                          </w:divBdr>
                                          <w:divsChild>
                                            <w:div w:id="11382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756572">
          <w:marLeft w:val="0"/>
          <w:marRight w:val="0"/>
          <w:marTop w:val="0"/>
          <w:marBottom w:val="0"/>
          <w:divBdr>
            <w:top w:val="none" w:sz="0" w:space="0" w:color="auto"/>
            <w:left w:val="none" w:sz="0" w:space="0" w:color="auto"/>
            <w:bottom w:val="none" w:sz="0" w:space="0" w:color="auto"/>
            <w:right w:val="none" w:sz="0" w:space="0" w:color="auto"/>
          </w:divBdr>
          <w:divsChild>
            <w:div w:id="133257459">
              <w:marLeft w:val="0"/>
              <w:marRight w:val="0"/>
              <w:marTop w:val="0"/>
              <w:marBottom w:val="0"/>
              <w:divBdr>
                <w:top w:val="none" w:sz="0" w:space="0" w:color="auto"/>
                <w:left w:val="none" w:sz="0" w:space="0" w:color="auto"/>
                <w:bottom w:val="none" w:sz="0" w:space="0" w:color="auto"/>
                <w:right w:val="none" w:sz="0" w:space="0" w:color="auto"/>
              </w:divBdr>
              <w:divsChild>
                <w:div w:id="1067260012">
                  <w:marLeft w:val="0"/>
                  <w:marRight w:val="0"/>
                  <w:marTop w:val="0"/>
                  <w:marBottom w:val="0"/>
                  <w:divBdr>
                    <w:top w:val="none" w:sz="0" w:space="0" w:color="auto"/>
                    <w:left w:val="none" w:sz="0" w:space="0" w:color="auto"/>
                    <w:bottom w:val="none" w:sz="0" w:space="0" w:color="auto"/>
                    <w:right w:val="none" w:sz="0" w:space="0" w:color="auto"/>
                  </w:divBdr>
                  <w:divsChild>
                    <w:div w:id="954479341">
                      <w:marLeft w:val="0"/>
                      <w:marRight w:val="0"/>
                      <w:marTop w:val="0"/>
                      <w:marBottom w:val="0"/>
                      <w:divBdr>
                        <w:top w:val="none" w:sz="0" w:space="0" w:color="auto"/>
                        <w:left w:val="none" w:sz="0" w:space="0" w:color="auto"/>
                        <w:bottom w:val="none" w:sz="0" w:space="0" w:color="auto"/>
                        <w:right w:val="none" w:sz="0" w:space="0" w:color="auto"/>
                      </w:divBdr>
                      <w:divsChild>
                        <w:div w:id="2027949555">
                          <w:marLeft w:val="0"/>
                          <w:marRight w:val="0"/>
                          <w:marTop w:val="0"/>
                          <w:marBottom w:val="0"/>
                          <w:divBdr>
                            <w:top w:val="none" w:sz="0" w:space="0" w:color="auto"/>
                            <w:left w:val="none" w:sz="0" w:space="0" w:color="auto"/>
                            <w:bottom w:val="none" w:sz="0" w:space="0" w:color="auto"/>
                            <w:right w:val="none" w:sz="0" w:space="0" w:color="auto"/>
                          </w:divBdr>
                          <w:divsChild>
                            <w:div w:id="1063597193">
                              <w:marLeft w:val="0"/>
                              <w:marRight w:val="0"/>
                              <w:marTop w:val="0"/>
                              <w:marBottom w:val="0"/>
                              <w:divBdr>
                                <w:top w:val="none" w:sz="0" w:space="0" w:color="auto"/>
                                <w:left w:val="none" w:sz="0" w:space="0" w:color="auto"/>
                                <w:bottom w:val="none" w:sz="0" w:space="0" w:color="auto"/>
                                <w:right w:val="none" w:sz="0" w:space="0" w:color="auto"/>
                              </w:divBdr>
                              <w:divsChild>
                                <w:div w:id="1248461112">
                                  <w:marLeft w:val="0"/>
                                  <w:marRight w:val="0"/>
                                  <w:marTop w:val="0"/>
                                  <w:marBottom w:val="0"/>
                                  <w:divBdr>
                                    <w:top w:val="none" w:sz="0" w:space="0" w:color="auto"/>
                                    <w:left w:val="none" w:sz="0" w:space="0" w:color="auto"/>
                                    <w:bottom w:val="none" w:sz="0" w:space="0" w:color="auto"/>
                                    <w:right w:val="none" w:sz="0" w:space="0" w:color="auto"/>
                                  </w:divBdr>
                                  <w:divsChild>
                                    <w:div w:id="470949542">
                                      <w:marLeft w:val="0"/>
                                      <w:marRight w:val="0"/>
                                      <w:marTop w:val="0"/>
                                      <w:marBottom w:val="0"/>
                                      <w:divBdr>
                                        <w:top w:val="none" w:sz="0" w:space="0" w:color="auto"/>
                                        <w:left w:val="none" w:sz="0" w:space="0" w:color="auto"/>
                                        <w:bottom w:val="none" w:sz="0" w:space="0" w:color="auto"/>
                                        <w:right w:val="none" w:sz="0" w:space="0" w:color="auto"/>
                                      </w:divBdr>
                                      <w:divsChild>
                                        <w:div w:id="11014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94468">
          <w:marLeft w:val="0"/>
          <w:marRight w:val="0"/>
          <w:marTop w:val="0"/>
          <w:marBottom w:val="0"/>
          <w:divBdr>
            <w:top w:val="none" w:sz="0" w:space="0" w:color="auto"/>
            <w:left w:val="none" w:sz="0" w:space="0" w:color="auto"/>
            <w:bottom w:val="none" w:sz="0" w:space="0" w:color="auto"/>
            <w:right w:val="none" w:sz="0" w:space="0" w:color="auto"/>
          </w:divBdr>
          <w:divsChild>
            <w:div w:id="1540705372">
              <w:marLeft w:val="0"/>
              <w:marRight w:val="0"/>
              <w:marTop w:val="0"/>
              <w:marBottom w:val="0"/>
              <w:divBdr>
                <w:top w:val="none" w:sz="0" w:space="0" w:color="auto"/>
                <w:left w:val="none" w:sz="0" w:space="0" w:color="auto"/>
                <w:bottom w:val="none" w:sz="0" w:space="0" w:color="auto"/>
                <w:right w:val="none" w:sz="0" w:space="0" w:color="auto"/>
              </w:divBdr>
              <w:divsChild>
                <w:div w:id="211431830">
                  <w:marLeft w:val="0"/>
                  <w:marRight w:val="0"/>
                  <w:marTop w:val="0"/>
                  <w:marBottom w:val="0"/>
                  <w:divBdr>
                    <w:top w:val="none" w:sz="0" w:space="0" w:color="auto"/>
                    <w:left w:val="none" w:sz="0" w:space="0" w:color="auto"/>
                    <w:bottom w:val="none" w:sz="0" w:space="0" w:color="auto"/>
                    <w:right w:val="none" w:sz="0" w:space="0" w:color="auto"/>
                  </w:divBdr>
                  <w:divsChild>
                    <w:div w:id="1932002822">
                      <w:marLeft w:val="0"/>
                      <w:marRight w:val="0"/>
                      <w:marTop w:val="0"/>
                      <w:marBottom w:val="0"/>
                      <w:divBdr>
                        <w:top w:val="none" w:sz="0" w:space="0" w:color="auto"/>
                        <w:left w:val="none" w:sz="0" w:space="0" w:color="auto"/>
                        <w:bottom w:val="none" w:sz="0" w:space="0" w:color="auto"/>
                        <w:right w:val="none" w:sz="0" w:space="0" w:color="auto"/>
                      </w:divBdr>
                      <w:divsChild>
                        <w:div w:id="343174074">
                          <w:marLeft w:val="0"/>
                          <w:marRight w:val="0"/>
                          <w:marTop w:val="0"/>
                          <w:marBottom w:val="0"/>
                          <w:divBdr>
                            <w:top w:val="none" w:sz="0" w:space="0" w:color="auto"/>
                            <w:left w:val="none" w:sz="0" w:space="0" w:color="auto"/>
                            <w:bottom w:val="none" w:sz="0" w:space="0" w:color="auto"/>
                            <w:right w:val="none" w:sz="0" w:space="0" w:color="auto"/>
                          </w:divBdr>
                          <w:divsChild>
                            <w:div w:id="1922107433">
                              <w:marLeft w:val="0"/>
                              <w:marRight w:val="0"/>
                              <w:marTop w:val="0"/>
                              <w:marBottom w:val="0"/>
                              <w:divBdr>
                                <w:top w:val="none" w:sz="0" w:space="0" w:color="auto"/>
                                <w:left w:val="none" w:sz="0" w:space="0" w:color="auto"/>
                                <w:bottom w:val="none" w:sz="0" w:space="0" w:color="auto"/>
                                <w:right w:val="none" w:sz="0" w:space="0" w:color="auto"/>
                              </w:divBdr>
                              <w:divsChild>
                                <w:div w:id="1130129278">
                                  <w:marLeft w:val="0"/>
                                  <w:marRight w:val="0"/>
                                  <w:marTop w:val="0"/>
                                  <w:marBottom w:val="0"/>
                                  <w:divBdr>
                                    <w:top w:val="none" w:sz="0" w:space="0" w:color="auto"/>
                                    <w:left w:val="none" w:sz="0" w:space="0" w:color="auto"/>
                                    <w:bottom w:val="none" w:sz="0" w:space="0" w:color="auto"/>
                                    <w:right w:val="none" w:sz="0" w:space="0" w:color="auto"/>
                                  </w:divBdr>
                                  <w:divsChild>
                                    <w:div w:id="183792710">
                                      <w:marLeft w:val="0"/>
                                      <w:marRight w:val="0"/>
                                      <w:marTop w:val="0"/>
                                      <w:marBottom w:val="0"/>
                                      <w:divBdr>
                                        <w:top w:val="none" w:sz="0" w:space="0" w:color="auto"/>
                                        <w:left w:val="none" w:sz="0" w:space="0" w:color="auto"/>
                                        <w:bottom w:val="none" w:sz="0" w:space="0" w:color="auto"/>
                                        <w:right w:val="none" w:sz="0" w:space="0" w:color="auto"/>
                                      </w:divBdr>
                                      <w:divsChild>
                                        <w:div w:id="338970092">
                                          <w:marLeft w:val="0"/>
                                          <w:marRight w:val="0"/>
                                          <w:marTop w:val="0"/>
                                          <w:marBottom w:val="0"/>
                                          <w:divBdr>
                                            <w:top w:val="none" w:sz="0" w:space="0" w:color="auto"/>
                                            <w:left w:val="none" w:sz="0" w:space="0" w:color="auto"/>
                                            <w:bottom w:val="none" w:sz="0" w:space="0" w:color="auto"/>
                                            <w:right w:val="none" w:sz="0" w:space="0" w:color="auto"/>
                                          </w:divBdr>
                                          <w:divsChild>
                                            <w:div w:id="4257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024862">
          <w:marLeft w:val="0"/>
          <w:marRight w:val="0"/>
          <w:marTop w:val="0"/>
          <w:marBottom w:val="0"/>
          <w:divBdr>
            <w:top w:val="none" w:sz="0" w:space="0" w:color="auto"/>
            <w:left w:val="none" w:sz="0" w:space="0" w:color="auto"/>
            <w:bottom w:val="none" w:sz="0" w:space="0" w:color="auto"/>
            <w:right w:val="none" w:sz="0" w:space="0" w:color="auto"/>
          </w:divBdr>
          <w:divsChild>
            <w:div w:id="1176724821">
              <w:marLeft w:val="0"/>
              <w:marRight w:val="0"/>
              <w:marTop w:val="0"/>
              <w:marBottom w:val="0"/>
              <w:divBdr>
                <w:top w:val="none" w:sz="0" w:space="0" w:color="auto"/>
                <w:left w:val="none" w:sz="0" w:space="0" w:color="auto"/>
                <w:bottom w:val="none" w:sz="0" w:space="0" w:color="auto"/>
                <w:right w:val="none" w:sz="0" w:space="0" w:color="auto"/>
              </w:divBdr>
              <w:divsChild>
                <w:div w:id="2102945724">
                  <w:marLeft w:val="0"/>
                  <w:marRight w:val="0"/>
                  <w:marTop w:val="0"/>
                  <w:marBottom w:val="0"/>
                  <w:divBdr>
                    <w:top w:val="none" w:sz="0" w:space="0" w:color="auto"/>
                    <w:left w:val="none" w:sz="0" w:space="0" w:color="auto"/>
                    <w:bottom w:val="none" w:sz="0" w:space="0" w:color="auto"/>
                    <w:right w:val="none" w:sz="0" w:space="0" w:color="auto"/>
                  </w:divBdr>
                  <w:divsChild>
                    <w:div w:id="1449662786">
                      <w:marLeft w:val="0"/>
                      <w:marRight w:val="0"/>
                      <w:marTop w:val="0"/>
                      <w:marBottom w:val="0"/>
                      <w:divBdr>
                        <w:top w:val="none" w:sz="0" w:space="0" w:color="auto"/>
                        <w:left w:val="none" w:sz="0" w:space="0" w:color="auto"/>
                        <w:bottom w:val="none" w:sz="0" w:space="0" w:color="auto"/>
                        <w:right w:val="none" w:sz="0" w:space="0" w:color="auto"/>
                      </w:divBdr>
                      <w:divsChild>
                        <w:div w:id="843517218">
                          <w:marLeft w:val="0"/>
                          <w:marRight w:val="0"/>
                          <w:marTop w:val="0"/>
                          <w:marBottom w:val="0"/>
                          <w:divBdr>
                            <w:top w:val="none" w:sz="0" w:space="0" w:color="auto"/>
                            <w:left w:val="none" w:sz="0" w:space="0" w:color="auto"/>
                            <w:bottom w:val="none" w:sz="0" w:space="0" w:color="auto"/>
                            <w:right w:val="none" w:sz="0" w:space="0" w:color="auto"/>
                          </w:divBdr>
                          <w:divsChild>
                            <w:div w:id="879710332">
                              <w:marLeft w:val="0"/>
                              <w:marRight w:val="0"/>
                              <w:marTop w:val="0"/>
                              <w:marBottom w:val="0"/>
                              <w:divBdr>
                                <w:top w:val="none" w:sz="0" w:space="0" w:color="auto"/>
                                <w:left w:val="none" w:sz="0" w:space="0" w:color="auto"/>
                                <w:bottom w:val="none" w:sz="0" w:space="0" w:color="auto"/>
                                <w:right w:val="none" w:sz="0" w:space="0" w:color="auto"/>
                              </w:divBdr>
                              <w:divsChild>
                                <w:div w:id="1338311171">
                                  <w:marLeft w:val="0"/>
                                  <w:marRight w:val="0"/>
                                  <w:marTop w:val="0"/>
                                  <w:marBottom w:val="0"/>
                                  <w:divBdr>
                                    <w:top w:val="none" w:sz="0" w:space="0" w:color="auto"/>
                                    <w:left w:val="none" w:sz="0" w:space="0" w:color="auto"/>
                                    <w:bottom w:val="none" w:sz="0" w:space="0" w:color="auto"/>
                                    <w:right w:val="none" w:sz="0" w:space="0" w:color="auto"/>
                                  </w:divBdr>
                                  <w:divsChild>
                                    <w:div w:id="1120537369">
                                      <w:marLeft w:val="0"/>
                                      <w:marRight w:val="0"/>
                                      <w:marTop w:val="0"/>
                                      <w:marBottom w:val="0"/>
                                      <w:divBdr>
                                        <w:top w:val="none" w:sz="0" w:space="0" w:color="auto"/>
                                        <w:left w:val="none" w:sz="0" w:space="0" w:color="auto"/>
                                        <w:bottom w:val="none" w:sz="0" w:space="0" w:color="auto"/>
                                        <w:right w:val="none" w:sz="0" w:space="0" w:color="auto"/>
                                      </w:divBdr>
                                      <w:divsChild>
                                        <w:div w:id="14298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723137">
          <w:marLeft w:val="0"/>
          <w:marRight w:val="0"/>
          <w:marTop w:val="0"/>
          <w:marBottom w:val="0"/>
          <w:divBdr>
            <w:top w:val="none" w:sz="0" w:space="0" w:color="auto"/>
            <w:left w:val="none" w:sz="0" w:space="0" w:color="auto"/>
            <w:bottom w:val="none" w:sz="0" w:space="0" w:color="auto"/>
            <w:right w:val="none" w:sz="0" w:space="0" w:color="auto"/>
          </w:divBdr>
          <w:divsChild>
            <w:div w:id="894659197">
              <w:marLeft w:val="0"/>
              <w:marRight w:val="0"/>
              <w:marTop w:val="0"/>
              <w:marBottom w:val="0"/>
              <w:divBdr>
                <w:top w:val="none" w:sz="0" w:space="0" w:color="auto"/>
                <w:left w:val="none" w:sz="0" w:space="0" w:color="auto"/>
                <w:bottom w:val="none" w:sz="0" w:space="0" w:color="auto"/>
                <w:right w:val="none" w:sz="0" w:space="0" w:color="auto"/>
              </w:divBdr>
              <w:divsChild>
                <w:div w:id="1124079612">
                  <w:marLeft w:val="0"/>
                  <w:marRight w:val="0"/>
                  <w:marTop w:val="0"/>
                  <w:marBottom w:val="0"/>
                  <w:divBdr>
                    <w:top w:val="none" w:sz="0" w:space="0" w:color="auto"/>
                    <w:left w:val="none" w:sz="0" w:space="0" w:color="auto"/>
                    <w:bottom w:val="none" w:sz="0" w:space="0" w:color="auto"/>
                    <w:right w:val="none" w:sz="0" w:space="0" w:color="auto"/>
                  </w:divBdr>
                  <w:divsChild>
                    <w:div w:id="2054622484">
                      <w:marLeft w:val="0"/>
                      <w:marRight w:val="0"/>
                      <w:marTop w:val="0"/>
                      <w:marBottom w:val="0"/>
                      <w:divBdr>
                        <w:top w:val="none" w:sz="0" w:space="0" w:color="auto"/>
                        <w:left w:val="none" w:sz="0" w:space="0" w:color="auto"/>
                        <w:bottom w:val="none" w:sz="0" w:space="0" w:color="auto"/>
                        <w:right w:val="none" w:sz="0" w:space="0" w:color="auto"/>
                      </w:divBdr>
                      <w:divsChild>
                        <w:div w:id="1709839472">
                          <w:marLeft w:val="0"/>
                          <w:marRight w:val="0"/>
                          <w:marTop w:val="0"/>
                          <w:marBottom w:val="0"/>
                          <w:divBdr>
                            <w:top w:val="none" w:sz="0" w:space="0" w:color="auto"/>
                            <w:left w:val="none" w:sz="0" w:space="0" w:color="auto"/>
                            <w:bottom w:val="none" w:sz="0" w:space="0" w:color="auto"/>
                            <w:right w:val="none" w:sz="0" w:space="0" w:color="auto"/>
                          </w:divBdr>
                          <w:divsChild>
                            <w:div w:id="337076574">
                              <w:marLeft w:val="0"/>
                              <w:marRight w:val="0"/>
                              <w:marTop w:val="0"/>
                              <w:marBottom w:val="0"/>
                              <w:divBdr>
                                <w:top w:val="none" w:sz="0" w:space="0" w:color="auto"/>
                                <w:left w:val="none" w:sz="0" w:space="0" w:color="auto"/>
                                <w:bottom w:val="none" w:sz="0" w:space="0" w:color="auto"/>
                                <w:right w:val="none" w:sz="0" w:space="0" w:color="auto"/>
                              </w:divBdr>
                              <w:divsChild>
                                <w:div w:id="1899317724">
                                  <w:marLeft w:val="0"/>
                                  <w:marRight w:val="0"/>
                                  <w:marTop w:val="0"/>
                                  <w:marBottom w:val="0"/>
                                  <w:divBdr>
                                    <w:top w:val="none" w:sz="0" w:space="0" w:color="auto"/>
                                    <w:left w:val="none" w:sz="0" w:space="0" w:color="auto"/>
                                    <w:bottom w:val="none" w:sz="0" w:space="0" w:color="auto"/>
                                    <w:right w:val="none" w:sz="0" w:space="0" w:color="auto"/>
                                  </w:divBdr>
                                  <w:divsChild>
                                    <w:div w:id="1698460673">
                                      <w:marLeft w:val="0"/>
                                      <w:marRight w:val="0"/>
                                      <w:marTop w:val="0"/>
                                      <w:marBottom w:val="0"/>
                                      <w:divBdr>
                                        <w:top w:val="none" w:sz="0" w:space="0" w:color="auto"/>
                                        <w:left w:val="none" w:sz="0" w:space="0" w:color="auto"/>
                                        <w:bottom w:val="none" w:sz="0" w:space="0" w:color="auto"/>
                                        <w:right w:val="none" w:sz="0" w:space="0" w:color="auto"/>
                                      </w:divBdr>
                                      <w:divsChild>
                                        <w:div w:id="1786073413">
                                          <w:marLeft w:val="0"/>
                                          <w:marRight w:val="0"/>
                                          <w:marTop w:val="0"/>
                                          <w:marBottom w:val="0"/>
                                          <w:divBdr>
                                            <w:top w:val="none" w:sz="0" w:space="0" w:color="auto"/>
                                            <w:left w:val="none" w:sz="0" w:space="0" w:color="auto"/>
                                            <w:bottom w:val="none" w:sz="0" w:space="0" w:color="auto"/>
                                            <w:right w:val="none" w:sz="0" w:space="0" w:color="auto"/>
                                          </w:divBdr>
                                          <w:divsChild>
                                            <w:div w:id="12159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73871">
                          <w:marLeft w:val="0"/>
                          <w:marRight w:val="0"/>
                          <w:marTop w:val="0"/>
                          <w:marBottom w:val="0"/>
                          <w:divBdr>
                            <w:top w:val="none" w:sz="0" w:space="0" w:color="auto"/>
                            <w:left w:val="none" w:sz="0" w:space="0" w:color="auto"/>
                            <w:bottom w:val="none" w:sz="0" w:space="0" w:color="auto"/>
                            <w:right w:val="none" w:sz="0" w:space="0" w:color="auto"/>
                          </w:divBdr>
                          <w:divsChild>
                            <w:div w:id="215051365">
                              <w:marLeft w:val="0"/>
                              <w:marRight w:val="0"/>
                              <w:marTop w:val="0"/>
                              <w:marBottom w:val="0"/>
                              <w:divBdr>
                                <w:top w:val="none" w:sz="0" w:space="0" w:color="auto"/>
                                <w:left w:val="none" w:sz="0" w:space="0" w:color="auto"/>
                                <w:bottom w:val="none" w:sz="0" w:space="0" w:color="auto"/>
                                <w:right w:val="none" w:sz="0" w:space="0" w:color="auto"/>
                              </w:divBdr>
                              <w:divsChild>
                                <w:div w:id="1701666836">
                                  <w:marLeft w:val="0"/>
                                  <w:marRight w:val="0"/>
                                  <w:marTop w:val="0"/>
                                  <w:marBottom w:val="0"/>
                                  <w:divBdr>
                                    <w:top w:val="none" w:sz="0" w:space="0" w:color="auto"/>
                                    <w:left w:val="none" w:sz="0" w:space="0" w:color="auto"/>
                                    <w:bottom w:val="none" w:sz="0" w:space="0" w:color="auto"/>
                                    <w:right w:val="none" w:sz="0" w:space="0" w:color="auto"/>
                                  </w:divBdr>
                                  <w:divsChild>
                                    <w:div w:id="6392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204750">
      <w:bodyDiv w:val="1"/>
      <w:marLeft w:val="0"/>
      <w:marRight w:val="0"/>
      <w:marTop w:val="0"/>
      <w:marBottom w:val="0"/>
      <w:divBdr>
        <w:top w:val="none" w:sz="0" w:space="0" w:color="auto"/>
        <w:left w:val="none" w:sz="0" w:space="0" w:color="auto"/>
        <w:bottom w:val="none" w:sz="0" w:space="0" w:color="auto"/>
        <w:right w:val="none" w:sz="0" w:space="0" w:color="auto"/>
      </w:divBdr>
    </w:div>
    <w:div w:id="1483503276">
      <w:bodyDiv w:val="1"/>
      <w:marLeft w:val="0"/>
      <w:marRight w:val="0"/>
      <w:marTop w:val="0"/>
      <w:marBottom w:val="0"/>
      <w:divBdr>
        <w:top w:val="none" w:sz="0" w:space="0" w:color="auto"/>
        <w:left w:val="none" w:sz="0" w:space="0" w:color="auto"/>
        <w:bottom w:val="none" w:sz="0" w:space="0" w:color="auto"/>
        <w:right w:val="none" w:sz="0" w:space="0" w:color="auto"/>
      </w:divBdr>
    </w:div>
    <w:div w:id="1504277335">
      <w:bodyDiv w:val="1"/>
      <w:marLeft w:val="0"/>
      <w:marRight w:val="0"/>
      <w:marTop w:val="0"/>
      <w:marBottom w:val="0"/>
      <w:divBdr>
        <w:top w:val="none" w:sz="0" w:space="0" w:color="auto"/>
        <w:left w:val="none" w:sz="0" w:space="0" w:color="auto"/>
        <w:bottom w:val="none" w:sz="0" w:space="0" w:color="auto"/>
        <w:right w:val="none" w:sz="0" w:space="0" w:color="auto"/>
      </w:divBdr>
    </w:div>
    <w:div w:id="1721588369">
      <w:bodyDiv w:val="1"/>
      <w:marLeft w:val="0"/>
      <w:marRight w:val="0"/>
      <w:marTop w:val="0"/>
      <w:marBottom w:val="0"/>
      <w:divBdr>
        <w:top w:val="none" w:sz="0" w:space="0" w:color="auto"/>
        <w:left w:val="none" w:sz="0" w:space="0" w:color="auto"/>
        <w:bottom w:val="none" w:sz="0" w:space="0" w:color="auto"/>
        <w:right w:val="none" w:sz="0" w:space="0" w:color="auto"/>
      </w:divBdr>
    </w:div>
    <w:div w:id="1925841138">
      <w:bodyDiv w:val="1"/>
      <w:marLeft w:val="0"/>
      <w:marRight w:val="0"/>
      <w:marTop w:val="0"/>
      <w:marBottom w:val="0"/>
      <w:divBdr>
        <w:top w:val="none" w:sz="0" w:space="0" w:color="auto"/>
        <w:left w:val="none" w:sz="0" w:space="0" w:color="auto"/>
        <w:bottom w:val="none" w:sz="0" w:space="0" w:color="auto"/>
        <w:right w:val="none" w:sz="0" w:space="0" w:color="auto"/>
      </w:divBdr>
      <w:divsChild>
        <w:div w:id="917327614">
          <w:marLeft w:val="0"/>
          <w:marRight w:val="0"/>
          <w:marTop w:val="0"/>
          <w:marBottom w:val="0"/>
          <w:divBdr>
            <w:top w:val="none" w:sz="0" w:space="0" w:color="auto"/>
            <w:left w:val="none" w:sz="0" w:space="0" w:color="auto"/>
            <w:bottom w:val="none" w:sz="0" w:space="0" w:color="auto"/>
            <w:right w:val="none" w:sz="0" w:space="0" w:color="auto"/>
          </w:divBdr>
        </w:div>
      </w:divsChild>
    </w:div>
    <w:div w:id="1953854225">
      <w:bodyDiv w:val="1"/>
      <w:marLeft w:val="0"/>
      <w:marRight w:val="0"/>
      <w:marTop w:val="0"/>
      <w:marBottom w:val="0"/>
      <w:divBdr>
        <w:top w:val="none" w:sz="0" w:space="0" w:color="auto"/>
        <w:left w:val="none" w:sz="0" w:space="0" w:color="auto"/>
        <w:bottom w:val="none" w:sz="0" w:space="0" w:color="auto"/>
        <w:right w:val="none" w:sz="0" w:space="0" w:color="auto"/>
      </w:divBdr>
    </w:div>
    <w:div w:id="2021083755">
      <w:bodyDiv w:val="1"/>
      <w:marLeft w:val="0"/>
      <w:marRight w:val="0"/>
      <w:marTop w:val="0"/>
      <w:marBottom w:val="0"/>
      <w:divBdr>
        <w:top w:val="none" w:sz="0" w:space="0" w:color="auto"/>
        <w:left w:val="none" w:sz="0" w:space="0" w:color="auto"/>
        <w:bottom w:val="none" w:sz="0" w:space="0" w:color="auto"/>
        <w:right w:val="none" w:sz="0" w:space="0" w:color="auto"/>
      </w:divBdr>
    </w:div>
    <w:div w:id="2040280772">
      <w:bodyDiv w:val="1"/>
      <w:marLeft w:val="0"/>
      <w:marRight w:val="0"/>
      <w:marTop w:val="0"/>
      <w:marBottom w:val="0"/>
      <w:divBdr>
        <w:top w:val="none" w:sz="0" w:space="0" w:color="auto"/>
        <w:left w:val="none" w:sz="0" w:space="0" w:color="auto"/>
        <w:bottom w:val="none" w:sz="0" w:space="0" w:color="auto"/>
        <w:right w:val="none" w:sz="0" w:space="0" w:color="auto"/>
      </w:divBdr>
    </w:div>
    <w:div w:id="2082098877">
      <w:bodyDiv w:val="1"/>
      <w:marLeft w:val="0"/>
      <w:marRight w:val="0"/>
      <w:marTop w:val="0"/>
      <w:marBottom w:val="0"/>
      <w:divBdr>
        <w:top w:val="none" w:sz="0" w:space="0" w:color="auto"/>
        <w:left w:val="none" w:sz="0" w:space="0" w:color="auto"/>
        <w:bottom w:val="none" w:sz="0" w:space="0" w:color="auto"/>
        <w:right w:val="none" w:sz="0" w:space="0" w:color="auto"/>
      </w:divBdr>
    </w:div>
    <w:div w:id="212279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vestor.exxonmobil.com/earnings/cash-flow?utm_source=chatgpt.com" TargetMode="External"/><Relationship Id="rId5" Type="http://schemas.openxmlformats.org/officeDocument/2006/relationships/hyperlink" Target="https://investor.exxonmobil.com/news-events/press-releases/detail/1156/exxonmobil-announces-2023-results?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1</Pages>
  <Words>3170</Words>
  <Characters>18069</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HP</dc:creator>
  <cp:keywords/>
  <dc:description/>
  <cp:lastModifiedBy>Ahmed Youssef OUADINE</cp:lastModifiedBy>
  <cp:revision>13</cp:revision>
  <cp:lastPrinted>2025-03-07T11:03:00Z</cp:lastPrinted>
  <dcterms:created xsi:type="dcterms:W3CDTF">2025-03-07T10:57:00Z</dcterms:created>
  <dcterms:modified xsi:type="dcterms:W3CDTF">2025-03-08T22:24:00Z</dcterms:modified>
</cp:coreProperties>
</file>