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59FA8BB" w14:textId="77777777" w:rsidR="00200BE7" w:rsidRPr="00200BE7" w:rsidRDefault="00200BE7" w:rsidP="00200BE7">
      <w:pPr>
        <w:rPr>
          <w:b/>
          <w:bCs/>
        </w:rPr>
      </w:pPr>
      <w:r w:rsidRPr="00200BE7">
        <w:rPr>
          <w:b/>
          <w:bCs/>
        </w:rPr>
        <w:t>Partie 3 : Résultats et discussion</w:t>
      </w:r>
    </w:p>
    <w:p w14:paraId="6A99D760" w14:textId="5918BF03" w:rsidR="00C97E80" w:rsidRDefault="00200BE7" w:rsidP="00200BE7">
      <w:pPr>
        <w:rPr>
          <w:b/>
          <w:bCs/>
        </w:rPr>
      </w:pPr>
      <w:r w:rsidRPr="00200BE7">
        <w:rPr>
          <w:b/>
          <w:bCs/>
        </w:rPr>
        <w:t>Chapitre 1 : Analyse environnementale et industrielle</w:t>
      </w:r>
    </w:p>
    <w:p w14:paraId="69622B4E" w14:textId="77777777" w:rsidR="00200BE7" w:rsidRDefault="00200BE7" w:rsidP="00200BE7">
      <w:pPr>
        <w:numPr>
          <w:ilvl w:val="0"/>
          <w:numId w:val="1"/>
        </w:numPr>
        <w:rPr>
          <w:b/>
          <w:bCs/>
        </w:rPr>
      </w:pPr>
      <w:r w:rsidRPr="00200BE7">
        <w:rPr>
          <w:b/>
          <w:bCs/>
        </w:rPr>
        <w:t>Efficacité des différentes espèces locales</w:t>
      </w:r>
    </w:p>
    <w:p w14:paraId="28B43964" w14:textId="6B66B770" w:rsidR="003A7083" w:rsidRPr="00200BE7" w:rsidRDefault="003A7083" w:rsidP="003A7083">
      <w:pPr>
        <w:ind w:left="360"/>
        <w:rPr>
          <w:b/>
          <w:bCs/>
        </w:rPr>
      </w:pPr>
      <w:r w:rsidRPr="003A7083">
        <w:rPr>
          <w:b/>
          <w:bCs/>
        </w:rPr>
        <w:t>1.1. Performance des microalgues dans la capture du carbone</w:t>
      </w:r>
    </w:p>
    <w:p w14:paraId="2AA64F23" w14:textId="0AD60462" w:rsidR="00200BE7" w:rsidRDefault="00200BE7" w:rsidP="00200BE7">
      <w:pPr>
        <w:jc w:val="both"/>
      </w:pPr>
      <w:r w:rsidRPr="00200BE7">
        <w:t>Les microalgues possèdent deux super-pouvoirs majeurs : elles absorbent une quantité impressionnante de CO₂, et elles sont capables de nettoyer des milieux très pollués comme les eaux usées industrielles, les sols agricoles chargés d'engrais ou même des environnements contaminés par des métaux lourds. Grâce à leur métabolisme ultra performant, elles transforment des substances chimiques toxiques en molécules simples et inoffensives</w:t>
      </w:r>
      <w:r>
        <w:t xml:space="preserve">. </w:t>
      </w:r>
      <w:proofErr w:type="gramStart"/>
      <w:r>
        <w:t>leur</w:t>
      </w:r>
      <w:proofErr w:type="gramEnd"/>
      <w:r w:rsidRPr="00200BE7">
        <w:t xml:space="preserve"> capacité à absorber le carbone est jusqu’à 10 fois supérieure à celle des arbres, Certaines microalgues peuvent capter 10 à 50 fois plus de CO₂ par hectare que les forêts terrestres grâce à leur vitesse de croissance et à leur reproduction rapide.</w:t>
      </w:r>
    </w:p>
    <w:p w14:paraId="2298B0D1" w14:textId="5E731B18" w:rsidR="00200BE7" w:rsidRDefault="00200BE7" w:rsidP="00200BE7">
      <w:pPr>
        <w:jc w:val="both"/>
        <w:rPr>
          <w:b/>
          <w:bCs/>
        </w:rPr>
      </w:pPr>
      <w:r w:rsidRPr="00200BE7">
        <w:rPr>
          <w:b/>
          <w:bCs/>
        </w:rPr>
        <w:t>Des estimations chiffrées montrent qu’un hectare de bassins d’algues peut absorber entre 20 et 30 tonnes de CO₂ par an, contre 2 à 5 tonnes pour une forêt classique</w:t>
      </w:r>
      <w:r>
        <w:rPr>
          <w:b/>
          <w:bCs/>
        </w:rPr>
        <w:t>.</w:t>
      </w:r>
    </w:p>
    <w:p w14:paraId="294E3D03" w14:textId="18741387" w:rsidR="00200BE7" w:rsidRDefault="00200BE7" w:rsidP="00200BE7">
      <w:pPr>
        <w:pStyle w:val="ListParagraph"/>
        <w:numPr>
          <w:ilvl w:val="0"/>
          <w:numId w:val="2"/>
        </w:numPr>
        <w:jc w:val="both"/>
        <w:rPr>
          <w:b/>
          <w:bCs/>
          <w:color w:val="4472C4" w:themeColor="accent1"/>
        </w:rPr>
      </w:pPr>
      <w:r w:rsidRPr="00200BE7">
        <w:rPr>
          <w:b/>
          <w:bCs/>
          <w:color w:val="4472C4" w:themeColor="accent1"/>
        </w:rPr>
        <w:t>Espèces souvent citées pour leur efficacité :</w:t>
      </w:r>
    </w:p>
    <w:p w14:paraId="37065004" w14:textId="77777777" w:rsidR="00831135" w:rsidRDefault="00200BE7" w:rsidP="00831135">
      <w:pPr>
        <w:jc w:val="both"/>
      </w:pPr>
      <w:r w:rsidRPr="00200BE7">
        <w:t xml:space="preserve">On peut simplement les classer en deux grandes catégories : les eucaryotes (possédant un noyau bien défini, comme </w:t>
      </w:r>
      <w:proofErr w:type="spellStart"/>
      <w:r w:rsidRPr="00200BE7">
        <w:t>Chlorella</w:t>
      </w:r>
      <w:proofErr w:type="spellEnd"/>
      <w:r w:rsidRPr="00200BE7">
        <w:t xml:space="preserve"> ou </w:t>
      </w:r>
      <w:proofErr w:type="spellStart"/>
      <w:r w:rsidRPr="00200BE7">
        <w:t>Spirulina</w:t>
      </w:r>
      <w:proofErr w:type="spellEnd"/>
      <w:proofErr w:type="gramStart"/>
      <w:r w:rsidRPr="00200BE7">
        <w:t>)</w:t>
      </w:r>
      <w:r>
        <w:t>.</w:t>
      </w:r>
      <w:r w:rsidR="00831135">
        <w:t>Selon</w:t>
      </w:r>
      <w:proofErr w:type="gramEnd"/>
      <w:r w:rsidR="00831135">
        <w:t xml:space="preserve"> </w:t>
      </w:r>
      <w:proofErr w:type="spellStart"/>
      <w:r w:rsidR="00831135">
        <w:t>larticle</w:t>
      </w:r>
      <w:proofErr w:type="spellEnd"/>
      <w:r w:rsidR="00831135">
        <w:t xml:space="preserve"> </w:t>
      </w:r>
      <w:proofErr w:type="spellStart"/>
      <w:r w:rsidR="00831135" w:rsidRPr="00831135">
        <w:t>Recent</w:t>
      </w:r>
      <w:proofErr w:type="spellEnd"/>
      <w:r w:rsidR="00831135" w:rsidRPr="00831135">
        <w:t xml:space="preserve"> </w:t>
      </w:r>
      <w:proofErr w:type="spellStart"/>
      <w:r w:rsidR="00831135" w:rsidRPr="00831135">
        <w:t>Developments</w:t>
      </w:r>
      <w:proofErr w:type="spellEnd"/>
      <w:r w:rsidR="00831135" w:rsidRPr="00831135">
        <w:t xml:space="preserve"> on the Performance of Algal </w:t>
      </w:r>
      <w:proofErr w:type="spellStart"/>
      <w:r w:rsidR="00831135" w:rsidRPr="00831135">
        <w:t>Bioreactors</w:t>
      </w:r>
      <w:proofErr w:type="spellEnd"/>
      <w:r w:rsidR="00831135" w:rsidRPr="00831135">
        <w:t xml:space="preserve"> for CO2 </w:t>
      </w:r>
      <w:proofErr w:type="gramStart"/>
      <w:r w:rsidR="00831135" w:rsidRPr="00831135">
        <w:t>Removal:</w:t>
      </w:r>
      <w:proofErr w:type="gramEnd"/>
      <w:r w:rsidR="00831135" w:rsidRPr="00831135">
        <w:t xml:space="preserve"> </w:t>
      </w:r>
      <w:proofErr w:type="spellStart"/>
      <w:r w:rsidR="00831135" w:rsidRPr="00831135">
        <w:t>Focusing</w:t>
      </w:r>
      <w:proofErr w:type="spellEnd"/>
      <w:r w:rsidR="00831135" w:rsidRPr="00831135">
        <w:t xml:space="preserve"> on the Light </w:t>
      </w:r>
      <w:proofErr w:type="spellStart"/>
      <w:r w:rsidR="00831135" w:rsidRPr="00831135">
        <w:t>Intensity</w:t>
      </w:r>
      <w:proofErr w:type="spellEnd"/>
      <w:r w:rsidR="00831135" w:rsidRPr="00831135">
        <w:t xml:space="preserve"> and </w:t>
      </w:r>
      <w:proofErr w:type="spellStart"/>
      <w:r w:rsidR="00831135" w:rsidRPr="00831135">
        <w:t>Photoperiods</w:t>
      </w:r>
      <w:proofErr w:type="spellEnd"/>
      <w:r w:rsidR="00831135">
        <w:t xml:space="preserve"> </w:t>
      </w:r>
    </w:p>
    <w:p w14:paraId="13FB3E02" w14:textId="43B10939" w:rsidR="00831135" w:rsidRDefault="00D85AF4" w:rsidP="0088593C">
      <w:pPr>
        <w:jc w:val="both"/>
        <w:rPr>
          <w:color w:val="EE0000"/>
        </w:rPr>
      </w:pPr>
      <w:proofErr w:type="spellStart"/>
      <w:r w:rsidRPr="00D85AF4">
        <w:rPr>
          <w:b/>
          <w:bCs/>
        </w:rPr>
        <w:t>Chlorella</w:t>
      </w:r>
      <w:proofErr w:type="spellEnd"/>
      <w:r w:rsidRPr="00D85AF4">
        <w:rPr>
          <w:b/>
          <w:bCs/>
        </w:rPr>
        <w:t xml:space="preserve"> vulgaris</w:t>
      </w:r>
      <w:r w:rsidRPr="00D85AF4">
        <w:t xml:space="preserve"> est l'une des algues les plus couramment utilisées dans les </w:t>
      </w:r>
      <w:proofErr w:type="gramStart"/>
      <w:r w:rsidRPr="00D85AF4">
        <w:t>bioréacteurs</w:t>
      </w:r>
      <w:r>
        <w:t xml:space="preserve"> ,</w:t>
      </w:r>
      <w:proofErr w:type="gramEnd"/>
      <w:r>
        <w:t xml:space="preserve"> </w:t>
      </w:r>
      <w:proofErr w:type="spellStart"/>
      <w:r w:rsidRPr="00D85AF4">
        <w:rPr>
          <w:b/>
          <w:bCs/>
        </w:rPr>
        <w:t>hlorella</w:t>
      </w:r>
      <w:proofErr w:type="spellEnd"/>
      <w:r w:rsidRPr="00D85AF4">
        <w:rPr>
          <w:b/>
          <w:bCs/>
        </w:rPr>
        <w:t xml:space="preserve"> vulgaris</w:t>
      </w:r>
      <w:r w:rsidRPr="00D85AF4">
        <w:t xml:space="preserve"> présente les caractéristiques des régimes autotrophe et hétérotrophe. Elle consomme du carbone organique pour augmenter son taux de croissance et sa productivité en biomasse, de manière similaire à la culture hétérotrophe. De plus, elle recycle le carbone inorganique en présence de lumière pour produire de l’oxygène (O₂)</w:t>
      </w:r>
      <w:r w:rsidR="00831135">
        <w:t>.</w:t>
      </w:r>
      <w:r w:rsidR="00831135" w:rsidRPr="00831135">
        <w:t xml:space="preserve"> Des études approfondies sur plusieurs espèces d’algues, en présence de 9 % de CO₂, 2,66 kg/jour de SO₂ et 36,25 mg/nm</w:t>
      </w:r>
      <w:proofErr w:type="gramStart"/>
      <w:r w:rsidR="00831135" w:rsidRPr="00831135">
        <w:t>³,ont</w:t>
      </w:r>
      <w:proofErr w:type="gramEnd"/>
      <w:r w:rsidR="00831135" w:rsidRPr="00831135">
        <w:t xml:space="preserve"> révélé que </w:t>
      </w:r>
      <w:proofErr w:type="spellStart"/>
      <w:r w:rsidR="00831135" w:rsidRPr="00831135">
        <w:rPr>
          <w:b/>
          <w:bCs/>
        </w:rPr>
        <w:t>Chlorella</w:t>
      </w:r>
      <w:proofErr w:type="spellEnd"/>
      <w:r w:rsidR="00831135" w:rsidRPr="00831135">
        <w:rPr>
          <w:b/>
          <w:bCs/>
        </w:rPr>
        <w:t xml:space="preserve"> vulgaris</w:t>
      </w:r>
      <w:r w:rsidR="00831135" w:rsidRPr="00831135">
        <w:t xml:space="preserve"> présentait un taux de croissance rapide avec une excellente teneur en huile et un rendement énergétique respectivement de </w:t>
      </w:r>
      <w:r w:rsidR="00831135" w:rsidRPr="00831135">
        <w:rPr>
          <w:color w:val="EE0000"/>
        </w:rPr>
        <w:t>11,45 % et 29,53 %</w:t>
      </w:r>
      <w:r w:rsidR="00831135">
        <w:rPr>
          <w:color w:val="EE0000"/>
        </w:rPr>
        <w:t xml:space="preserve">. </w:t>
      </w:r>
    </w:p>
    <w:p w14:paraId="306F8581" w14:textId="10EC1A7A" w:rsidR="00831135" w:rsidRDefault="00831135" w:rsidP="00831135">
      <w:pPr>
        <w:jc w:val="both"/>
        <w:rPr>
          <w:b/>
          <w:bCs/>
          <w:color w:val="000000" w:themeColor="text1"/>
        </w:rPr>
      </w:pPr>
      <w:r w:rsidRPr="00831135">
        <w:rPr>
          <w:b/>
          <w:bCs/>
          <w:color w:val="000000" w:themeColor="text1"/>
        </w:rPr>
        <w:t>--&gt; De plus, les efficacités correspondantes de réduction du CO₂ étaient respectivement de 40 % et 25 %. Dans le cas du BCR (réacteur à bulles), en raison d’un fort taux de rétention de gaz qui améliore la qualité du mélange, la production de biomasse était près de 50 % supérieure à celle observée avec le ALR (réacteur à circulation à air).</w:t>
      </w:r>
    </w:p>
    <w:p w14:paraId="02007053" w14:textId="788AB1BC" w:rsidR="0088593C" w:rsidRDefault="0088593C" w:rsidP="00831135">
      <w:pPr>
        <w:jc w:val="both"/>
        <w:rPr>
          <w:color w:val="000000" w:themeColor="text1"/>
        </w:rPr>
      </w:pPr>
      <w:proofErr w:type="spellStart"/>
      <w:r w:rsidRPr="0088593C">
        <w:rPr>
          <w:b/>
          <w:bCs/>
          <w:color w:val="000000" w:themeColor="text1"/>
        </w:rPr>
        <w:t>Spirulina</w:t>
      </w:r>
      <w:proofErr w:type="spellEnd"/>
      <w:r w:rsidRPr="0088593C">
        <w:rPr>
          <w:b/>
          <w:bCs/>
          <w:color w:val="000000" w:themeColor="text1"/>
        </w:rPr>
        <w:t xml:space="preserve"> </w:t>
      </w:r>
      <w:proofErr w:type="spellStart"/>
      <w:r w:rsidRPr="0088593C">
        <w:rPr>
          <w:b/>
          <w:bCs/>
          <w:color w:val="000000" w:themeColor="text1"/>
        </w:rPr>
        <w:t>sp</w:t>
      </w:r>
      <w:proofErr w:type="spellEnd"/>
      <w:r w:rsidRPr="0088593C">
        <w:rPr>
          <w:b/>
          <w:bCs/>
          <w:color w:val="000000" w:themeColor="text1"/>
        </w:rPr>
        <w:t xml:space="preserve">. </w:t>
      </w:r>
      <w:proofErr w:type="gramStart"/>
      <w:r w:rsidRPr="0088593C">
        <w:rPr>
          <w:color w:val="000000" w:themeColor="text1"/>
        </w:rPr>
        <w:t>est</w:t>
      </w:r>
      <w:proofErr w:type="gramEnd"/>
      <w:r w:rsidRPr="0088593C">
        <w:rPr>
          <w:color w:val="000000" w:themeColor="text1"/>
        </w:rPr>
        <w:t xml:space="preserve"> une cyanobactérie, couramment connue pour l'utilisation de sa biomasse dans l'alimentation humaine et l’alimentation animale. Un taux de réduction du CO₂ allant jusqu'à 105 mg/L/jour et une efficacité d’élimination du CO₂ supérieure à 15 % ont été rapportés lors de l'utilisation de </w:t>
      </w:r>
      <w:proofErr w:type="spellStart"/>
      <w:r w:rsidRPr="0088593C">
        <w:rPr>
          <w:color w:val="000000" w:themeColor="text1"/>
        </w:rPr>
        <w:t>Spirulina</w:t>
      </w:r>
      <w:proofErr w:type="spellEnd"/>
      <w:r w:rsidRPr="0088593C">
        <w:rPr>
          <w:color w:val="000000" w:themeColor="text1"/>
        </w:rPr>
        <w:t xml:space="preserve"> </w:t>
      </w:r>
      <w:proofErr w:type="spellStart"/>
      <w:r w:rsidRPr="0088593C">
        <w:rPr>
          <w:color w:val="000000" w:themeColor="text1"/>
        </w:rPr>
        <w:t>sp</w:t>
      </w:r>
      <w:proofErr w:type="spellEnd"/>
      <w:r w:rsidRPr="0088593C">
        <w:rPr>
          <w:color w:val="000000" w:themeColor="text1"/>
        </w:rPr>
        <w:t>.</w:t>
      </w:r>
      <w:r w:rsidRPr="0088593C">
        <w:t xml:space="preserve"> </w:t>
      </w:r>
      <w:r w:rsidRPr="0088593C">
        <w:rPr>
          <w:color w:val="000000" w:themeColor="text1"/>
        </w:rPr>
        <w:t xml:space="preserve">Les performances supérieures de cette souche </w:t>
      </w:r>
      <w:r w:rsidRPr="0088593C">
        <w:rPr>
          <w:color w:val="000000" w:themeColor="text1"/>
        </w:rPr>
        <w:lastRenderedPageBreak/>
        <w:t xml:space="preserve">d’algue ont été observées en présence d’un </w:t>
      </w:r>
      <w:r w:rsidRPr="0088593C">
        <w:rPr>
          <w:b/>
          <w:bCs/>
          <w:color w:val="000000" w:themeColor="text1"/>
        </w:rPr>
        <w:t>adsorbant chimique</w:t>
      </w:r>
      <w:r w:rsidRPr="0088593C">
        <w:rPr>
          <w:color w:val="000000" w:themeColor="text1"/>
        </w:rPr>
        <w:t xml:space="preserve"> ; l’algue peut donc être utilisée en combinaison ou comme partie d’une chaîne de traitement avec d'autres procédés de séquestration du CO₂ physiques et/ou chimiques.</w:t>
      </w:r>
    </w:p>
    <w:p w14:paraId="1B0ABF9A" w14:textId="37320F8A" w:rsidR="00136CA4" w:rsidRDefault="00136CA4" w:rsidP="00136CA4">
      <w:pPr>
        <w:jc w:val="both"/>
        <w:rPr>
          <w:color w:val="000000" w:themeColor="text1"/>
        </w:rPr>
      </w:pPr>
      <w:r>
        <w:rPr>
          <w:color w:val="000000" w:themeColor="text1"/>
        </w:rPr>
        <w:t xml:space="preserve">Tableau 1 : </w:t>
      </w:r>
      <w:r w:rsidRPr="00136CA4">
        <w:rPr>
          <w:color w:val="000000" w:themeColor="text1"/>
        </w:rPr>
        <w:t>Résumé des différentes espèces d’algues et de leurs taux de croissance respectifs, rendements, taux de concentrations en CO2.</w:t>
      </w:r>
    </w:p>
    <w:tbl>
      <w:tblPr>
        <w:tblStyle w:val="TableGrid"/>
        <w:tblW w:w="9351" w:type="dxa"/>
        <w:tblLayout w:type="fixed"/>
        <w:tblLook w:val="04A0" w:firstRow="1" w:lastRow="0" w:firstColumn="1" w:lastColumn="0" w:noHBand="0" w:noVBand="1"/>
      </w:tblPr>
      <w:tblGrid>
        <w:gridCol w:w="2547"/>
        <w:gridCol w:w="2126"/>
        <w:gridCol w:w="2126"/>
        <w:gridCol w:w="2552"/>
      </w:tblGrid>
      <w:tr w:rsidR="00D56512" w14:paraId="681C3F05" w14:textId="77777777" w:rsidTr="00D56512">
        <w:tc>
          <w:tcPr>
            <w:tcW w:w="2547" w:type="dxa"/>
          </w:tcPr>
          <w:p w14:paraId="6842BDF9" w14:textId="3BCBA275" w:rsidR="00D56512" w:rsidRDefault="00D56512" w:rsidP="00D56512">
            <w:pPr>
              <w:jc w:val="both"/>
              <w:rPr>
                <w:color w:val="000000" w:themeColor="text1"/>
              </w:rPr>
            </w:pPr>
            <w:r w:rsidRPr="00D56512">
              <w:rPr>
                <w:b/>
                <w:bCs/>
                <w:color w:val="000000" w:themeColor="text1"/>
              </w:rPr>
              <w:t>Espèce d’algues</w:t>
            </w:r>
          </w:p>
        </w:tc>
        <w:tc>
          <w:tcPr>
            <w:tcW w:w="2126" w:type="dxa"/>
            <w:vAlign w:val="center"/>
          </w:tcPr>
          <w:p w14:paraId="637EDF95" w14:textId="2784B9A1" w:rsidR="00D56512" w:rsidRDefault="00D56512" w:rsidP="00D56512">
            <w:pPr>
              <w:jc w:val="both"/>
              <w:rPr>
                <w:color w:val="000000" w:themeColor="text1"/>
              </w:rPr>
            </w:pPr>
            <w:r w:rsidRPr="00D56512">
              <w:rPr>
                <w:b/>
                <w:bCs/>
                <w:color w:val="000000" w:themeColor="text1"/>
              </w:rPr>
              <w:t>Taux de croissance (mg/L/jour)</w:t>
            </w:r>
          </w:p>
        </w:tc>
        <w:tc>
          <w:tcPr>
            <w:tcW w:w="2126" w:type="dxa"/>
          </w:tcPr>
          <w:p w14:paraId="15544713" w14:textId="1992B507" w:rsidR="00D56512" w:rsidRDefault="00D56512" w:rsidP="00D56512">
            <w:pPr>
              <w:jc w:val="both"/>
              <w:rPr>
                <w:color w:val="000000" w:themeColor="text1"/>
              </w:rPr>
            </w:pPr>
            <w:r w:rsidRPr="00D56512">
              <w:rPr>
                <w:b/>
                <w:bCs/>
                <w:color w:val="000000" w:themeColor="text1"/>
              </w:rPr>
              <w:t>Concentration de biomasse (g/L)</w:t>
            </w:r>
          </w:p>
        </w:tc>
        <w:tc>
          <w:tcPr>
            <w:tcW w:w="2552" w:type="dxa"/>
            <w:vAlign w:val="center"/>
          </w:tcPr>
          <w:p w14:paraId="5D37659D" w14:textId="30B7FE11" w:rsidR="00D56512" w:rsidRDefault="00D56512" w:rsidP="00D56512">
            <w:pPr>
              <w:jc w:val="both"/>
              <w:rPr>
                <w:color w:val="000000" w:themeColor="text1"/>
              </w:rPr>
            </w:pPr>
            <w:r w:rsidRPr="00D56512">
              <w:rPr>
                <w:b/>
                <w:bCs/>
                <w:color w:val="000000" w:themeColor="text1"/>
              </w:rPr>
              <w:t>Efficacité d’élimination du CO₂ (%)</w:t>
            </w:r>
          </w:p>
        </w:tc>
      </w:tr>
      <w:tr w:rsidR="00D56512" w14:paraId="70FB5ADD" w14:textId="77777777" w:rsidTr="00D56512">
        <w:trPr>
          <w:trHeight w:val="530"/>
        </w:trPr>
        <w:tc>
          <w:tcPr>
            <w:tcW w:w="2547" w:type="dxa"/>
          </w:tcPr>
          <w:p w14:paraId="1EAA8400" w14:textId="614423DA" w:rsidR="00D56512" w:rsidRPr="00D56512" w:rsidRDefault="00D56512" w:rsidP="00136CA4">
            <w:pPr>
              <w:jc w:val="center"/>
              <w:rPr>
                <w:i/>
                <w:iCs/>
                <w:color w:val="000000" w:themeColor="text1"/>
              </w:rPr>
            </w:pPr>
            <w:proofErr w:type="spellStart"/>
            <w:r w:rsidRPr="00D56512">
              <w:rPr>
                <w:i/>
                <w:iCs/>
              </w:rPr>
              <w:t>Chlorella</w:t>
            </w:r>
            <w:proofErr w:type="spellEnd"/>
            <w:r w:rsidRPr="00D56512">
              <w:rPr>
                <w:i/>
                <w:iCs/>
              </w:rPr>
              <w:t xml:space="preserve"> vulgaris</w:t>
            </w:r>
          </w:p>
        </w:tc>
        <w:tc>
          <w:tcPr>
            <w:tcW w:w="2126" w:type="dxa"/>
          </w:tcPr>
          <w:p w14:paraId="0E96BE08" w14:textId="388401E8" w:rsidR="00D56512" w:rsidRDefault="00D56512" w:rsidP="00136CA4">
            <w:pPr>
              <w:jc w:val="center"/>
              <w:rPr>
                <w:color w:val="000000" w:themeColor="text1"/>
              </w:rPr>
            </w:pPr>
            <w:r w:rsidRPr="00D56512">
              <w:rPr>
                <w:color w:val="000000" w:themeColor="text1"/>
              </w:rPr>
              <w:t>242</w:t>
            </w:r>
          </w:p>
        </w:tc>
        <w:tc>
          <w:tcPr>
            <w:tcW w:w="2126" w:type="dxa"/>
          </w:tcPr>
          <w:p w14:paraId="4804FE11" w14:textId="5E18989C" w:rsidR="00D56512" w:rsidRDefault="00D56512" w:rsidP="00136CA4">
            <w:pPr>
              <w:jc w:val="center"/>
              <w:rPr>
                <w:color w:val="000000" w:themeColor="text1"/>
              </w:rPr>
            </w:pPr>
            <w:r w:rsidRPr="00D56512">
              <w:rPr>
                <w:color w:val="000000" w:themeColor="text1"/>
              </w:rPr>
              <w:t xml:space="preserve">1,13 </w:t>
            </w:r>
          </w:p>
        </w:tc>
        <w:tc>
          <w:tcPr>
            <w:tcW w:w="2552" w:type="dxa"/>
          </w:tcPr>
          <w:p w14:paraId="02939EC2" w14:textId="41A2B8C4" w:rsidR="00D56512" w:rsidRDefault="00136CA4" w:rsidP="00136CA4">
            <w:pPr>
              <w:jc w:val="center"/>
              <w:rPr>
                <w:color w:val="000000" w:themeColor="text1"/>
              </w:rPr>
            </w:pPr>
            <w:r w:rsidRPr="00136CA4">
              <w:rPr>
                <w:color w:val="000000" w:themeColor="text1"/>
              </w:rPr>
              <w:t>40 / 25</w:t>
            </w:r>
          </w:p>
        </w:tc>
      </w:tr>
      <w:tr w:rsidR="00D56512" w14:paraId="61A583E3" w14:textId="77777777" w:rsidTr="00D56512">
        <w:trPr>
          <w:trHeight w:val="565"/>
        </w:trPr>
        <w:tc>
          <w:tcPr>
            <w:tcW w:w="2547" w:type="dxa"/>
          </w:tcPr>
          <w:p w14:paraId="75D9C9D1" w14:textId="54C46DCB" w:rsidR="00D56512" w:rsidRDefault="00136CA4" w:rsidP="00136CA4">
            <w:pPr>
              <w:jc w:val="center"/>
              <w:rPr>
                <w:color w:val="000000" w:themeColor="text1"/>
              </w:rPr>
            </w:pPr>
            <w:proofErr w:type="spellStart"/>
            <w:r w:rsidRPr="00136CA4">
              <w:rPr>
                <w:color w:val="000000" w:themeColor="text1"/>
              </w:rPr>
              <w:t>Chlorophyta</w:t>
            </w:r>
            <w:proofErr w:type="spellEnd"/>
          </w:p>
        </w:tc>
        <w:tc>
          <w:tcPr>
            <w:tcW w:w="2126" w:type="dxa"/>
          </w:tcPr>
          <w:p w14:paraId="3F2048BE" w14:textId="71108BC6" w:rsidR="00D56512" w:rsidRDefault="00136CA4" w:rsidP="00136CA4">
            <w:pPr>
              <w:jc w:val="center"/>
              <w:rPr>
                <w:color w:val="000000" w:themeColor="text1"/>
              </w:rPr>
            </w:pPr>
            <w:r w:rsidRPr="00136CA4">
              <w:rPr>
                <w:color w:val="000000" w:themeColor="text1"/>
              </w:rPr>
              <w:t>5,6 </w:t>
            </w:r>
          </w:p>
        </w:tc>
        <w:tc>
          <w:tcPr>
            <w:tcW w:w="2126" w:type="dxa"/>
          </w:tcPr>
          <w:p w14:paraId="54937791" w14:textId="7CB0C0FF" w:rsidR="00D56512" w:rsidRDefault="00136CA4" w:rsidP="00136CA4">
            <w:pPr>
              <w:jc w:val="center"/>
              <w:rPr>
                <w:color w:val="000000" w:themeColor="text1"/>
              </w:rPr>
            </w:pPr>
            <w:r>
              <w:rPr>
                <w:color w:val="000000" w:themeColor="text1"/>
              </w:rPr>
              <w:t>-</w:t>
            </w:r>
          </w:p>
        </w:tc>
        <w:tc>
          <w:tcPr>
            <w:tcW w:w="2552" w:type="dxa"/>
          </w:tcPr>
          <w:p w14:paraId="385EC7A6" w14:textId="6FDE9E65" w:rsidR="00D56512" w:rsidRDefault="00136CA4" w:rsidP="00136CA4">
            <w:pPr>
              <w:jc w:val="center"/>
              <w:rPr>
                <w:color w:val="000000" w:themeColor="text1"/>
              </w:rPr>
            </w:pPr>
            <w:r w:rsidRPr="00136CA4">
              <w:rPr>
                <w:color w:val="000000" w:themeColor="text1"/>
              </w:rPr>
              <w:t>22,04</w:t>
            </w:r>
          </w:p>
        </w:tc>
      </w:tr>
      <w:tr w:rsidR="00D56512" w14:paraId="78D13254" w14:textId="77777777" w:rsidTr="00D56512">
        <w:trPr>
          <w:trHeight w:val="476"/>
        </w:trPr>
        <w:tc>
          <w:tcPr>
            <w:tcW w:w="2547" w:type="dxa"/>
          </w:tcPr>
          <w:p w14:paraId="25C17FB9" w14:textId="12D10980" w:rsidR="00D56512" w:rsidRDefault="00136CA4" w:rsidP="00136CA4">
            <w:pPr>
              <w:jc w:val="center"/>
              <w:rPr>
                <w:color w:val="000000" w:themeColor="text1"/>
              </w:rPr>
            </w:pPr>
            <w:proofErr w:type="spellStart"/>
            <w:r w:rsidRPr="00136CA4">
              <w:rPr>
                <w:color w:val="000000" w:themeColor="text1"/>
              </w:rPr>
              <w:t>Spirulina</w:t>
            </w:r>
            <w:proofErr w:type="spellEnd"/>
            <w:r w:rsidRPr="00136CA4">
              <w:rPr>
                <w:color w:val="000000" w:themeColor="text1"/>
              </w:rPr>
              <w:t xml:space="preserve"> </w:t>
            </w:r>
            <w:proofErr w:type="spellStart"/>
            <w:r w:rsidRPr="00136CA4">
              <w:rPr>
                <w:color w:val="000000" w:themeColor="text1"/>
              </w:rPr>
              <w:t>sp</w:t>
            </w:r>
            <w:proofErr w:type="spellEnd"/>
          </w:p>
        </w:tc>
        <w:tc>
          <w:tcPr>
            <w:tcW w:w="2126" w:type="dxa"/>
          </w:tcPr>
          <w:p w14:paraId="0B4D9109" w14:textId="627CC969" w:rsidR="00D56512" w:rsidRDefault="00136CA4" w:rsidP="00136CA4">
            <w:pPr>
              <w:jc w:val="center"/>
              <w:rPr>
                <w:color w:val="000000" w:themeColor="text1"/>
              </w:rPr>
            </w:pPr>
            <w:r w:rsidRPr="00136CA4">
              <w:rPr>
                <w:color w:val="000000" w:themeColor="text1"/>
              </w:rPr>
              <w:t xml:space="preserve">110,2 </w:t>
            </w:r>
          </w:p>
        </w:tc>
        <w:tc>
          <w:tcPr>
            <w:tcW w:w="2126" w:type="dxa"/>
          </w:tcPr>
          <w:p w14:paraId="39C1BBEB" w14:textId="12B616BC" w:rsidR="00D56512" w:rsidRDefault="00136CA4" w:rsidP="00136CA4">
            <w:pPr>
              <w:jc w:val="center"/>
              <w:rPr>
                <w:color w:val="000000" w:themeColor="text1"/>
              </w:rPr>
            </w:pPr>
            <w:r w:rsidRPr="00136CA4">
              <w:rPr>
                <w:color w:val="000000" w:themeColor="text1"/>
              </w:rPr>
              <w:t>29,8</w:t>
            </w:r>
          </w:p>
        </w:tc>
        <w:tc>
          <w:tcPr>
            <w:tcW w:w="2552" w:type="dxa"/>
          </w:tcPr>
          <w:p w14:paraId="5853024F" w14:textId="1329AA76" w:rsidR="00D56512" w:rsidRDefault="00136CA4" w:rsidP="00136CA4">
            <w:pPr>
              <w:jc w:val="center"/>
              <w:rPr>
                <w:color w:val="000000" w:themeColor="text1"/>
              </w:rPr>
            </w:pPr>
            <w:r w:rsidRPr="0088593C">
              <w:rPr>
                <w:color w:val="000000" w:themeColor="text1"/>
              </w:rPr>
              <w:t>15</w:t>
            </w:r>
          </w:p>
        </w:tc>
      </w:tr>
    </w:tbl>
    <w:p w14:paraId="1B7C351B" w14:textId="77777777" w:rsidR="006B28B9" w:rsidRPr="006B28B9" w:rsidRDefault="006B28B9" w:rsidP="00D56512">
      <w:pPr>
        <w:jc w:val="both"/>
        <w:rPr>
          <w:b/>
          <w:bCs/>
          <w:color w:val="4472C4" w:themeColor="accent1"/>
        </w:rPr>
      </w:pPr>
    </w:p>
    <w:p w14:paraId="7CADD899" w14:textId="46DFA26D" w:rsidR="00831135" w:rsidRDefault="006B28B9" w:rsidP="00D56512">
      <w:pPr>
        <w:jc w:val="both"/>
        <w:rPr>
          <w:b/>
          <w:bCs/>
          <w:color w:val="4472C4" w:themeColor="accent1"/>
        </w:rPr>
      </w:pPr>
      <w:r w:rsidRPr="006B28B9">
        <w:rPr>
          <w:b/>
          <w:bCs/>
          <w:color w:val="4472C4" w:themeColor="accent1"/>
        </w:rPr>
        <w:t>Comparaison des performances entre systèmes de culture (extensive, intensive)</w:t>
      </w:r>
    </w:p>
    <w:p w14:paraId="72FB8572" w14:textId="64F27451" w:rsidR="006B3C75" w:rsidRPr="006B3C75" w:rsidRDefault="006B3C75" w:rsidP="006B3C75">
      <w:pPr>
        <w:jc w:val="both"/>
        <w:rPr>
          <w:color w:val="000000" w:themeColor="text1"/>
        </w:rPr>
      </w:pPr>
      <w:r w:rsidRPr="006B3C75">
        <w:rPr>
          <w:color w:val="000000" w:themeColor="text1"/>
        </w:rPr>
        <w:t>Dans tous les types d’élevage aquatique, on observe généralement que :</w:t>
      </w:r>
    </w:p>
    <w:p w14:paraId="20132AC4" w14:textId="4465441B" w:rsidR="006B3C75" w:rsidRPr="006B3C75" w:rsidRDefault="006B3C75" w:rsidP="006B3C75">
      <w:pPr>
        <w:jc w:val="both"/>
        <w:rPr>
          <w:color w:val="000000" w:themeColor="text1"/>
        </w:rPr>
      </w:pPr>
      <w:r w:rsidRPr="006B3C75">
        <w:rPr>
          <w:b/>
          <w:bCs/>
          <w:color w:val="000000" w:themeColor="text1"/>
        </w:rPr>
        <w:t>Élevage extensif :</w:t>
      </w:r>
      <w:r w:rsidRPr="006B3C75">
        <w:rPr>
          <w:color w:val="000000" w:themeColor="text1"/>
        </w:rPr>
        <w:t xml:space="preserve"> faible coût mais faible rendement.</w:t>
      </w:r>
    </w:p>
    <w:p w14:paraId="672707C3" w14:textId="1A5C6098" w:rsidR="006B28B9" w:rsidRDefault="006B3C75" w:rsidP="006B3C75">
      <w:pPr>
        <w:jc w:val="both"/>
        <w:rPr>
          <w:color w:val="000000" w:themeColor="text1"/>
        </w:rPr>
      </w:pPr>
      <w:r w:rsidRPr="006B3C75">
        <w:rPr>
          <w:b/>
          <w:bCs/>
          <w:color w:val="000000" w:themeColor="text1"/>
        </w:rPr>
        <w:t>Élevage intensif :</w:t>
      </w:r>
      <w:r w:rsidRPr="006B3C75">
        <w:rPr>
          <w:color w:val="000000" w:themeColor="text1"/>
        </w:rPr>
        <w:t xml:space="preserve"> rendement élevé mais coût élevé.</w:t>
      </w:r>
    </w:p>
    <w:p w14:paraId="5775444B" w14:textId="08D38267" w:rsidR="006B3C75" w:rsidRDefault="006B3C75" w:rsidP="006B3C75">
      <w:pPr>
        <w:jc w:val="both"/>
        <w:rPr>
          <w:color w:val="000000" w:themeColor="text1"/>
        </w:rPr>
      </w:pPr>
      <w:r w:rsidRPr="006B3C75">
        <w:rPr>
          <w:color w:val="000000" w:themeColor="text1"/>
        </w:rPr>
        <w:t>Le choix dépend des besoins en productivité : l’élevage intensif est plus efficace pour la production de biomasse</w:t>
      </w:r>
      <w:r>
        <w:rPr>
          <w:color w:val="000000" w:themeColor="text1"/>
        </w:rPr>
        <w:t> ;</w:t>
      </w:r>
      <w:r w:rsidRPr="006B3C75">
        <w:t xml:space="preserve"> </w:t>
      </w:r>
      <w:r w:rsidRPr="006B3C75">
        <w:rPr>
          <w:color w:val="000000" w:themeColor="text1"/>
        </w:rPr>
        <w:t>l’élevage extensif peut offrir un meilleur rendement global en termes de séquestration de carbone.</w:t>
      </w:r>
    </w:p>
    <w:p w14:paraId="2E37A4D5" w14:textId="77777777" w:rsidR="006B3C75" w:rsidRDefault="006B3C75" w:rsidP="006B3C75">
      <w:pPr>
        <w:jc w:val="both"/>
        <w:rPr>
          <w:i/>
          <w:iCs/>
          <w:color w:val="000000" w:themeColor="text1"/>
          <w:sz w:val="22"/>
          <w:szCs w:val="22"/>
        </w:rPr>
      </w:pPr>
      <w:r w:rsidRPr="006B3C75">
        <w:rPr>
          <w:i/>
          <w:iCs/>
          <w:color w:val="000000" w:themeColor="text1"/>
          <w:sz w:val="22"/>
          <w:szCs w:val="22"/>
        </w:rPr>
        <w:t xml:space="preserve">Tableau 1 : comparatif synthétique basé sur l’étude de </w:t>
      </w:r>
      <w:proofErr w:type="spellStart"/>
      <w:r w:rsidRPr="006B3C75">
        <w:rPr>
          <w:i/>
          <w:iCs/>
          <w:color w:val="000000" w:themeColor="text1"/>
          <w:sz w:val="22"/>
          <w:szCs w:val="22"/>
        </w:rPr>
        <w:t>Borowitzka</w:t>
      </w:r>
      <w:proofErr w:type="spellEnd"/>
      <w:r w:rsidRPr="006B3C75">
        <w:rPr>
          <w:i/>
          <w:iCs/>
          <w:color w:val="000000" w:themeColor="text1"/>
          <w:sz w:val="22"/>
          <w:szCs w:val="22"/>
        </w:rPr>
        <w:t xml:space="preserve"> (2013) concernant l’élevage de microalgues et le captage de CO₂</w:t>
      </w:r>
    </w:p>
    <w:p w14:paraId="1CFCBECA" w14:textId="77777777" w:rsidR="003A7083" w:rsidRDefault="003A7083" w:rsidP="006B3C75">
      <w:pPr>
        <w:jc w:val="both"/>
        <w:rPr>
          <w:i/>
          <w:iCs/>
          <w:color w:val="000000" w:themeColor="text1"/>
          <w:sz w:val="22"/>
          <w:szCs w:val="22"/>
        </w:rPr>
      </w:pPr>
      <w:r w:rsidRPr="003A7083">
        <w:rPr>
          <w:i/>
          <w:iCs/>
          <w:noProof/>
          <w:color w:val="000000" w:themeColor="text1"/>
          <w:sz w:val="22"/>
          <w:szCs w:val="22"/>
        </w:rPr>
        <w:lastRenderedPageBreak/>
        <w:drawing>
          <wp:inline distT="0" distB="0" distL="0" distR="0" wp14:anchorId="6DACC83D" wp14:editId="38C7CAC8">
            <wp:extent cx="5760720" cy="3411855"/>
            <wp:effectExtent l="0" t="0" r="0" b="0"/>
            <wp:docPr id="165427900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4279008" name=""/>
                    <pic:cNvPicPr/>
                  </pic:nvPicPr>
                  <pic:blipFill>
                    <a:blip r:embed="rId5"/>
                    <a:stretch>
                      <a:fillRect/>
                    </a:stretch>
                  </pic:blipFill>
                  <pic:spPr>
                    <a:xfrm>
                      <a:off x="0" y="0"/>
                      <a:ext cx="5760720" cy="3411855"/>
                    </a:xfrm>
                    <a:prstGeom prst="rect">
                      <a:avLst/>
                    </a:prstGeom>
                  </pic:spPr>
                </pic:pic>
              </a:graphicData>
            </a:graphic>
          </wp:inline>
        </w:drawing>
      </w:r>
    </w:p>
    <w:p w14:paraId="34C0ABE4" w14:textId="34757655" w:rsidR="006B3C75" w:rsidRDefault="003A7083" w:rsidP="006B3C75">
      <w:pPr>
        <w:jc w:val="both"/>
        <w:rPr>
          <w:i/>
          <w:iCs/>
          <w:color w:val="000000" w:themeColor="text1"/>
          <w:sz w:val="22"/>
          <w:szCs w:val="22"/>
        </w:rPr>
      </w:pPr>
      <w:r w:rsidRPr="003A7083">
        <w:rPr>
          <w:color w:val="000000" w:themeColor="text1"/>
        </w:rPr>
        <w:t>Bien que l’élevage intensif maximise le rendement par m², l’élevage extensif peut s’avérer plus efficace pour le captage massif de CO₂, car il permet d’utiliser de grandes surfaces avec un moindre coût et une moindre consommation énergétique globale</w:t>
      </w:r>
      <w:r w:rsidRPr="003A7083">
        <w:rPr>
          <w:i/>
          <w:iCs/>
          <w:color w:val="000000" w:themeColor="text1"/>
          <w:sz w:val="22"/>
          <w:szCs w:val="22"/>
        </w:rPr>
        <w:t>.</w:t>
      </w:r>
      <w:r w:rsidR="006B3C75" w:rsidRPr="006B3C75">
        <w:rPr>
          <w:i/>
          <w:iCs/>
          <w:color w:val="000000" w:themeColor="text1"/>
          <w:sz w:val="22"/>
          <w:szCs w:val="22"/>
        </w:rPr>
        <w:t xml:space="preserve"> </w:t>
      </w:r>
    </w:p>
    <w:p w14:paraId="65F9539C" w14:textId="1393AF7C" w:rsidR="003A7083" w:rsidRDefault="00471398" w:rsidP="006B3C75">
      <w:pPr>
        <w:jc w:val="both"/>
        <w:rPr>
          <w:b/>
          <w:bCs/>
          <w:color w:val="000000" w:themeColor="text1"/>
        </w:rPr>
      </w:pPr>
      <w:r w:rsidRPr="00471398">
        <w:rPr>
          <w:b/>
          <w:bCs/>
          <w:color w:val="000000" w:themeColor="text1"/>
        </w:rPr>
        <w:t>1.2. Études de cas</w:t>
      </w:r>
    </w:p>
    <w:p w14:paraId="142160AA" w14:textId="4D82710B" w:rsidR="00471398" w:rsidRDefault="00471398" w:rsidP="006B3C75">
      <w:pPr>
        <w:jc w:val="both"/>
        <w:rPr>
          <w:color w:val="000000" w:themeColor="text1"/>
        </w:rPr>
      </w:pPr>
      <w:r w:rsidRPr="00471398">
        <w:rPr>
          <w:color w:val="000000" w:themeColor="text1"/>
        </w:rPr>
        <w:t>L’intégration des microalgues dans les procédés industriels représente aujourd’hui une approche prometteuse pour réduire les émissions de gaz à effet de serre, valoriser les sous-produits et améliorer la durabilité des activités industrielles. Cette section a pour objectif de présenter et d’analyser comment certaines entreprises appliquent, ou pourraient appliquer, l’utilisation des microalgues dans leurs procédés, en mettant en évidence à la fois les impacts environnementaux et les performances industrielles de ces initiatives.</w:t>
      </w:r>
    </w:p>
    <w:p w14:paraId="6C82C865" w14:textId="6A43431D" w:rsidR="00471398" w:rsidRDefault="00471398" w:rsidP="006B3C75">
      <w:pPr>
        <w:jc w:val="both"/>
        <w:rPr>
          <w:color w:val="000000" w:themeColor="text1"/>
        </w:rPr>
      </w:pPr>
      <w:r w:rsidRPr="00471398">
        <w:rPr>
          <w:color w:val="000000" w:themeColor="text1"/>
        </w:rPr>
        <w:t xml:space="preserve">Pour illustrer ces applications, trois entreprises ont été sélectionnées : </w:t>
      </w:r>
      <w:proofErr w:type="spellStart"/>
      <w:r w:rsidRPr="00471398">
        <w:rPr>
          <w:color w:val="000000" w:themeColor="text1"/>
        </w:rPr>
        <w:t>Brilliant</w:t>
      </w:r>
      <w:proofErr w:type="spellEnd"/>
      <w:r w:rsidRPr="00471398">
        <w:rPr>
          <w:color w:val="000000" w:themeColor="text1"/>
        </w:rPr>
        <w:t xml:space="preserve"> Planet, Ciments du Maroc et </w:t>
      </w:r>
      <w:proofErr w:type="spellStart"/>
      <w:r w:rsidRPr="00471398">
        <w:rPr>
          <w:color w:val="000000" w:themeColor="text1"/>
        </w:rPr>
        <w:t>Feed</w:t>
      </w:r>
      <w:proofErr w:type="spellEnd"/>
      <w:r w:rsidRPr="00471398">
        <w:rPr>
          <w:color w:val="000000" w:themeColor="text1"/>
        </w:rPr>
        <w:t xml:space="preserve"> </w:t>
      </w:r>
      <w:proofErr w:type="spellStart"/>
      <w:r w:rsidRPr="00471398">
        <w:rPr>
          <w:color w:val="000000" w:themeColor="text1"/>
        </w:rPr>
        <w:t>Algae</w:t>
      </w:r>
      <w:proofErr w:type="spellEnd"/>
      <w:r w:rsidRPr="00471398">
        <w:rPr>
          <w:color w:val="000000" w:themeColor="text1"/>
        </w:rPr>
        <w:t xml:space="preserve"> Maroc. Ces entreprises constituent des exemples pertinents car elles opèrent dans des secteurs différents et adoptent des stratégies variées pour intégrer les microalgues dans leurs activités. </w:t>
      </w:r>
      <w:proofErr w:type="spellStart"/>
      <w:r w:rsidRPr="00471398">
        <w:rPr>
          <w:color w:val="000000" w:themeColor="text1"/>
        </w:rPr>
        <w:t>Brilliant</w:t>
      </w:r>
      <w:proofErr w:type="spellEnd"/>
      <w:r w:rsidRPr="00471398">
        <w:rPr>
          <w:color w:val="000000" w:themeColor="text1"/>
        </w:rPr>
        <w:t xml:space="preserve"> Planet illustre l’application des microalgues dans la production biotechnologique à valeur ajoutée,</w:t>
      </w:r>
      <w:r w:rsidRPr="00471398">
        <w:t xml:space="preserve"> </w:t>
      </w:r>
      <w:r w:rsidRPr="00471398">
        <w:rPr>
          <w:color w:val="000000" w:themeColor="text1"/>
        </w:rPr>
        <w:t>L’étude de ces cas permettra ainsi de mettre en lumière les bonnes pratiques, les limites techniques et économiques, et les opportunités de développement de l’utilisation des microalgues dans différents contextes industriels.</w:t>
      </w:r>
    </w:p>
    <w:p w14:paraId="1092835B" w14:textId="29AC8019" w:rsidR="00471398" w:rsidRDefault="00471398" w:rsidP="00471398">
      <w:pPr>
        <w:pStyle w:val="ListParagraph"/>
        <w:numPr>
          <w:ilvl w:val="0"/>
          <w:numId w:val="6"/>
        </w:numPr>
        <w:jc w:val="both"/>
        <w:rPr>
          <w:b/>
          <w:bCs/>
          <w:color w:val="000000" w:themeColor="text1"/>
        </w:rPr>
      </w:pPr>
      <w:proofErr w:type="spellStart"/>
      <w:r w:rsidRPr="00471398">
        <w:rPr>
          <w:b/>
          <w:bCs/>
          <w:color w:val="000000" w:themeColor="text1"/>
        </w:rPr>
        <w:t>Brilliant</w:t>
      </w:r>
      <w:proofErr w:type="spellEnd"/>
      <w:r w:rsidRPr="00471398">
        <w:rPr>
          <w:b/>
          <w:bCs/>
          <w:color w:val="000000" w:themeColor="text1"/>
        </w:rPr>
        <w:t xml:space="preserve"> Planet</w:t>
      </w:r>
    </w:p>
    <w:p w14:paraId="169BC7DE" w14:textId="02359916" w:rsidR="00471398" w:rsidRDefault="00471398" w:rsidP="00471398">
      <w:pPr>
        <w:jc w:val="both"/>
        <w:rPr>
          <w:b/>
          <w:bCs/>
          <w:color w:val="000000" w:themeColor="text1"/>
        </w:rPr>
      </w:pPr>
      <w:r w:rsidRPr="00471398">
        <w:rPr>
          <w:b/>
          <w:bCs/>
          <w:color w:val="000000" w:themeColor="text1"/>
        </w:rPr>
        <w:t>. Présentation de l’entreprise</w:t>
      </w:r>
      <w:r>
        <w:rPr>
          <w:b/>
          <w:bCs/>
          <w:color w:val="000000" w:themeColor="text1"/>
        </w:rPr>
        <w:t> :</w:t>
      </w:r>
    </w:p>
    <w:p w14:paraId="151AD660" w14:textId="604DA863" w:rsidR="00471398" w:rsidRDefault="00CA65C0" w:rsidP="00471398">
      <w:pPr>
        <w:jc w:val="both"/>
      </w:pPr>
      <w:r w:rsidRPr="008A3F2F">
        <w:t>Est une entreprise qui se concentre sur la capture du carbone et la durabilité environnementale à travers des méthodes innovantes de production. Voici un aperçu de leurs méthodes, technologies et leur impact sur la durabilité</w:t>
      </w:r>
    </w:p>
    <w:p w14:paraId="5E6DFAE1" w14:textId="77777777" w:rsidR="00CA65C0" w:rsidRDefault="00CA65C0" w:rsidP="00471398">
      <w:pPr>
        <w:jc w:val="both"/>
        <w:rPr>
          <w:b/>
          <w:bCs/>
          <w:color w:val="000000" w:themeColor="text1"/>
        </w:rPr>
      </w:pPr>
    </w:p>
    <w:p w14:paraId="43D59CA6" w14:textId="77777777" w:rsidR="00471398" w:rsidRPr="00471398" w:rsidRDefault="00471398" w:rsidP="00471398">
      <w:pPr>
        <w:jc w:val="both"/>
        <w:rPr>
          <w:b/>
          <w:bCs/>
          <w:color w:val="000000" w:themeColor="text1"/>
        </w:rPr>
      </w:pPr>
    </w:p>
    <w:sectPr w:rsidR="00471398" w:rsidRPr="00471398">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CDF11ED"/>
    <w:multiLevelType w:val="multilevel"/>
    <w:tmpl w:val="D56894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406F28E5"/>
    <w:multiLevelType w:val="hybridMultilevel"/>
    <w:tmpl w:val="3CDE5C82"/>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40BB0B37"/>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417D0F02"/>
    <w:multiLevelType w:val="hybridMultilevel"/>
    <w:tmpl w:val="39142B04"/>
    <w:lvl w:ilvl="0" w:tplc="040C0015">
      <w:start w:val="1"/>
      <w:numFmt w:val="upp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61A0083A"/>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15:restartNumberingAfterBreak="0">
    <w:nsid w:val="64F720D2"/>
    <w:multiLevelType w:val="hybridMultilevel"/>
    <w:tmpl w:val="8856BCC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1010453366">
    <w:abstractNumId w:val="0"/>
    <w:lvlOverride w:ilvl="0">
      <w:startOverride w:val="1"/>
    </w:lvlOverride>
  </w:num>
  <w:num w:numId="2" w16cid:durableId="372734856">
    <w:abstractNumId w:val="5"/>
  </w:num>
  <w:num w:numId="3" w16cid:durableId="22021211">
    <w:abstractNumId w:val="1"/>
  </w:num>
  <w:num w:numId="4" w16cid:durableId="1875802272">
    <w:abstractNumId w:val="4"/>
  </w:num>
  <w:num w:numId="5" w16cid:durableId="1360736267">
    <w:abstractNumId w:val="2"/>
  </w:num>
  <w:num w:numId="6" w16cid:durableId="75663915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0BE7"/>
    <w:rsid w:val="00136CA4"/>
    <w:rsid w:val="001731A1"/>
    <w:rsid w:val="001A55F9"/>
    <w:rsid w:val="00200BE7"/>
    <w:rsid w:val="0039122A"/>
    <w:rsid w:val="003A7083"/>
    <w:rsid w:val="00471398"/>
    <w:rsid w:val="005D0E78"/>
    <w:rsid w:val="006B28B9"/>
    <w:rsid w:val="006B3C75"/>
    <w:rsid w:val="007405B4"/>
    <w:rsid w:val="007850AE"/>
    <w:rsid w:val="00825EBF"/>
    <w:rsid w:val="00831135"/>
    <w:rsid w:val="0088593C"/>
    <w:rsid w:val="00C513A9"/>
    <w:rsid w:val="00C97E80"/>
    <w:rsid w:val="00CA65C0"/>
    <w:rsid w:val="00D56512"/>
    <w:rsid w:val="00D85AF4"/>
    <w:rsid w:val="00E73E7F"/>
    <w:rsid w:val="00FF369F"/>
    <w:rsid w:val="00FF55C2"/>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9BBE3C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fr-F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200BE7"/>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200BE7"/>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200BE7"/>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200BE7"/>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200BE7"/>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200BE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00BE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00BE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00BE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00BE7"/>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200BE7"/>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200BE7"/>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200BE7"/>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200BE7"/>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200BE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00BE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00BE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00BE7"/>
    <w:rPr>
      <w:rFonts w:eastAsiaTheme="majorEastAsia" w:cstheme="majorBidi"/>
      <w:color w:val="272727" w:themeColor="text1" w:themeTint="D8"/>
    </w:rPr>
  </w:style>
  <w:style w:type="paragraph" w:styleId="Title">
    <w:name w:val="Title"/>
    <w:basedOn w:val="Normal"/>
    <w:next w:val="Normal"/>
    <w:link w:val="TitleChar"/>
    <w:uiPriority w:val="10"/>
    <w:qFormat/>
    <w:rsid w:val="00200BE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00BE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00BE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00BE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200BE7"/>
    <w:pPr>
      <w:spacing w:before="160"/>
      <w:jc w:val="center"/>
    </w:pPr>
    <w:rPr>
      <w:i/>
      <w:iCs/>
      <w:color w:val="404040" w:themeColor="text1" w:themeTint="BF"/>
    </w:rPr>
  </w:style>
  <w:style w:type="character" w:customStyle="1" w:styleId="QuoteChar">
    <w:name w:val="Quote Char"/>
    <w:basedOn w:val="DefaultParagraphFont"/>
    <w:link w:val="Quote"/>
    <w:uiPriority w:val="29"/>
    <w:rsid w:val="00200BE7"/>
    <w:rPr>
      <w:i/>
      <w:iCs/>
      <w:color w:val="404040" w:themeColor="text1" w:themeTint="BF"/>
    </w:rPr>
  </w:style>
  <w:style w:type="paragraph" w:styleId="ListParagraph">
    <w:name w:val="List Paragraph"/>
    <w:basedOn w:val="Normal"/>
    <w:uiPriority w:val="34"/>
    <w:qFormat/>
    <w:rsid w:val="00200BE7"/>
    <w:pPr>
      <w:ind w:left="720"/>
      <w:contextualSpacing/>
    </w:pPr>
  </w:style>
  <w:style w:type="character" w:styleId="IntenseEmphasis">
    <w:name w:val="Intense Emphasis"/>
    <w:basedOn w:val="DefaultParagraphFont"/>
    <w:uiPriority w:val="21"/>
    <w:qFormat/>
    <w:rsid w:val="00200BE7"/>
    <w:rPr>
      <w:i/>
      <w:iCs/>
      <w:color w:val="2F5496" w:themeColor="accent1" w:themeShade="BF"/>
    </w:rPr>
  </w:style>
  <w:style w:type="paragraph" w:styleId="IntenseQuote">
    <w:name w:val="Intense Quote"/>
    <w:basedOn w:val="Normal"/>
    <w:next w:val="Normal"/>
    <w:link w:val="IntenseQuoteChar"/>
    <w:uiPriority w:val="30"/>
    <w:qFormat/>
    <w:rsid w:val="00200BE7"/>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200BE7"/>
    <w:rPr>
      <w:i/>
      <w:iCs/>
      <w:color w:val="2F5496" w:themeColor="accent1" w:themeShade="BF"/>
    </w:rPr>
  </w:style>
  <w:style w:type="character" w:styleId="IntenseReference">
    <w:name w:val="Intense Reference"/>
    <w:basedOn w:val="DefaultParagraphFont"/>
    <w:uiPriority w:val="32"/>
    <w:qFormat/>
    <w:rsid w:val="00200BE7"/>
    <w:rPr>
      <w:b/>
      <w:bCs/>
      <w:smallCaps/>
      <w:color w:val="2F5496" w:themeColor="accent1" w:themeShade="BF"/>
      <w:spacing w:val="5"/>
    </w:rPr>
  </w:style>
  <w:style w:type="table" w:styleId="TableGrid">
    <w:name w:val="Table Grid"/>
    <w:basedOn w:val="TableNormal"/>
    <w:uiPriority w:val="39"/>
    <w:rsid w:val="00D5651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2024-12-20_-stqtion_d-Microalgue-_Biblio-V1_(2)[1].dotx</Template>
  <TotalTime>0</TotalTime>
  <Pages>4</Pages>
  <Words>854</Words>
  <Characters>4870</Characters>
  <Application>Microsoft Office Word</Application>
  <DocSecurity>0</DocSecurity>
  <Lines>40</Lines>
  <Paragraphs>11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5713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PC</dc:creator>
  <cp:keywords/>
  <dc:description/>
  <cp:lastModifiedBy>Ibrahim Kassimi</cp:lastModifiedBy>
  <cp:revision>2</cp:revision>
  <dcterms:created xsi:type="dcterms:W3CDTF">2025-12-06T22:00:00Z</dcterms:created>
  <dcterms:modified xsi:type="dcterms:W3CDTF">2025-12-06T22:00:00Z</dcterms:modified>
</cp:coreProperties>
</file>