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Stratégique et Prospective du Conclave Budgétaire Fédéral Belge 2026-2027</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L'automne 2026 marque une césure fondamentale dans l'histoire politico-économique et institutionnelle du Royaume de Belgique. Le gouvernement fédéral, dirigé par le Premier ministre Bart De Wever et soutenu par la coalition dite « Arizona », aborde un conclave budgétaire d'une âpreté et d'une ampleur inédites pour la préparation de l'exercice 2027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échéance dépasse largement le cadre d'une simple révision comptable annuelle ; il s'agit d'un exercice d'assainissement structurel sous très haute tension, dicté par une dégradation spectaculaire des finances publiques domestiques et par l'activation coercitive des mécanismes de surveillance de la Commission européenne et du Conseil de l'Union européenne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recherche complémentaire propose une dissection exhaustive et une analyse prospective des enjeux, des mécanismes et des implications macroéconomiques du conclave budgétaire de 2026. L'investigation s'articule autour de l'architecture macroéconomique globale du pays, des contraintes supranationales liées à la procédure pour déficit excessif (PDE), de la dynamique politique complexe de la coalition au pouvoir, et de l'anatomie détaillée des réformes touchant le marché du travail, la sécurité sociale, et la politique fiscale. L'analyse englobe également l'austérité synchronisée mise en œuvre par les entités fédérées francophones (Région wallonne et Fédération Wallonie-Bruxelles), avant de formuler une évaluation prospective des effets de second et troisième tours sur l'économie réelle belge et le secteur financier à l'horizon 2027-2031.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Cadrage Macroéconomique et Financier : Une Dichotomie Belge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belge navigue dans un environnement paradoxal, caractérisé par une dichotomie frappante entre un secteur privé et financier résilient d'une part, et des finances publiques en état de délitement avancé d'autre part. L'analyse des agrégats macroéconomiques révèle que le pays, bien que vulnérable aux chocs exogènes, dispose de fondamentaux économiques solides qui contrastent avec la trajectoire insoutenable de son endettement souverain.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Conjoncture Globale, Croissance et Inflation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projections macroéconomiques de la Banque nationale de Belgique (BNB) et du Bureau fédéral du Plan, actualisées au cours de l'été et de l'automne 2026, dépeignent une conjoncture de croissance modérée mais persistante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Après avoir traversé les turbulences liées à la volatilité de la politique commerciale américaine (notamment les droits de douane) et aux tensions géopolitiques au Moyen-Orient (incluant le choc lié à l'Iran au printemps 2026), l'économie mondiale a démontré une résilience inattendue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robustesse internationale, soutenue notamment par les investissements massifs dans les technologies de l'intelligence artificielle, a permis au commerce extérieur belge de se maintenir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Royaume de Belgique conserve d'ailleurs sa position de créancier net vis-à-vis du reste du monde, avec un stock d'investissements directs étrangers (IDE) sortants s'élevant à 679 milliards d'euros contre 540 milliards d'euros d'IDE entrants, maintenant une position extérieure nette positive évaluée à 60,1 % du PIB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le plan de l'activité domestique, la croissance du Produit Intérieur Brut (PIB) réel de la Belgique devrait s'établir à environ 1,0 % en 2026, après un ralentissement transitoire au deuxième trimestre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Une légère accélération est projetée à 1,1 % en 2027, puis à 1,3 % en 2028, rapprochant l'économie de sa croissance potentielle tout en restant en deçà de la moyenne historique des années 2010 et légèrement sous la moyenne de la zone euro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marché du travail maintient un dynamisme certain avec un taux de chômage harmonisé historiquement bas, avoisinant les 6,0 % à 6,4 %, et la création anticipée de près de 100 000 emplois entre 2025 et 2027</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Néanmoins, des pénuries de main-d'œuvre structurelles persistent de manière aiguë dans les secteurs de la santé, de la construction, de l'ingénierie et des technologies de l'information, bridant structurellement l'expansion de l'offre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L'inflation, après un pic notable en 2025, tend vers une normalisation. Toutefois, les mesures budgétaires adoptées par le gouvernement fédéral pour accroître les recettes, notamment les hausses de la Taxe sur la Valeur Ajoutée (TVA) sur certains intrants et le relèvement des droits d'accises sur le gaz et le mazout de chauffage, devraient engendrer une pression inflationniste résiduelle estimée à 0,4 point de pourcentage, lissée sur la période 2026-2028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L'inflation globale devrait ainsi se stabiliser entre 2,0 % et 3,0 % à l'horizon des projections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Stabilité du Secteur Financier : Un Amortisseur Stratégique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Contrairement à la sphère publique, le secteur financier belge demeure un point d'ancrage extrêmement solide, capable d'absorber d'éventuels chocs macroéconomiques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Les rapports de la Banque nationale de Belgique soulignent que le secteur bancaire (dont les actifs totalisent environ 1 450 milliards d'euros) bénéficie d'une rentabilité stable, avec un bénéfice net de 5,9 milliards d'euros et un rendement des fonds propres (RoE) de 9,3 % enregistré récemment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solidité bilantaire est garantie par des niveaux adéquats de fonds propres (ratio CET1 à 15 %) et de liquidités (ratio LCR à 151 %)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ailleurs, le secteur se prépare activement aux mutations réglementaires et technologiques européennes. La BNB supervise l'adaptation des institutions financières au paquet "Omnibus", à la mise en œuvre de la législation sur l'intelligence artificielle (AI Act) dont certaines dispositions s'appliqueront dès 2026 ou 2027, et à la phase préparatoire de l'euro numérique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 secteur de l'assurance présente également des niveaux de solvabilité robustes, tandis que le marché de l'immobilier résidentiel montre des signes de reprise malgré des coûts d'emprunt à long terme élevés (3,4 % pour des maturités supérieures à dix ans)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 seul véritable point de vigilance identifié par les autorités de contrôle macroprudentiel réside dans le sous-secteur de l'immobilier commercial, qui concentre des profils de risque accrus et des niveaux d'endettement élevés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Diagnostic Implacable du Comité de Monitoring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L'urgence existentielle du conclave budgétaire de l'automne 2026 est dictée par les projections accablantes du Comité de monitoring. Cet organe technique indépendant, chargé de surveiller l'exécution du budget de l'État fédéral, a publié en juillet 2026 une actualisation qui quantifie l'ampleur du désastre budgétaire à politique inchangée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déficit de l'Entité I (qui regroupe l'État fédéral et la Sécurité sociale) et de l'ensemble des pouvoirs publics illustre un dérapage systémique. Cette dégradation est alimentée par une triple dynamique. Premièrement, le coût croissant du vieillissement démographique gonfle mécaniquement les dépenses de soins de santé et de pensions. Deuxièmement, l'État fait face à l'augmentation inéluctable des budgets alloués à la Défense pour atteindre l'objectif contraignant de 2 % du PIB fixé par l'OTAN (les dépenses militaires devant passer de 0,3 % du PIB en 2025 à 0,6 % en 2028)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Troisièmement, la normalisation de la politique monétaire de la Banque centrale européenne a provoqué un alourdissement vertigineux des charges d'intérêt de la dette belge, projetées à 3,3 % du PIB en 2028 contre 2,4 % en 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2024, la dette fédérale stricto sensu s'élevait déjà à 519,2 milliards d'euros, portant la charge annuelle des intérêts à près de 10 milliards d'euros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Indicateur Macroéconomique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(Estimations/Réalisations)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(Estimations)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2027 (Projections)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2031 (Projections à politique inchangée)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Déficit Entité I (Fédéral + Sécurité Sociale)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 du PIB (26,6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 du PIB (25,7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 du PIB (30,3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 du PIB (44,5 Mds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Déficit de l'ensemble des Pouvoirs Publics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 du PIB (34,1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 du PIB (35,4 Mds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 du PIB (48,5 Mds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Taux d'endettement public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107,9 %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110,7 %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112,7 %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122,6 % du PIB</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des données issues des rapports d'actualisation du Comité de monitoring (2025-2026) et des projections de la Banque nationale de Belgique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données macroéconomiques mettent en exergue l'amorce d'un potentiel « effet boule de neige », une situation critique où la croissance nominale du PIB ne suffit plus à compenser le poids des intérêts sur le stock de dette existant, forçant le ratio d'endettement à croître de manière autonome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Face à un déficit projeté de 5,9 % du PIB d'ici 2027 selon les scénarios les plus pessimistes, la Belgique figure parmi les plus mauvais élèves de la zone euro, une position historiquement occupée par la France (dont le déficit projeté pour 2027 s'élèverait à 5,3 %) et l'Italie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Face à ce péril, le gouverneur de la Banque nationale de Belgique a publiquement évalué à 11 milliards d'euros l'ajustement immédiat nécessaire, certaines projections à long terme évoquant un effort structurel cumulé de 14 à 28 milliards d'euros pour véritablement stabiliser la trajectoire d'endettement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Contrainte Exogène : Le Carcan de la Gouvernance Économique Européenne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véritable catalyseur du conclave budgétaire belge n'est pas uniquement d'ordre domestique ; il est éminemment institutionnel et supranational. La refonte du cadre de gouvernance économique de l'Union européenne a replacé la rigueur budgétaire au centre des priorités continentales, marquant la fin définitive de la clause dérogatoire générale qui avait prévalu durant les crises du Covid-19 et de l'énergie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Procédure pour Déficit Excessif (PDE) et l'Article 126 du TFUE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Belgique, ayant clôturé l'année 2023 avec un déficit de 5,2 % du PIB, s'est logiquement vue imposer l'ouverture d'une Procédure pour Déficit Excessif (PDE) par la Commission européenne en juillet 2024, procédure qui a dicté toute l'agenda politique des années 2025 et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cadre juridique de cette contrainte repose sur l'article 126 du Traité sur le fonctionnement de l'Union européenne (TFUE), qui stipule l'obligation pour les États membres d'éviter les déficits publics excessifs, définis par les fameux critères de Maastricht (déficit inférieur à 3 % du PIB et dette tendant vers 60 % du PIB)</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21 janvier 2025, le Conseil de l'Union européenne a adopté des recommandations formelles et strictes, exigeant initialement de la Belgique qu'elle mette un terme à sa situation de déficit excessif d'ici 2027 au plus tard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Pour objectiver et piloter cette consolidation, le nouveau cadre européen s'appuie désormais sur une norme de dépenses unique, issue du modèle d'analyse de soutenabilité de la dette (DSA - Debt Sustainability Analysis) de la Commission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Cette norme limite le taux de croissance nominal des dépenses primaires nettes (c'est-à-dire les dépenses totales excluant les charges d'intérêt, les dépenses liées au chômage cyclique et les dépenses financées par des revenus discrétionnaires)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trajectoire corrective de référence imposée à la Belgique stipulait que la croissance de ces dépenses nettes ne devait pas excéder 2,4 % en 2025, 1,9 % en 2026, et 2,0 % en 2027</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Cette contrainte place le gouvernement dans une véritable camisole de force budgétaire. En effet, l'inflation domestique belge (projetée au-delà de 2 %) et le vieillissement mécanique de la population génèrent naturellement une croissance inertielle des dépenses très largement supérieure à ces plafonds. À titre de comparaison, le Conseil a exigé de la France une correction d'ici 2029 (avec une norme de dépenses limitée à 0,8 % en 2025), de l'Italie d'ici 2026, de la Pologne d'ici 2028, de la Roumanie d'ici 2030 et de la Slovaquie d'ici 2027</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Plan Budgétaire et Structurel à Moyen Terme (PSMT)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Confrontée à l'impossibilité technique et politique de corriger un déficit de plus de 5 % du PIB en moins de trois ans sans provoquer un effondrement macroéconomique dévastateur, la Belgique a fait usage des flexibilités prévues par le nouveau règlement européen. Le 18 mars 2025, le gouvernement a soumis à la Commission européenne son « Plan budgétaire et structurel à moyen terme » (PSMT), couvrant la période 2025-2029</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mécanisme permet d'étendre la période d'ajustement budgétaire de quatre à sept ans, à la condition sine qua non que l'État membre s'engage, de manière contraignante, sur un vaste ensemble de réformes structurelles (retraites, marché du travail, justice) et d'investissements renforçant la croissance potentielle ou soutenant les transitions verte et numérique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vertu de ce plan validé par les instances européennes, la Belgique a obtenu un étalement de l'effort et un assouplissement relatif de la norme de dépenses. La croissance des dépenses primaires nettes est désormais plafonnée à 3,6 % en 2025, 2,5 % en 2026, 2,5 % en 2027, et 2,1 % pour les années 2028 et 2029 (en excluant spécifiquement les dépenses militaires supplémentaires liées aux engagements de l'OTAN)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très précisément pour respecter les engagements formels inscrits dans ce PSMT pour l'année budgétaire 2027 que le gouvernement fédéral devait impérativement trouver entre 7,7 et 10 milliards d'euros d'économies nettes lors du conclave de l'automne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non-respect de cette trajectoire entraînerait une escalade punitive de la procédure pour déficit excessif, incluant des sanctions financières potentielles (des amendes se chiffrant en centaines de millions d'euros) et une perte de crédibilité immédiate sur les marchés obligataires, augmentant ainsi le coût de refinancement de la dette souveraine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Rôle Central du Conseil Supérieur des Finances (CSF)</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cette architecture de surveillance hybride, le Conseil supérieur des finances (CSF) joue un rôle de relais domestique fondamental. Le mécanisme de responsabilisation belge prévoit un suivi annuel strict de la trajectoire budgétaire pluriannuelle, opéré conjointement par la Commission européenne et par le CSF</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cas de dérapage constaté par rapport à la trajectoire du PSMT, le CSF a pour mandat d'émettre des recommandations correctrices immédiates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Plus fondamentalement, si l'Union européenne devait infliger une amende financière à la Belgique pour non-respect de ses engagements, le cadre intra-belge prévoit désormais que cette sanction serait répartie entre les différentes entités responsables (l'État fédéral, les Régions et les Communautés), proportionnellement à l'ampleur de leur propre dépassement budgétaire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Cette menace d'une sanction financière directe et ciblée a agi comme un puissant levier d'alignement pour forcer l'orthodoxie budgétaire à tous les niveaux de pouvoir lors de l'automne 2026.</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Politique du Conclave : L'Architecture de la Coalition Arizona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L'élaboration de ce budget de rigueur s'inscrit dans un contexte politique national hautement fragmenté et volatil. La coalition dite « Arizona », qui a prêté serment au début de l'année 2025 après des mois de négociations, regroupe un attelage idéologiquement hétéroclite. Elle rassemble les nationalistes flamands (N-VA), les libéraux francophones (MR), les centristes francophones (Les Engagés), les socialistes flamands (Vooruit) et les démocrates-chrétiens flamands (CD&amp;V)</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gouvernementale reflète un équilibre précaire des forces. Autour du Premier ministre Bart De Wever (N-VA), les portefeuilles clés ont été répartis pour neutraliser les veto croisés. Les libéraux du MR contrôlent l'Emploi et l'Économie via le vice-Premier ministre David Clarinval, soutenant une ligne de dérégulation. Les centristes des Engagés, sous l'égide du vice-Premier ministre Maxime Prévot (Affaires étrangères et européennes), tentent de maintenir une ligne d'équité fiscale. Le budget et la simplification administrative sont aux mains de Vincent Van Peteghem (CD&amp;V), tandis que les Finances et les Pensions échoient au très orthodoxe Jan Jambon (N-VA). Enfin, la protection des acquis sociaux est âprement défendue par le vice-Premier ministre Frank Vandenbroucke (Vooruit), en charge des Affaires sociales et de la Santé publique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Rhétorique du TINA face à la Résistance Sociale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Premier ministre Bart De Wever a structuré le narratif gouvernemental autour d'un concept politique fort, reprenant à son compte le célèbre mantra de la Première ministre britannique Margaret Thatcher : « There is no alternative » (TINA)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rhétorique postule que la survie financière de l'État belge, menacée par le spectre d'un effondrement systémique ou d'une mise sous tutelle humiliante par le Fonds Monétaire International, justifie le passage en force de mesures impopulaires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libéraux du MR, sous l'impulsion de leur président Georges-Louis Bouchez et de la cheffe de groupe parlementaire Alexia Bertrand, ont soutenu ardemment cette ligne. Ils ont fustigé les gouvernements précédents (notamment la coalition Vivaldi) en les qualifiant de « cigales » ayant irréversiblement dilapidé les ressources de l'État via la distribution massive de chèques énergie et l'accumulation de dépenses non financées, rendant la cure d'austérité de 2026 douloureuse mais inéluctable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positionnement dogmatique a heurté de plein fouet le front commun syndical (FGTB, CSC). En réponse directe au « TINA » gouvernemental, la secrétaire générale de la CSC, Marie-Hélène Ska, a forgé le contre-récit : « This is Not Acceptable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organisations syndicales, vigoureusement relayées par l'opposition parlementaire de gauche (le Parti Socialiste, Ecolo, et le Parti du Travail de Belgique avec Raoul Hedebouw), dénoncent une asymétrie fondamentale dans l'effort exigé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Selon eux, le gouvernement refuse obstinément de s'attaquer à l'injustice fiscale — soulignant que la pression fiscale sur les 1 % les plus riches stagne à 23 %, contre 43 % pour un ménage moyen — tout en validant des baisses de charges pour les entreprises et en augmentant le budget régalien de la Défense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polarisation extrême s'est matérialisée par une multiplication des grèves nationales et des actions de protestation sectorielles tout au long de l'automne 2026, paralysant sporadiquement les transports publics et les administrations, et tentant d'infléchir les arbitrages gouvernementaux en temps réel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Décryptage de l'Effort Fédéral : Le Rapport 13320 comme Matrice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objectiver les débats éminemment inflammables du conclave, le ministre du Budget a sollicité l'expertise indépendante du Bureau fédéral du Plan (BFP). Le rapport 13320, publié le 1er juin 2026, a constitué la pierre angulaire des discussions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document volumineux recense plus de 250 options politiques destinées à réduire le déficit, touchant aussi bien les recettes fiscales que les dépenses sociales et le fonctionnement de l'appareil d'État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diagnostic du BFP est clair : le budget initial de l'Entité I pour 2026 s'élève à 293,5 milliards d'euros (soit 44,2 % du PIB). Sur ce total, 147,3 milliards d'euros sont absorbés par la seule Sécurité sociale, ventilés entre les pensions (qui représentent 50 % de ce montant, soit environ 73 milliards), les soins de santé (28 %, soit 41,3 milliards) et les indemnités de maladie et d'invalidité (11 %, soit 15,9 milliards)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Face à ces masses budgétaires ultra-critiques, le gouvernement De Wever a concentré son action réformatrice sur la flexibilisation du travail, la rationalisation de la sécurité sociale et une fiscalité indirecte.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Révolution et Hyper-Flexibilisation du Marché du Travail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Refusant l'approche macroéconomique exclusive des coupes linéaires aveugles qui risqueraient de briser la croissance, le gouvernement a privilégié une transformation structurelle de l'économie belge. L'objectif cardinal est d'accroître massivement le taux d'emploi (vers la cible des 80 %) afin d'élargir la base imposable et de réduire structurellement les dépenses liées au chômage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Sous l'impulsion du vice-Premier ministre libéral David Clarinval, une série de dérégulations du droit du travail a été actée, conçue pour restaurer la compétitivité belge face aux dynamiques néerlandaises et françaises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mesure phare de ce volet réside dans l'introduction d'un système hautement attractif d'heures supplémentaires. Les travailleurs peuvent désormais prester jusqu'à 360 heures supplémentaires volontaires par an sans justification complexe de la part de l'employeur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Plus radical encore, sur ce volume, 240 heures bénéficient d'un statut dit « brut = net », exonérant totalement l'employeur et le travailleur d'impôts sur le revenu et de cotisations sociales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Pour le secteur de l'Horeca, chroniquement pénalisé par des pénuries de personnel et de faibles marges, ce plafond annuel est étendu à 450 heures, dont 360 heures entièrement défiscalisées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cette mesure stimule l'offre de travail à court terme, son impact sur le solde de la Sécurité sociale est initialement négatif, l'État se privant de recettes fiscales substantielles.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ailleurs, la Belgique a décidé de combler son retard historique dans le domaine de la logistique et du commerce en ligne (e-commerce). Pendant des décennies, la législation restrictive sur le travail nocturne a provoqué une fuite des centres de distribution vers les pays limitrophes. Le conclave de 2026 abolit l'interdiction de principe du travail de nuit dans tous les secteurs. Spécifiquement pour la distribution et l'e-commerce, le seuil légal déclenchant le statut de travail de nuit est repoussé de 20 heures à 23 heures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redéfinition légale permet aux entreprises de réduire mécaniquement leurs coûts salariaux en limitant le paiement des primes nocturnes pour les nouveaux entrants, bien que les droits acquis des travailleurs actuels soient protégés par la Convention Collective de Travail n°49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temps partiel subit également une déréglementation majeure. La durée minimale hebdomadaire d'un contrat de travail est abaissée du tiers (1/3) au dixième (1/10) d'un équivalent temps plein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gouvernement justifie cette flexibilité extrême par la nécessité d'intégrer des profils éloignés de l'emploi (étudiants, pensionnés, aidants proches), tandis que les syndicats y voient un outil de précarisation institutionnalisée fragmentant le marché du travail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Dans le même esprit de flexibilité, le recours aux « flexijobs » est désormais autorisé au sein même des administrations du secteur public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le statut des indépendants (souvent considérés comme le moteur de l'emploi local) est revalorisé pour stimuler l'entrepreneuriat. L'accord prévoit une réforme du calcul de leur pension, visant à ce que chaque euro cotisé ouvre des droits additionnels de manière proportionnelle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matière de protection sociale, l'exonération des cotisations sociales après une grossesse pour les femmes indépendantes est étendue de un à deux trimestres, sans bloquer la déductibilité fiscale des versements effectués pour la Pension Libre Complémentaire des Indépendants (PLCI)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gouvernement étudie également une transition vers un calcul mensuel des cotisations sociales pour lisser les flux de trésorerie des PME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Sécurité Sociale : Maîtrise de la Santé, Invalidité et Pensions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sécurité sociale représente le gouffre financier le plus profond de l'État fédéral, propulsé par la dynamique inexorable du vieillissement démographique et la chronicisation des pathologies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 ministre Vooruit, Frank Vandenbroucke, a dû naviguer entre les exigences draconiennes d'économies de la droite et la nécessité absolue de protéger l'accessibilité du système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volet le plus sensible politiquement et financièrement concerne l'incapacité de travail de longue durée, dont le budget s'élève à 15,9 milliards d'euros (2,4 % du PIB)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conclave a acté le lancement d'une « quatrième vague » de la politique de Retour au Travail (ReAT), visant à transformer un système d'indemnisation historiquement passif en un dispositif proactif centré sur l'évaluation des « capacités résiduelles » des patients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dispositif supprime les pièges à l'emploi (harmonisation des règles de cumul) et met un accent massif sur la détection précoce des affections psychiatriques et de l'épuisement professionnel via le "Plan Phénix", qui finance massivement l'offre de soins psychologiques de première ligne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cette politique s'accompagne d'un renforcement punitif de la responsabilisation. Un budget issu des cotisations de responsabilisation est alloué pour auditer et pénaliser financièrement les entreprises générant un taux anormalement élevé d'invalidités d'origine professionnelle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 surcroît, les organismes assureurs (mutualités) seront soumis à des audits de qualité stricts ; ceux échouant dans le suivi de réintégration des patients subiront des retenues directes sur leurs dotations de frais d'administration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mesure a provoqué une violente passe d'armes au sein de la coalition, Georges-Louis Bouchez (MR) accusant les mutualités d'entretenir une fraude systémique et une « mascarade » pour sécuriser leurs financements, des propos fermement condamnés par Vandenbroucke qui a dénoncé la stigmatisation des malades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Concernant les soins de santé stricto sensu, la norme de croissance annuelle en termes réels est maintenue à 2 %, un calibrage soutenu par les simulations épidémiologiques du modèle PROMES (PROjecting MEdical Spending) développé par le Bureau fédéral du Plan et l'INAMI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Toutefois, la coalition a exigé un effort d'efficience immédiat de 907 millions d'euros pour corriger les dépassements antérieurs. Cet effort cible spécifiquement la biologie clinique, l'imagerie médicale et instaure une forte pression tarifaire sur l'industrie pharmaceutique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ticket modérateur à charge des patients subira également une augmentation mécanique dès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financement des retraites a nécessité des ajustements structurels profonds. Si le rapport 13320 du BFP évoque des débats prospectifs de fond sur un basculement partiel à long terme d'un système de répartition vers un système de capitalisation, le gouvernement a privilégié des mesures paramétriques à court et moyen terme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 souci d'équité budgétaire, la double indexation (un avantage lié à certaines conditions de départ) est purement et simplement supprimée pour toutes les pensions supérieures à 2 000 euros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parallèle, les conditions de prise en compte des périodes assimilées (maladie, chômage) dans le calcul des carrières sont durcies, bien que la validation de la première année de travail pour les jeunes diplômés soit maintenue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dans le but de freiner l'inflation domestique, d'enrayer la spirale prix-salaires et de restaurer la compétitivité-coût des entreprises exportatrices, le gouvernement a touché au mécanisme jusqu'alors sacré de l'indexation automatique des salaires. Désormais, l'indexation est plafonnée pour les revenus supérieurs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À partir d'un salaire brut de 4 000 euros, le pourcentage d'indexation cède la place à un forfait fixe (correspondant à l'augmentation monétaire générée sur un salaire de 4 000 euros). Le différentiel financier généré par ce plafonnement n'est pas conservé par les employeurs, mais est capté par l'État fédéral sous forme de cotisations supplémentaires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Le Nœud Gordien de la Fiscalité : Patrimoine contre Consommation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composante « recettes » du conclave budgétaire a failli provoquer la rupture de la coalition. Face à la diminution programmée des dépenses sociales, le FMI, les syndicats et l'aile centre-gauche de la majorité ont exigé une contribution majeure du capital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parti Les Engagés, sous l'impulsion de Maxime Prévot, a officiellement déposé la proposition d'une contribution progressive sur les grands patrimoines. Cette taxe visait les actifs supérieurs à 500 000 euros (hors résidence principale), avec un taux progressif culminant à 0,6 % pour les patrimoines excédant 3 millions d'euros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initiative s'est heurtée au veto absolu et dogmatique du Mouvement Réformateur. Argumentant qu'une taxation sur un stock de capital (semblable à l'Impôt sur la Fortune français, aujourd'hui abrogé) augmenterait dramatiquement le coût d'opportunité de résider en Belgique, le MR a prédit une fuite massive des investisseurs et des sièges sociaux vers des juridictions fiscales concurrentes comme le Grand-Duché de Luxembourg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Selon les libéraux, les mécanismes inévitables d'optimisation fiscale rendraient les recettes réelles très inférieures aux attentes théoriques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compromis fiscal de l'Arizona s'est par conséquent orienté vers un alourdissement de la fiscalité indirecte, environnementale, et une taxation ciblée sur certains flux financiers :</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Mise à contribution du secteur financier :</w:t>
      </w:r>
      <w:r w:rsidDel="00000000" w:rsidR="00000000" w:rsidRPr="00000000">
        <w:rPr>
          <w:rFonts w:ascii="Google Sans" w:cs="Google Sans" w:eastAsia="Google Sans" w:hAnsi="Google Sans"/>
          <w:color w:val="1f1f1f"/>
          <w:rtl w:val="0"/>
        </w:rPr>
        <w:t xml:space="preserve"> Le taux de prélèvement de la taxe sur les comptes-titres est doublé, passant de 0,15 % à 0,30 % pour les comptes dont la valeur excède 1 million d'euros, une mesure chiffrée à 462 millions d'euros de recettes nouvelles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outre, une augmentation de la taxe bancaire existante exigera un effort additionnel de 150 millions d'euros par an des grands établissements de crédit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Fiscalité des entreprises (Sociétés de management) :</w:t>
      </w:r>
      <w:r w:rsidDel="00000000" w:rsidR="00000000" w:rsidRPr="00000000">
        <w:rPr>
          <w:rFonts w:ascii="Google Sans" w:cs="Google Sans" w:eastAsia="Google Sans" w:hAnsi="Google Sans"/>
          <w:color w:val="1f1f1f"/>
          <w:rtl w:val="0"/>
        </w:rPr>
        <w:t xml:space="preserve"> Le précompte mobilier applicable sur certains dividendes de liquidation, très prisé par les professions libérales et les dirigeants de PME (régime VVPR-bis), est rehaussé de 15 % à 18 %, pour un rendement attendu de 300 millions d'euros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Fiscalité comportementale, verte et douanière :</w:t>
      </w:r>
      <w:r w:rsidDel="00000000" w:rsidR="00000000" w:rsidRPr="00000000">
        <w:rPr>
          <w:rFonts w:ascii="Google Sans" w:cs="Google Sans" w:eastAsia="Google Sans" w:hAnsi="Google Sans"/>
          <w:color w:val="1f1f1f"/>
          <w:rtl w:val="0"/>
        </w:rPr>
        <w:t xml:space="preserve"> Le gouvernement assume un choc fiscal sur la consommation avec l'ajustement de la TVA sur les intrants agricoles polluants (engrais et pesticides) qui bondit de 6 % à 21 %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droits d'accises sur les carburants fossiles et la taxation des vols aériens commerciaux augmenteront structurellement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Enfin, pour endiguer la concurrence des plateformes d'e-commerce asiatiques, une taxe forfaitaire douanière de 2 euros par colis hors UE est instaurée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garantir la perception de ces recettes, l'État modernise de façon spectaculaire son appareil répressif et judiciaire. Le conclave entérine la création d'un Parquet national financier centralisé, doté de magistrats hyper-spécialisés, soutenu par le recrutement immédiat de 377 inspecteurs fiscaux et sociaux, et l'injection exceptionnelle de 600 millions d'euros dans les infrastructures vétustes de la Justice belge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L'Austérité Régionale : Le Choc Structurel en Wallonie et en FWB</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l'assainissement fédéral capte l'essentiel de l'attention médiatique, la consolidation opérée de manière synchronisée par les entités fédérées francophones s'avère tout aussi drastique. Contraintes par la menace d'une amende européenne potentiellement répercutée par le Conseil supérieur des finances, la Région wallonne et la Fédération Wallonie-Bruxelles, toutes deux dirigées par des coalitions MR-Les Engagés, ont négocié des budgets de rupture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Région Wallonne : La Fin Définitive du Saupoudrage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Plombée par une dette insoutenable héritée du déclin industriel historique et des plans de relance dispendieux de la crise du Covid-19 et des inondations de 2021, la Wallonie est soumise à un carcan strict. Le gouvernement d'Adrien Dolimont s'est imposé l'objectif de maintenir le solde selon les normes SEC à un déficit strictement plafonné à -2,015 milliards d'euros en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Pour y parvenir, un plan global d'économies de 538 millions d'euros a été acté, intégrant 270 millions d'euros d'économies purement structurelles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Secteur / Initiative Wallonne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Budgétaire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Observations Macroéconomiques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Emploi et Formation (APE)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- 83,7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Coupe drastique dans les Aides à la Promotion de l'Emploi (réduction de 25% pour les pouvoirs publics, suppression pour les provinces/zones de police). Transfère une pression financière massive sur les communes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Pouvoirs Locaux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- 65,2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Poursuite du gel du fonds d'aide et diminution de 15% des dotations communales aux zones de secours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Wallonie Entreprendre (WE)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- 60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Diminution de l'enveloppe à 64 M€ pour forcer l'autofinancement des investissements publics, couplée à l'exigence d'un dividende versé à la Région (+15 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Agence Wallonne de la Santé (AVIQ)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- 28,3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Recentrage strict des missions de l'agence sur son cœur de métier médico-social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Administration (SPW Digital)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+ 14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Investissement stratégique sanctuarisé pour garantir la continuité de la modernisation informatique de l'administration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Prélèvement Kilométrique (PKPL)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+ 20 Millions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Recette supplémentaire générée par l'alignement des tarifs des péages poids lourds sur ceux de la Flandre (perçue via la SOFICO)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ces chiffres révèle une mutation profonde du rôle de la Région. La réforme du dispositif des APE (Aides à la Promotion de l'Emploi) constitue un séisme institutionnel. Historiquement utilisé comme une subvention salariale massive pour le tissu associatif et les administrations locales, le système est partiellement démantelé. En forçant les communes et les intercommunales à rationaliser leur masse salariale, la Région assainit son propre bilan, mais engendre un effet de vases communicants préoccupant. Les pouvoirs locaux risquent d'être acculés, soit à réduire drastiquement l'offre de services publics de proximité (crèches, bibliothèques), soit à compenser cette perte de dotation par une augmentation de la fiscalité locale via les centimes additionnels au précompte immobilier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matière d'emploi, l'administration restreint également l'octroi des aides à l'emploi via le Forem, en imposant des critères d'entrée stricts liés à l'âge et à la durée de chômage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Fédération Wallonie-Bruxelles (FWB) : Rationalisation et Minerval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L'entité compétente pour l'éducation, la culture et l'aide à la jeunesse, la Fédération Wallonie-Bruxelles (FWB), affronte une crise de solvabilité âprement débattue par les experts en finances publiques. Le gouvernement d'Elisabeth Degryse argue que la dégradation récente de la note souveraine de la FWB par l'agence Moody's (passée d'une perspective A2 négative à une notation A3 stable) et l'explosion projetée des charges d'intérêts justifient un diagnostic d'urgence absolue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déficit de l'entité est estimé à -1,6 milliard d'euros pour 2026, avec une trajectoire visant à le réduire à -1,2 milliard d'euros d'ici 2029</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À l'inverse, certains milieux académiques contestent ce narratif alarmiste, soulignant que le "scénario à la grecque" est un épouvantail rhétorique. Le risque d'un véritable "effet boule de neige" de la dette francophone reste hypothétique avant 2030-2032, et dépendra étroitement de l'évolution de la politique monétaire de la Banque centrale européenne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Indépendamment de cette controverse sur l'urgence, le gouvernement a imposé une rationalisation de 86,7 millions d'euros dans l'enseignement obligatoire et de 74 millions dans la petite enfance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réformes modifient structurellement la gestion des ressources humaines dans l'éducation. Pour pallier les pénuries, les nouveaux professeurs formés en quatre ans se verront octroyer un Contrat à Durée Indéterminée (CDIE) dès 2027. En contrepartie, le temps de présence face à la classe est harmonisé à 22 périodes dans tout l'enseignement secondaire (mettant fin aux particularismes historiques très avantageux de certains barèmes)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détachements pédagogiques sont drastiquement réduits, provoquant le retour immédiat de 270 équivalents temps plein dans les salles de classe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 ailleurs, le régime extrêmement protecteur des absences pour maladie est démantelé pour s'aligner sur la fonction publique générale : les enseignants ne bénéficieront du salaire garanti à 100 % que pendant l'épuisement d'un « pot maladie » limité à 15 jours, la rémunération chutant à 60 % au-delà, tandis que les absences sans certificat médical sont strictement limitées à 3 jours par 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rupture idéologique la plus marquante concerne l'enseignement supérieur. Le dogme de la quasi-gratuité est abandonné face au sous-financement chronique des universités. Dès 2026, le minerval plein (les droits d'inscription) fera un bond historique pour atteindre 1 194 euros, une décision techniquement justifiée par le rattrapage de l'inflation non répercutée depuis 2011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Pour préserver l'accès, le système devient progressif : gratuité maintenue pour les boursiers, et création d'un palier intermédiaire à 835 euros pour les classes moyennes inférieures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 surcroît, la FWB instaurera en 2027 le Droit Individuel à l'Enseignement Supérieur (DIES), une bourse de 2 000 euros octroyée uniquement aux résidents. Cette manœuvre juridique audacieuse vise à faire contribuer le public international (étudiants non-résidents de l'Union européenne) au coût réel de leurs études, contournant habilement les normes européennes strictes de non-discrimination, permettant ainsi aux établissements de conserver les recettes excédentaires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Enfin, le secteur culturel subit un moratoire implacable sur l'agrément de nouvelles structures jusqu'en 2028, condamnant des entités historiques comme "Point Culture" à la fermeture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Effets de Second Tour et Perspectives Macroéconomiques (2027-2031)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L'agrégation des mesures adoptées lors des conclaves fédéral, wallon et communautaire de 2026 dessine un resserrement budgétaire d'une violence inédite, engageant globalement plus de 10 milliards d'euros de consolidation d'ici 2029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L'analyse prospective macroéconomique doit impérativement évaluer les externalités et les effets de second tour d'un tel traitement de choc sur le tissu économique belge.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L'Impact sur le Pouvoir d'Achat et la Dynamique de Consommation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belge repose traditionnellement sur une forte demande intérieure, soutenue par le mécanisme unique d'indexation automatique des salaires qui garantit une préservation du pouvoir d'achat face à l'inflation. En touchant au tabou de l'indexation (via le plafonnement à un forfait fixe pour les salaires supérieurs à 4 000 euros), le gouvernement désactive partiellement cet amortisseur macroéconomique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modélisations élaborées par la Banque nationale de Belgique anticipent une baisse temporaire de la croissance du pouvoir d'achat des ménages en 2026. Cette dynamique délétère résulte de la conjonction mathématique du saut partiel d'index, de la limitation stricte des allocations de chômage, de la hausse de la TVA sur certains produits et de l'augmentation des accises énergétiques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Cependant, la structure financière des ménages belges, historiquement caractérisée par un taux d'épargne très élevé, devrait agir comme un coussin d'amortissement. La BNB estime que les ménages puiseront dans leur épargne accumulée pour lisser leur niveau de vie, permettant à la consommation globale de continuer à progresser modérément en 2026, au prix d'une compression significative du taux d'épargne national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reprise structurelle du pouvoir d'achat n'est attendue qu'à partir de 2027-2028, à un rythme moyen de 0,9 % par an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risque macroéconomique majeur résiderait dans une détérioration de la confiance des consommateurs : si l'anxiété socio-économique liée à l'austérité pousse les ménages à accroître leur épargne de précaution, la consommation décrocherait brutalement, entraînant l'économie belge dans une spirale récessive auto-réalisatrice.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Compétitivité et Fragmentation du Marché du Travail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côté de l'offre et de la production, le pari stratégique du gouvernement De Wever repose sur l'hypothèse néoclassique selon laquelle un choc massif de flexibilité législative engendrera un choc immédiat de compétitivité. Au cours des années précédentes, la hausse cumulée des coûts salariaux belges s'est avérée structurellement supérieure à celle des pays voisins (avec une augmentation horaire de 2,8 % en 2024 et de 3,2 % en 2025), érodant drastiquement les marges des secteurs intensifs en exportations (notamment l'industrie chimique et pharmaceutique, dont le taux d'utilisation des capacités s'est effondré à un niveau historiquement bas)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 plafonnement de l'indexation, couplé à la défiscalisation massive des heures supplémentaires (le contingent des 360 heures "brut=net") et à la libéralisation ciblée du travail de nuit pour la logistique, est explicitement conçu pour restaurer la compétitivité-coût de l'industrie et enrayer la fuite des investissements vers les Pays-Bas et le nord de la France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Néanmoins, les effets macroéconomiques à long terme de l'hyper-flexibilisation du marché du travail (via l'autorisation des contrats limités à 1/10 d'un temps plein et l'extension des flexijobs) demeurent hautement ambivalents. Si ces mesures permettent formellement et statistiquement d'augmenter le taux d'emploi global — rapprochant le pays de la fameuse cible européenne des 80 % —, elles risquent intrinsèquement de fragmenter le marché du travail en générant d'importants effets de substitution. Des emplois traditionnels à temps plein pourraient être progressivement remplacés par une mosaïque de contrats partiels et précaires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 plus, cette stratégie bride le redressement des finances publiques : ces nouveaux emplois ultra-flexibles étant largement subventionnés ou exemptés de prélèvements obligatoires, ils ne génèrent pas les rentrées fiscales et parafiscales nécessaires au renflouement de la Sécurité sociale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Cible Européenne : Un Horizon Dérobé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Malgré ce fardeau budgétaire cyclopéen supporté par l'économie, la probabilité politique et arithmétique d'atteindre l'objectif nominal assigné par le Conseil de l'Union européenne — ramener le déficit nominal sous la barre des 3 % du PIB d'ici 2027 ou 2029 — demeure nimbée d'incertitudes. L'effet mécanique de l'assainissement budgétaire (la baisse des dépenses publiques) est souvent de réduire le dénominateur (le PIB) en étouffant la demande globale, ralentissant par conséquent la croissance économique. Le Comité de monitoring lui-même, en intégrant certaines des mesures d'assainissement, postule qu'en l'absence d'effets multiplicateurs positifs puissants et immédiats, le déficit pourrait se stabiliser obstinément autour de 5 % jusqu'en 2028, maintenant inévitablement la dette publique sur une trajectoire ascendante frôlant les 115 % du PIB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Toutefois, la Commission européenne surveillera dorénavant moins le solde nominal instantané que le respect scrupuleux de la règle contraignante d'évolution des dépenses primaires nettes, telle qu'actée dans le Plan budgétaire et structurel à moyen terme de la Belgique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Tout dérapage sur cet indicateur de pilotage entraînera non seulement une réactivation immédiate des volets punitifs de la procédure pour déficit excessif, mais déclenchera également, via le mécanisme du Conseil supérieur des finances, une répartition de la charge pénitentiaire sur des Régions et Communautés déjà exsangues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définitive, la réussite de ce plan de consolidation décennal repose sur l'élasticité sociale du pays et sur la résilience ininterrompue de son secteur financier privé, véritable rempart contre la défiance des marchés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Face à un front syndical vent debout contre la remise en cause d'acquis historiques, la coalition Arizona parie sur le fait que la préservation de la notation souveraine et le retour espéré de la compétitivité industrielle valideront rétrospectivement la rudesse de ses choix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Belgique s'est engagée, à l'automne 2026, dans un long tunnel de rigueur structurelle dont l'issue et la gestion politique détermineront non seulement la solvabilité de l'État, mais également la viabilité à long terme de son architecture fédérale asymétrique.</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Prochain Conclave Budgétaire Belge.docx</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Conclave — dix milliards, trois nuits, cinq partis, </w:t>
      </w:r>
      <w:hyperlink r:id="rId6">
        <w:r w:rsidDel="00000000" w:rsidR="00000000" w:rsidRPr="00000000">
          <w:rPr>
            <w:rFonts w:ascii="Google Sans" w:cs="Google Sans" w:eastAsia="Google Sans" w:hAnsi="Google Sans"/>
            <w:color w:val="0000ee"/>
            <w:sz w:val="24"/>
            <w:szCs w:val="24"/>
            <w:u w:val="single"/>
            <w:rtl w:val="0"/>
          </w:rPr>
          <w:t xml:space="preserve">https://ouaisfieu.github.io/conclave/fr/</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Situation économique et financière de la Belgique - DG Trésor, </w:t>
      </w:r>
      <w:hyperlink r:id="rId7">
        <w:r w:rsidDel="00000000" w:rsidR="00000000" w:rsidRPr="00000000">
          <w:rPr>
            <w:rFonts w:ascii="Google Sans" w:cs="Google Sans" w:eastAsia="Google Sans" w:hAnsi="Google Sans"/>
            <w:color w:val="0000ee"/>
            <w:sz w:val="24"/>
            <w:szCs w:val="24"/>
            <w:u w:val="single"/>
            <w:rtl w:val="0"/>
          </w:rPr>
          <w:t xml:space="preserve">https://www.tresor.economie.gouv.fr/Pays/BE/situation-economique-et-financiere-de-la-belgique</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Belgique vers un déficit de 5,9 % du PIB en 2027 - 21 News, </w:t>
      </w:r>
      <w:hyperlink r:id="rId8">
        <w:r w:rsidDel="00000000" w:rsidR="00000000" w:rsidRPr="00000000">
          <w:rPr>
            <w:rFonts w:ascii="Google Sans" w:cs="Google Sans" w:eastAsia="Google Sans" w:hAnsi="Google Sans"/>
            <w:color w:val="0000ee"/>
            <w:sz w:val="24"/>
            <w:szCs w:val="24"/>
            <w:u w:val="single"/>
            <w:rtl w:val="0"/>
          </w:rPr>
          <w:t xml:space="preserve">https://www.21news.be/la-belgique-vers-un-deficit-de-59-du-pib-en-2027/</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Pacte de stabilité et de croissance: le Conseil adopte des, </w:t>
      </w:r>
      <w:hyperlink r:id="rId9">
        <w:r w:rsidDel="00000000" w:rsidR="00000000" w:rsidRPr="00000000">
          <w:rPr>
            <w:rFonts w:ascii="Google Sans" w:cs="Google Sans" w:eastAsia="Google Sans" w:hAnsi="Google Sans"/>
            <w:color w:val="0000ee"/>
            <w:sz w:val="24"/>
            <w:szCs w:val="24"/>
            <w:u w:val="single"/>
            <w:rtl w:val="0"/>
          </w:rPr>
          <w:t xml:space="preserve">https://www.consilium.europa.eu/fr/press/press-releases/2025/01/21/stability-and-growth-pact-council-adopts-recommendations-to-countries-under-excessive-deficit-procedure/</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Projections macroéconomiques pour la Belgique | Banque nationale, </w:t>
      </w:r>
      <w:hyperlink r:id="rId10">
        <w:r w:rsidDel="00000000" w:rsidR="00000000" w:rsidRPr="00000000">
          <w:rPr>
            <w:rFonts w:ascii="Google Sans" w:cs="Google Sans" w:eastAsia="Google Sans" w:hAnsi="Google Sans"/>
            <w:color w:val="0000ee"/>
            <w:sz w:val="24"/>
            <w:szCs w:val="24"/>
            <w:u w:val="single"/>
            <w:rtl w:val="0"/>
          </w:rPr>
          <w:t xml:space="preserve">https://www.nbb.be/fr/publications-et-recherche/publications/publications-economiques-et-financieres/projections</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Croissance modérée et déficit budgétaire en hausse : la Belgique, </w:t>
      </w:r>
      <w:hyperlink r:id="rId11">
        <w:r w:rsidDel="00000000" w:rsidR="00000000" w:rsidRPr="00000000">
          <w:rPr>
            <w:rFonts w:ascii="Google Sans" w:cs="Google Sans" w:eastAsia="Google Sans" w:hAnsi="Google Sans"/>
            <w:color w:val="0000ee"/>
            <w:sz w:val="24"/>
            <w:szCs w:val="24"/>
            <w:u w:val="single"/>
            <w:rtl w:val="0"/>
          </w:rPr>
          <w:t xml:space="preserve">https://www.nbb.be/fr/actualites-et-evenements/actualites/croissance-moderee-et-augmentation-du-deficit-budgetaire-la</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Croissance modérée et déficit persistant : la Belgique reste aux, </w:t>
      </w:r>
      <w:hyperlink r:id="rId12">
        <w:r w:rsidDel="00000000" w:rsidR="00000000" w:rsidRPr="00000000">
          <w:rPr>
            <w:rFonts w:ascii="Google Sans" w:cs="Google Sans" w:eastAsia="Google Sans" w:hAnsi="Google Sans"/>
            <w:color w:val="0000ee"/>
            <w:sz w:val="24"/>
            <w:szCs w:val="24"/>
            <w:u w:val="single"/>
            <w:rtl w:val="0"/>
          </w:rPr>
          <w:t xml:space="preserve">https://www.nbb.be/fr/actualites-et-evenements/actualites/croissance-moderee-et-deficit-persistant-la-belgique-reste-aux</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Conjoncture 2025-2026 : ce que disent les chiffres belges, </w:t>
      </w:r>
      <w:hyperlink r:id="rId13">
        <w:r w:rsidDel="00000000" w:rsidR="00000000" w:rsidRPr="00000000">
          <w:rPr>
            <w:rFonts w:ascii="Google Sans" w:cs="Google Sans" w:eastAsia="Google Sans" w:hAnsi="Google Sans"/>
            <w:color w:val="0000ee"/>
            <w:sz w:val="24"/>
            <w:szCs w:val="24"/>
            <w:u w:val="single"/>
            <w:rtl w:val="0"/>
          </w:rPr>
          <w:t xml:space="preserve">https://patronats-francophones.org/conjoncture-2025-2026-ce-que-disent-les-chiffres-belges-da35c406-4540-4277-8ed1-08e82bc8f6b3</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L'économie belge croîtrait d'environ 1 % au cours des prochaines, </w:t>
      </w:r>
      <w:hyperlink r:id="rId14">
        <w:r w:rsidDel="00000000" w:rsidR="00000000" w:rsidRPr="00000000">
          <w:rPr>
            <w:rFonts w:ascii="Google Sans" w:cs="Google Sans" w:eastAsia="Google Sans" w:hAnsi="Google Sans"/>
            <w:color w:val="0000ee"/>
            <w:sz w:val="24"/>
            <w:szCs w:val="24"/>
            <w:u w:val="single"/>
            <w:rtl w:val="0"/>
          </w:rPr>
          <w:t xml:space="preserve">https://www.nbb.be/fr/actualites-et-evenements/actualites/leconomie-belge-croitrait-denviron-1-au-cours-des-prochaines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2025 - BNB - II. Réglementation et contrôle prudentiels, </w:t>
      </w:r>
      <w:hyperlink r:id="rId15">
        <w:r w:rsidDel="00000000" w:rsidR="00000000" w:rsidRPr="00000000">
          <w:rPr>
            <w:rFonts w:ascii="Google Sans" w:cs="Google Sans" w:eastAsia="Google Sans" w:hAnsi="Google Sans"/>
            <w:color w:val="0000ee"/>
            <w:sz w:val="24"/>
            <w:szCs w:val="24"/>
            <w:u w:val="single"/>
            <w:rtl w:val="0"/>
          </w:rPr>
          <w:t xml:space="preserve">https://www.nbb.be/fr/media/24401</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2026, estimation 2027 ... - BOSA, </w:t>
      </w:r>
      <w:hyperlink r:id="rId16">
        <w:r w:rsidDel="00000000" w:rsidR="00000000" w:rsidRPr="00000000">
          <w:rPr>
            <w:rFonts w:ascii="Google Sans" w:cs="Google Sans" w:eastAsia="Google Sans" w:hAnsi="Google Sans"/>
            <w:color w:val="0000ee"/>
            <w:sz w:val="24"/>
            <w:szCs w:val="24"/>
            <w:u w:val="single"/>
            <w:rtl w:val="0"/>
          </w:rPr>
          <w:t xml:space="preserve">https://bosa.belgium.be/fr/news/comite-de-monitoring-actualisation-2026-estimation-2027-et-estimation-pluriannuelle-2028-2031</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2025-2030 - BOSA - Belgium.be, </w:t>
      </w:r>
      <w:hyperlink r:id="rId17">
        <w:r w:rsidDel="00000000" w:rsidR="00000000" w:rsidRPr="00000000">
          <w:rPr>
            <w:rFonts w:ascii="Google Sans" w:cs="Google Sans" w:eastAsia="Google Sans" w:hAnsi="Google Sans"/>
            <w:color w:val="0000ee"/>
            <w:sz w:val="24"/>
            <w:szCs w:val="24"/>
            <w:u w:val="single"/>
            <w:rtl w:val="0"/>
          </w:rPr>
          <w:t xml:space="preserve">http://bosa.belgium.be/fr/publications/comite-de-monitoring-actualisation-2025-2030</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13320, </w:t>
      </w:r>
      <w:hyperlink r:id="rId18">
        <w:r w:rsidDel="00000000" w:rsidR="00000000" w:rsidRPr="00000000">
          <w:rPr>
            <w:rFonts w:ascii="Google Sans" w:cs="Google Sans" w:eastAsia="Google Sans" w:hAnsi="Google Sans"/>
            <w:color w:val="0000ee"/>
            <w:sz w:val="24"/>
            <w:szCs w:val="24"/>
            <w:u w:val="single"/>
            <w:rtl w:val="0"/>
          </w:rPr>
          <w:t xml:space="preserve">https://www.plan.be/sites/default/files/documents/REP_BUDGET2027_13320_FR.pdf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FWB en situation d'urgence ? - Éconosphères, </w:t>
      </w:r>
      <w:hyperlink r:id="rId19">
        <w:r w:rsidDel="00000000" w:rsidR="00000000" w:rsidRPr="00000000">
          <w:rPr>
            <w:rFonts w:ascii="Google Sans" w:cs="Google Sans" w:eastAsia="Google Sans" w:hAnsi="Google Sans"/>
            <w:color w:val="0000ee"/>
            <w:sz w:val="24"/>
            <w:szCs w:val="24"/>
            <w:u w:val="single"/>
            <w:rtl w:val="0"/>
          </w:rPr>
          <w:t xml:space="preserve">https://www.econospheres.be/La-FWB-en-situation-d-urgence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Que penser des règles budgétaires européennes - FIPECO, </w:t>
      </w:r>
      <w:hyperlink r:id="rId20">
        <w:r w:rsidDel="00000000" w:rsidR="00000000" w:rsidRPr="00000000">
          <w:rPr>
            <w:rFonts w:ascii="Google Sans" w:cs="Google Sans" w:eastAsia="Google Sans" w:hAnsi="Google Sans"/>
            <w:color w:val="0000ee"/>
            <w:sz w:val="24"/>
            <w:szCs w:val="24"/>
            <w:u w:val="single"/>
            <w:rtl w:val="0"/>
          </w:rPr>
          <w:t xml:space="preserve">https://www.fipeco.fr/fiche/Quelles-sont-les-justifications-des-r%C3%A8gles-budg%C3%A9taires-europ%C3%A9ennes-et-comment-les-am%C3%A9liorer-%3F</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Construire l'austérité : Le modèle DSA de la Commission européenne, </w:t>
      </w:r>
      <w:hyperlink r:id="rId21">
        <w:r w:rsidDel="00000000" w:rsidR="00000000" w:rsidRPr="00000000">
          <w:rPr>
            <w:rFonts w:ascii="Google Sans" w:cs="Google Sans" w:eastAsia="Google Sans" w:hAnsi="Google Sans"/>
            <w:color w:val="0000ee"/>
            <w:sz w:val="24"/>
            <w:szCs w:val="24"/>
            <w:u w:val="single"/>
            <w:rtl w:val="0"/>
          </w:rPr>
          <w:t xml:space="preserve">https://www.econospheres.be/Construire-l-austerite-Le-modele-DSA-de-la-Commission-europeenne</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 is no alternative»: le gouvernement de Bart De Wever doit, </w:t>
      </w:r>
      <w:hyperlink r:id="rId22">
        <w:r w:rsidDel="00000000" w:rsidR="00000000" w:rsidRPr="00000000">
          <w:rPr>
            <w:rFonts w:ascii="Google Sans" w:cs="Google Sans" w:eastAsia="Google Sans" w:hAnsi="Google Sans"/>
            <w:color w:val="0000ee"/>
            <w:sz w:val="24"/>
            <w:szCs w:val="24"/>
            <w:u w:val="single"/>
            <w:rtl w:val="0"/>
          </w:rPr>
          <w:t xml:space="preserve">https://www.levif.be/belgique/politique/there-is-no-alternative-le-gouvernement-de-bart-de-wever-doit-trouver-77-milliards-deuros-pour-combler-le-deficit/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Finances publiques - Nationale Bank Belgie, </w:t>
      </w:r>
      <w:hyperlink r:id="rId23">
        <w:r w:rsidDel="00000000" w:rsidR="00000000" w:rsidRPr="00000000">
          <w:rPr>
            <w:rFonts w:ascii="Google Sans" w:cs="Google Sans" w:eastAsia="Google Sans" w:hAnsi="Google Sans"/>
            <w:color w:val="0000ee"/>
            <w:sz w:val="24"/>
            <w:szCs w:val="24"/>
            <w:u w:val="single"/>
            <w:rtl w:val="0"/>
          </w:rPr>
          <w:t xml:space="preserve">https://www.nbb.be/doc/ts/publications/nbbreport/2025/fr/t1/rapport2025_tii_h4.pdf</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effective action to correct the excessive deficit - BOSA, </w:t>
      </w:r>
      <w:hyperlink r:id="rId24">
        <w:r w:rsidDel="00000000" w:rsidR="00000000" w:rsidRPr="00000000">
          <w:rPr>
            <w:rFonts w:ascii="Google Sans" w:cs="Google Sans" w:eastAsia="Google Sans" w:hAnsi="Google Sans"/>
            <w:color w:val="0000ee"/>
            <w:sz w:val="24"/>
            <w:szCs w:val="24"/>
            <w:u w:val="single"/>
            <w:rtl w:val="0"/>
          </w:rPr>
          <w:t xml:space="preserve">https://bosa.belgium.be/sites/default/files/content/documents/Effective%20action%20under%20the%20EDP%2031-10%20pdf.pdf</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Budget Arizona : dossier chiffré du budget fédéral belge (2025, </w:t>
      </w:r>
      <w:hyperlink r:id="rId25">
        <w:r w:rsidDel="00000000" w:rsidR="00000000" w:rsidRPr="00000000">
          <w:rPr>
            <w:rFonts w:ascii="Google Sans" w:cs="Google Sans" w:eastAsia="Google Sans" w:hAnsi="Google Sans"/>
            <w:color w:val="0000ee"/>
            <w:sz w:val="24"/>
            <w:szCs w:val="24"/>
            <w:u w:val="single"/>
            <w:rtl w:val="0"/>
          </w:rPr>
          <w:t xml:space="preserve">https://ouaisfieu.github.io/arizona/budget/</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2026_dbp_fr_fr.pdf - Economy and Finance, </w:t>
      </w:r>
      <w:hyperlink r:id="rId26">
        <w:r w:rsidDel="00000000" w:rsidR="00000000" w:rsidRPr="00000000">
          <w:rPr>
            <w:rFonts w:ascii="Google Sans" w:cs="Google Sans" w:eastAsia="Google Sans" w:hAnsi="Google Sans"/>
            <w:color w:val="0000ee"/>
            <w:sz w:val="24"/>
            <w:szCs w:val="24"/>
            <w:u w:val="single"/>
            <w:rtl w:val="0"/>
          </w:rPr>
          <w:t xml:space="preserve">https://economy-finance.ec.europa.eu/document/download/22f99ff2-d670-4fe7-85ed-528e29d137ca_fr?filename=2026_dbp_fr_fr.pdf&amp;prefLang=en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 exploratoire sur la responsabilisation budgétaire de l'entité I, </w:t>
      </w:r>
      <w:hyperlink r:id="rId27">
        <w:r w:rsidDel="00000000" w:rsidR="00000000" w:rsidRPr="00000000">
          <w:rPr>
            <w:rFonts w:ascii="Google Sans" w:cs="Google Sans" w:eastAsia="Google Sans" w:hAnsi="Google Sans"/>
            <w:color w:val="0000ee"/>
            <w:sz w:val="24"/>
            <w:szCs w:val="24"/>
            <w:u w:val="single"/>
            <w:rtl w:val="0"/>
          </w:rPr>
          <w:t xml:space="preserve">https://www.unamur.be/sites/default/files/2025-09/Cahier%20119%20-%20Note%20exploratoire%20sur%20la%20responsabilisation%20%201.pdf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budgétaire : la Wallonie se félicite d'un mécanisme “protecteur”, </w:t>
      </w:r>
      <w:hyperlink r:id="rId28">
        <w:r w:rsidDel="00000000" w:rsidR="00000000" w:rsidRPr="00000000">
          <w:rPr>
            <w:rFonts w:ascii="Google Sans" w:cs="Google Sans" w:eastAsia="Google Sans" w:hAnsi="Google Sans"/>
            <w:color w:val="0000ee"/>
            <w:sz w:val="24"/>
            <w:szCs w:val="24"/>
            <w:u w:val="single"/>
            <w:rtl w:val="0"/>
          </w:rPr>
          <w:t xml:space="preserve">https://www.21news.be/accord-budgetaire-la-wallonie-se-felicite-dun-mecanisme-protecteur/</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Annualisation du temps de travail, crédit familial, taxe d'embarquement, </w:t>
      </w:r>
      <w:hyperlink r:id="rId29">
        <w:r w:rsidDel="00000000" w:rsidR="00000000" w:rsidRPr="00000000">
          <w:rPr>
            <w:rFonts w:ascii="Google Sans" w:cs="Google Sans" w:eastAsia="Google Sans" w:hAnsi="Google Sans"/>
            <w:color w:val="0000ee"/>
            <w:sz w:val="24"/>
            <w:szCs w:val="24"/>
            <w:u w:val="single"/>
            <w:rtl w:val="0"/>
          </w:rPr>
          <w:t xml:space="preserve">https://blog.oeccbb.be/fr/article/annualisation-du-temps-de-travail-credit-familial-taxe-dembarquement-laccord-du-18-juillet-2026-decrypte/31876</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MFWB | Éléments-clés du budget annuel - Budget et Finances, </w:t>
      </w:r>
      <w:hyperlink r:id="rId30">
        <w:r w:rsidDel="00000000" w:rsidR="00000000" w:rsidRPr="00000000">
          <w:rPr>
            <w:rFonts w:ascii="Google Sans" w:cs="Google Sans" w:eastAsia="Google Sans" w:hAnsi="Google Sans"/>
            <w:color w:val="0000ee"/>
            <w:sz w:val="24"/>
            <w:szCs w:val="24"/>
            <w:u w:val="single"/>
            <w:rtl w:val="0"/>
          </w:rPr>
          <w:t xml:space="preserve">https://budget-finances.cfwb.be/budget-et-comptabilite/elements-cles-du-budget-annuel/</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CRIc No68-Budget14 (2025-2026), </w:t>
      </w:r>
      <w:hyperlink r:id="rId31">
        <w:r w:rsidDel="00000000" w:rsidR="00000000" w:rsidRPr="00000000">
          <w:rPr>
            <w:rFonts w:ascii="Google Sans" w:cs="Google Sans" w:eastAsia="Google Sans" w:hAnsi="Google Sans"/>
            <w:color w:val="0000ee"/>
            <w:sz w:val="24"/>
            <w:szCs w:val="24"/>
            <w:u w:val="single"/>
            <w:rtl w:val="0"/>
          </w:rPr>
          <w:t xml:space="preserve">https://archive.pfwb.be/1000000020df063</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Moyen-Orient: la Belgique entre prudence et incertitude | Midden, </w:t>
      </w:r>
      <w:hyperlink r:id="rId32">
        <w:r w:rsidDel="00000000" w:rsidR="00000000" w:rsidRPr="00000000">
          <w:rPr>
            <w:rFonts w:ascii="Google Sans" w:cs="Google Sans" w:eastAsia="Google Sans" w:hAnsi="Google Sans"/>
            <w:color w:val="0000ee"/>
            <w:sz w:val="24"/>
            <w:szCs w:val="24"/>
            <w:u w:val="single"/>
            <w:rtl w:val="0"/>
          </w:rPr>
          <w:t xml:space="preserve">https://belgiummatters.substack.com/p/moyen-orient-la-belgique-entre-prudence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de politiques pour l'élaboration du budget 2027, </w:t>
      </w:r>
      <w:hyperlink r:id="rId33">
        <w:r w:rsidDel="00000000" w:rsidR="00000000" w:rsidRPr="00000000">
          <w:rPr>
            <w:rFonts w:ascii="Google Sans" w:cs="Google Sans" w:eastAsia="Google Sans" w:hAnsi="Google Sans"/>
            <w:color w:val="0000ee"/>
            <w:sz w:val="24"/>
            <w:szCs w:val="24"/>
            <w:u w:val="single"/>
            <w:rtl w:val="0"/>
          </w:rPr>
          <w:t xml:space="preserve">https://www.plan.be/fr/publications/options-de-politiques-pour-lelaboration-du-budget</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Plus de 250 mesures pour améliorer la situation budgétaire, </w:t>
      </w:r>
      <w:hyperlink r:id="rId34">
        <w:r w:rsidDel="00000000" w:rsidR="00000000" w:rsidRPr="00000000">
          <w:rPr>
            <w:rFonts w:ascii="Google Sans" w:cs="Google Sans" w:eastAsia="Google Sans" w:hAnsi="Google Sans"/>
            <w:color w:val="0000ee"/>
            <w:sz w:val="24"/>
            <w:szCs w:val="24"/>
            <w:u w:val="single"/>
            <w:rtl w:val="0"/>
          </w:rPr>
          <w:t xml:space="preserve">https://www.plan.be/fr/publications/plus-de-250-mesures-pour-ameliorer-la-situation</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Agence Europe I Révision du Pacte de stabilité, les eurodéputés, </w:t>
      </w:r>
      <w:hyperlink r:id="rId35">
        <w:r w:rsidDel="00000000" w:rsidR="00000000" w:rsidRPr="00000000">
          <w:rPr>
            <w:rFonts w:ascii="Google Sans" w:cs="Google Sans" w:eastAsia="Google Sans" w:hAnsi="Google Sans"/>
            <w:color w:val="0000ee"/>
            <w:sz w:val="24"/>
            <w:szCs w:val="24"/>
            <w:u w:val="single"/>
            <w:rtl w:val="0"/>
          </w:rPr>
          <w:t xml:space="preserve">https://stephanieyoncourtin.eu/posts/21ASY2fDgLhnfIMRoblxlZ/agence-europe-i-revision-du-pacte-de-stabilite-les-eurodeputes-arrachent-au-conseil-de-l-ue-une-disposition-propice-aux-investissements-12-02-2024</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Avis - préparation du Programme de Stabilité 2022-2025, </w:t>
      </w:r>
      <w:hyperlink r:id="rId36">
        <w:r w:rsidDel="00000000" w:rsidR="00000000" w:rsidRPr="00000000">
          <w:rPr>
            <w:rFonts w:ascii="Google Sans" w:cs="Google Sans" w:eastAsia="Google Sans" w:hAnsi="Google Sans"/>
            <w:color w:val="0000ee"/>
            <w:sz w:val="24"/>
            <w:szCs w:val="24"/>
            <w:u w:val="single"/>
            <w:rtl w:val="0"/>
          </w:rPr>
          <w:t xml:space="preserve">https://conseilsuperieurdesfinances.be/sites/default/files/publications/csf_fin_avis_2022_04_synthese.pdf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13/08/2026 - Le Parlement de Wallonie, </w:t>
      </w:r>
      <w:hyperlink r:id="rId37">
        <w:r w:rsidDel="00000000" w:rsidR="00000000" w:rsidRPr="00000000">
          <w:rPr>
            <w:rFonts w:ascii="Google Sans" w:cs="Google Sans" w:eastAsia="Google Sans" w:hAnsi="Google Sans"/>
            <w:color w:val="0000ee"/>
            <w:sz w:val="24"/>
            <w:szCs w:val="24"/>
            <w:u w:val="single"/>
            <w:rtl w:val="0"/>
          </w:rPr>
          <w:t xml:space="preserve">https://www.parlement-wallonie.be/pwpages?p=doc-recherche-exp&amp;idleg=&amp;type=all&amp;auteur=1076</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PARLEMENT COMMUNAUTÉ FRANÇAISE, </w:t>
      </w:r>
      <w:hyperlink r:id="rId38">
        <w:r w:rsidDel="00000000" w:rsidR="00000000" w:rsidRPr="00000000">
          <w:rPr>
            <w:rFonts w:ascii="Google Sans" w:cs="Google Sans" w:eastAsia="Google Sans" w:hAnsi="Google Sans"/>
            <w:color w:val="0000ee"/>
            <w:sz w:val="24"/>
            <w:szCs w:val="24"/>
            <w:u w:val="single"/>
            <w:rtl w:val="0"/>
          </w:rPr>
          <w:t xml:space="preserve">https://archive.pfwb.be/1000000020dd078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peco.fr/fiche/Quelles-sont-les-justifications-des-r%C3%A8gles-budg%C3%A9taires-europ%C3%A9ennes-et-comment-les-am%C3%A9liorer-%3F" TargetMode="External"/><Relationship Id="rId22" Type="http://schemas.openxmlformats.org/officeDocument/2006/relationships/hyperlink" Target="https://www.levif.be/belgique/politique/there-is-no-alternative-le-gouvernement-de-bart-de-wever-doit-trouver-77-milliards-deuros-pour-combler-le-deficit/" TargetMode="External"/><Relationship Id="rId21" Type="http://schemas.openxmlformats.org/officeDocument/2006/relationships/hyperlink" Target="https://www.econospheres.be/Construire-l-austerite-Le-modele-DSA-de-la-Commission-europeenne" TargetMode="External"/><Relationship Id="rId24" Type="http://schemas.openxmlformats.org/officeDocument/2006/relationships/hyperlink" Target="https://bosa.belgium.be/sites/default/files/content/documents/Effective%20action%20under%20the%20EDP%2031-10%20pdf.pdf" TargetMode="External"/><Relationship Id="rId23" Type="http://schemas.openxmlformats.org/officeDocument/2006/relationships/hyperlink" Target="https://www.nbb.be/doc/ts/publications/nbbreport/2025/fr/t1/rapport2025_tii_h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silium.europa.eu/fr/press/press-releases/2025/01/21/stability-and-growth-pact-council-adopts-recommendations-to-countries-under-excessive-deficit-procedure/" TargetMode="External"/><Relationship Id="rId26" Type="http://schemas.openxmlformats.org/officeDocument/2006/relationships/hyperlink" Target="https://economy-finance.ec.europa.eu/document/download/22f99ff2-d670-4fe7-85ed-528e29d137ca_fr?filename=2026_dbp_fr_fr.pdf&amp;prefLang=en" TargetMode="External"/><Relationship Id="rId25" Type="http://schemas.openxmlformats.org/officeDocument/2006/relationships/hyperlink" Target="https://ouaisfieu.github.io/arizona/budget/" TargetMode="External"/><Relationship Id="rId28" Type="http://schemas.openxmlformats.org/officeDocument/2006/relationships/hyperlink" Target="https://www.21news.be/accord-budgetaire-la-wallonie-se-felicite-dun-mecanisme-protecteur/" TargetMode="External"/><Relationship Id="rId27" Type="http://schemas.openxmlformats.org/officeDocument/2006/relationships/hyperlink" Target="https://www.unamur.be/sites/default/files/2025-09/Cahier%20119%20-%20Note%20exploratoire%20sur%20la%20responsabilisation%20%201.pdf" TargetMode="External"/><Relationship Id="rId5" Type="http://schemas.openxmlformats.org/officeDocument/2006/relationships/styles" Target="styles.xml"/><Relationship Id="rId6" Type="http://schemas.openxmlformats.org/officeDocument/2006/relationships/hyperlink" Target="https://ouaisfieu.github.io/conclave/fr/" TargetMode="External"/><Relationship Id="rId29" Type="http://schemas.openxmlformats.org/officeDocument/2006/relationships/hyperlink" Target="https://blog.oeccbb.be/fr/article/annualisation-du-temps-de-travail-credit-familial-taxe-dembarquement-laccord-du-18-juillet-2026-decrypte/31876" TargetMode="External"/><Relationship Id="rId7" Type="http://schemas.openxmlformats.org/officeDocument/2006/relationships/hyperlink" Target="https://www.tresor.economie.gouv.fr/Pays/BE/situation-economique-et-financiere-de-la-belgique" TargetMode="External"/><Relationship Id="rId8" Type="http://schemas.openxmlformats.org/officeDocument/2006/relationships/hyperlink" Target="https://www.21news.be/la-belgique-vers-un-deficit-de-59-du-pib-en-2027/" TargetMode="External"/><Relationship Id="rId31" Type="http://schemas.openxmlformats.org/officeDocument/2006/relationships/hyperlink" Target="https://archive.pfwb.be/1000000020df063" TargetMode="External"/><Relationship Id="rId30" Type="http://schemas.openxmlformats.org/officeDocument/2006/relationships/hyperlink" Target="https://budget-finances.cfwb.be/budget-et-comptabilite/elements-cles-du-budget-annuel/" TargetMode="External"/><Relationship Id="rId11" Type="http://schemas.openxmlformats.org/officeDocument/2006/relationships/hyperlink" Target="https://www.nbb.be/fr/actualites-et-evenements/actualites/croissance-moderee-et-augmentation-du-deficit-budgetaire-la" TargetMode="External"/><Relationship Id="rId33" Type="http://schemas.openxmlformats.org/officeDocument/2006/relationships/hyperlink" Target="https://www.plan.be/fr/publications/options-de-politiques-pour-lelaboration-du-budget" TargetMode="External"/><Relationship Id="rId10" Type="http://schemas.openxmlformats.org/officeDocument/2006/relationships/hyperlink" Target="https://www.nbb.be/fr/publications-et-recherche/publications/publications-economiques-et-financieres/projections" TargetMode="External"/><Relationship Id="rId32" Type="http://schemas.openxmlformats.org/officeDocument/2006/relationships/hyperlink" Target="https://belgiummatters.substack.com/p/moyen-orient-la-belgique-entre-prudence" TargetMode="External"/><Relationship Id="rId13" Type="http://schemas.openxmlformats.org/officeDocument/2006/relationships/hyperlink" Target="https://patronats-francophones.org/conjoncture-2025-2026-ce-que-disent-les-chiffres-belges-da35c406-4540-4277-8ed1-08e82bc8f6b3" TargetMode="External"/><Relationship Id="rId35" Type="http://schemas.openxmlformats.org/officeDocument/2006/relationships/hyperlink" Target="https://stephanieyoncourtin.eu/posts/21ASY2fDgLhnfIMRoblxlZ/agence-europe-i-revision-du-pacte-de-stabilite-les-eurodeputes-arrachent-au-conseil-de-l-ue-une-disposition-propice-aux-investissements-12-02-2024" TargetMode="External"/><Relationship Id="rId12" Type="http://schemas.openxmlformats.org/officeDocument/2006/relationships/hyperlink" Target="https://www.nbb.be/fr/actualites-et-evenements/actualites/croissance-moderee-et-deficit-persistant-la-belgique-reste-aux" TargetMode="External"/><Relationship Id="rId34" Type="http://schemas.openxmlformats.org/officeDocument/2006/relationships/hyperlink" Target="https://www.plan.be/fr/publications/plus-de-250-mesures-pour-ameliorer-la-situation" TargetMode="External"/><Relationship Id="rId15" Type="http://schemas.openxmlformats.org/officeDocument/2006/relationships/hyperlink" Target="https://www.nbb.be/fr/media/24401" TargetMode="External"/><Relationship Id="rId37" Type="http://schemas.openxmlformats.org/officeDocument/2006/relationships/hyperlink" Target="https://www.parlement-wallonie.be/pwpages?p=doc-recherche-exp&amp;idleg&amp;type=all&amp;auteur=1076" TargetMode="External"/><Relationship Id="rId14" Type="http://schemas.openxmlformats.org/officeDocument/2006/relationships/hyperlink" Target="https://www.nbb.be/fr/actualites-et-evenements/actualites/leconomie-belge-croitrait-denviron-1-au-cours-des-prochaines" TargetMode="External"/><Relationship Id="rId36" Type="http://schemas.openxmlformats.org/officeDocument/2006/relationships/hyperlink" Target="https://conseilsuperieurdesfinances.be/sites/default/files/publications/csf_fin_avis_2022_04_synthese.pdf" TargetMode="External"/><Relationship Id="rId17" Type="http://schemas.openxmlformats.org/officeDocument/2006/relationships/hyperlink" Target="http://bosa.belgium.be/fr/publications/comite-de-monitoring-actualisation-2025-2030" TargetMode="External"/><Relationship Id="rId16" Type="http://schemas.openxmlformats.org/officeDocument/2006/relationships/hyperlink" Target="https://bosa.belgium.be/fr/news/comite-de-monitoring-actualisation-2026-estimation-2027-et-estimation-pluriannuelle-2028-2031" TargetMode="External"/><Relationship Id="rId38" Type="http://schemas.openxmlformats.org/officeDocument/2006/relationships/hyperlink" Target="https://archive.pfwb.be/1000000020dd078" TargetMode="External"/><Relationship Id="rId19" Type="http://schemas.openxmlformats.org/officeDocument/2006/relationships/hyperlink" Target="https://www.econospheres.be/La-FWB-en-situation-d-urgence" TargetMode="External"/><Relationship Id="rId18" Type="http://schemas.openxmlformats.org/officeDocument/2006/relationships/hyperlink" Target="https://www.plan.be/sites/default/files/documents/REP_BUDGET2027_13320_FR.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