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AF71" w14:textId="77777777" w:rsidR="00464943" w:rsidRDefault="00464943">
      <w:pPr>
        <w:spacing w:after="240"/>
      </w:pPr>
    </w:p>
    <w:p w14:paraId="6BAD561E" w14:textId="77777777" w:rsidR="00464943" w:rsidRDefault="00464943">
      <w:pPr>
        <w:spacing w:after="240"/>
      </w:pPr>
    </w:p>
    <w:p w14:paraId="73CDB575" w14:textId="77777777" w:rsidR="00464943" w:rsidRDefault="00464943">
      <w:pPr>
        <w:spacing w:after="240"/>
      </w:pPr>
    </w:p>
    <w:p w14:paraId="35B72D62" w14:textId="77777777" w:rsidR="00464943" w:rsidRDefault="00464943">
      <w:pPr>
        <w:spacing w:after="240"/>
      </w:pPr>
    </w:p>
    <w:p w14:paraId="4F54E763" w14:textId="77777777" w:rsidR="00464943" w:rsidRDefault="00000000">
      <w:pPr>
        <w:spacing w:after="360"/>
        <w:jc w:val="center"/>
      </w:pPr>
      <w:r>
        <w:rPr>
          <w:b/>
          <w:color w:val="7A5A00"/>
          <w:sz w:val="20"/>
        </w:rPr>
        <w:t>DEEP RESEARCH  |  RAPPORT COMPLÉMENTAIRE</w:t>
      </w:r>
    </w:p>
    <w:p w14:paraId="073D9231" w14:textId="01250AC4" w:rsidR="00464943" w:rsidRDefault="00000000">
      <w:pPr>
        <w:spacing w:after="200"/>
        <w:jc w:val="center"/>
      </w:pPr>
      <w:r>
        <w:rPr>
          <w:b/>
          <w:color w:val="0B2545"/>
          <w:sz w:val="60"/>
        </w:rPr>
        <w:t xml:space="preserve">Angles morts du </w:t>
      </w:r>
      <w:r w:rsidR="002D57ED">
        <w:rPr>
          <w:b/>
          <w:color w:val="0B2545"/>
          <w:sz w:val="60"/>
        </w:rPr>
        <w:t xml:space="preserve">dossier </w:t>
      </w:r>
      <w:r>
        <w:rPr>
          <w:b/>
          <w:color w:val="0B2545"/>
          <w:sz w:val="60"/>
        </w:rPr>
        <w:t>conclave</w:t>
      </w:r>
      <w:r>
        <w:rPr>
          <w:b/>
          <w:color w:val="0B2545"/>
          <w:sz w:val="60"/>
        </w:rPr>
        <w:br/>
        <w:t>budgétaire belge</w:t>
      </w:r>
    </w:p>
    <w:p w14:paraId="601E1161" w14:textId="77777777" w:rsidR="00464943" w:rsidRDefault="00000000">
      <w:pPr>
        <w:spacing w:after="520"/>
        <w:jc w:val="center"/>
      </w:pPr>
      <w:r>
        <w:rPr>
          <w:color w:val="1F4D78"/>
          <w:sz w:val="30"/>
        </w:rPr>
        <w:t>Automne 2026 - budget 2027 et trajectoire 2027-2029</w:t>
      </w:r>
    </w:p>
    <w:p w14:paraId="7C8D9D30" w14:textId="77777777" w:rsidR="00464943" w:rsidRDefault="00000000">
      <w:pPr>
        <w:spacing w:after="680"/>
        <w:ind w:left="792" w:right="792"/>
        <w:jc w:val="center"/>
      </w:pPr>
      <w:r>
        <w:rPr>
          <w:i/>
          <w:color w:val="5F6B78"/>
          <w:sz w:val="23"/>
        </w:rPr>
        <w:t>Analyse complémentaire des quatre annexes : qualité probatoire, risques omis, tests de crédibilité et cadre de chiffrage exécutable.</w:t>
      </w:r>
    </w:p>
    <w:p w14:paraId="5FD42A4E" w14:textId="77777777" w:rsidR="00464943" w:rsidRDefault="00000000">
      <w:pPr>
        <w:spacing w:after="60"/>
        <w:jc w:val="center"/>
      </w:pPr>
      <w:r>
        <w:rPr>
          <w:b/>
          <w:color w:val="5F6B78"/>
          <w:sz w:val="19"/>
        </w:rPr>
        <w:t xml:space="preserve">Arrêté des informations : </w:t>
      </w:r>
      <w:r>
        <w:rPr>
          <w:color w:val="5F6B78"/>
          <w:sz w:val="19"/>
        </w:rPr>
        <w:t>31 août 2026</w:t>
      </w:r>
    </w:p>
    <w:p w14:paraId="6967D384" w14:textId="77777777" w:rsidR="00464943" w:rsidRDefault="00000000">
      <w:pPr>
        <w:spacing w:after="60"/>
        <w:jc w:val="center"/>
      </w:pPr>
      <w:r>
        <w:rPr>
          <w:b/>
          <w:color w:val="5F6B78"/>
          <w:sz w:val="19"/>
        </w:rPr>
        <w:t xml:space="preserve">Périmètre : </w:t>
      </w:r>
      <w:r>
        <w:rPr>
          <w:color w:val="5F6B78"/>
          <w:sz w:val="19"/>
        </w:rPr>
        <w:t>Budget fédéral 2027 et solde consolidé des administrations publiques</w:t>
      </w:r>
    </w:p>
    <w:p w14:paraId="4F2A5F58" w14:textId="77777777" w:rsidR="00464943" w:rsidRDefault="00000000">
      <w:pPr>
        <w:spacing w:after="60"/>
        <w:jc w:val="center"/>
      </w:pPr>
      <w:r>
        <w:rPr>
          <w:b/>
          <w:color w:val="5F6B78"/>
          <w:sz w:val="19"/>
        </w:rPr>
        <w:t xml:space="preserve">Horizon : </w:t>
      </w:r>
      <w:r>
        <w:rPr>
          <w:color w:val="5F6B78"/>
          <w:sz w:val="19"/>
        </w:rPr>
        <w:t>2027-2029, avec risques structurels jusqu'en 2035 et 2050</w:t>
      </w:r>
    </w:p>
    <w:p w14:paraId="27989E7E" w14:textId="77777777" w:rsidR="00464943" w:rsidRDefault="00000000">
      <w:pPr>
        <w:spacing w:before="520" w:after="0"/>
        <w:jc w:val="center"/>
      </w:pPr>
      <w:r>
        <w:rPr>
          <w:b/>
          <w:color w:val="9B1C1C"/>
          <w:sz w:val="17"/>
        </w:rPr>
        <w:t>Document de travail indépendant - décisions futures non présumées</w:t>
      </w:r>
      <w:r>
        <w:br w:type="page"/>
      </w:r>
    </w:p>
    <w:p w14:paraId="2505145A" w14:textId="77777777" w:rsidR="00464943" w:rsidRDefault="00000000">
      <w:pPr>
        <w:pStyle w:val="Titre1"/>
        <w:spacing w:before="0"/>
      </w:pPr>
      <w:r>
        <w:lastRenderedPageBreak/>
        <w:t>Table des matières</w:t>
      </w:r>
    </w:p>
    <w:p w14:paraId="4EEA8C99" w14:textId="77777777" w:rsidR="00464943" w:rsidRDefault="00000000">
      <w:pPr>
        <w:pStyle w:val="TOCManual"/>
      </w:pPr>
      <w:r>
        <w:t>Réponse directe</w:t>
      </w:r>
    </w:p>
    <w:p w14:paraId="1720A380" w14:textId="77777777" w:rsidR="00464943" w:rsidRDefault="00000000">
      <w:pPr>
        <w:pStyle w:val="TOCManual"/>
      </w:pPr>
      <w:r>
        <w:t>1. Ce que les annexes établissent déjà correctement</w:t>
      </w:r>
    </w:p>
    <w:p w14:paraId="5A2D17C7" w14:textId="77777777" w:rsidR="00464943" w:rsidRDefault="00000000">
      <w:pPr>
        <w:pStyle w:val="TOCManual"/>
      </w:pPr>
      <w:r>
        <w:t>2. Diagnostic de qualité probatoire</w:t>
      </w:r>
    </w:p>
    <w:p w14:paraId="0EF60291" w14:textId="77777777" w:rsidR="00464943" w:rsidRDefault="00000000">
      <w:pPr>
        <w:pStyle w:val="TOCManual"/>
      </w:pPr>
      <w:r>
        <w:t>3. Défense : la cible ne s'arrête plus à 2 %</w:t>
      </w:r>
    </w:p>
    <w:p w14:paraId="0ECD1CEA" w14:textId="77777777" w:rsidR="00464943" w:rsidRDefault="00000000">
      <w:pPr>
        <w:pStyle w:val="TOCManual"/>
      </w:pPr>
      <w:r>
        <w:t>4. Répartition interfédérale de l'effort</w:t>
      </w:r>
    </w:p>
    <w:p w14:paraId="6DDB053C" w14:textId="77777777" w:rsidR="00464943" w:rsidRDefault="00000000">
      <w:pPr>
        <w:pStyle w:val="TOCManual"/>
      </w:pPr>
      <w:r>
        <w:t>5. Vieillissement, santé et soins de longue durée</w:t>
      </w:r>
    </w:p>
    <w:p w14:paraId="0664D2E6" w14:textId="77777777" w:rsidR="00464943" w:rsidRDefault="00000000">
      <w:pPr>
        <w:pStyle w:val="TOCManual"/>
      </w:pPr>
      <w:r>
        <w:t>6. Spending reviews et plan de relance européen</w:t>
      </w:r>
    </w:p>
    <w:p w14:paraId="64FB7E05" w14:textId="77777777" w:rsidR="00464943" w:rsidRDefault="00000000">
      <w:pPr>
        <w:pStyle w:val="TOCManual"/>
      </w:pPr>
      <w:r>
        <w:t>7. Effets distributifs et de genre</w:t>
      </w:r>
    </w:p>
    <w:p w14:paraId="1F1E7610" w14:textId="77777777" w:rsidR="00464943" w:rsidRDefault="00000000">
      <w:pPr>
        <w:pStyle w:val="TOCManual"/>
      </w:pPr>
      <w:r>
        <w:t>8. Activation, emploi et invalidité</w:t>
      </w:r>
    </w:p>
    <w:p w14:paraId="6EA3FB08" w14:textId="77777777" w:rsidR="00464943" w:rsidRDefault="00000000">
      <w:pPr>
        <w:pStyle w:val="TOCManual"/>
      </w:pPr>
      <w:r>
        <w:t>9. Dette et refinancement</w:t>
      </w:r>
    </w:p>
    <w:p w14:paraId="23E25D17" w14:textId="77777777" w:rsidR="00464943" w:rsidRDefault="00000000">
      <w:pPr>
        <w:pStyle w:val="TOCManual"/>
      </w:pPr>
      <w:r>
        <w:t>10. Dépenses fiscales</w:t>
      </w:r>
    </w:p>
    <w:p w14:paraId="3E1A0682" w14:textId="77777777" w:rsidR="00464943" w:rsidRDefault="00000000">
      <w:pPr>
        <w:pStyle w:val="TOCManual"/>
      </w:pPr>
      <w:r>
        <w:t>11. Fiscalité fossile et transition juste</w:t>
      </w:r>
    </w:p>
    <w:p w14:paraId="07788A30" w14:textId="77777777" w:rsidR="00464943" w:rsidRDefault="00000000">
      <w:pPr>
        <w:pStyle w:val="TOCManual"/>
      </w:pPr>
      <w:r>
        <w:t>12. Investissement et capacité d'exécution</w:t>
      </w:r>
    </w:p>
    <w:p w14:paraId="365A0890" w14:textId="77777777" w:rsidR="00464943" w:rsidRDefault="00000000">
      <w:pPr>
        <w:pStyle w:val="TOCManual"/>
      </w:pPr>
      <w:r>
        <w:t>13. Risques hors Maastricht</w:t>
      </w:r>
    </w:p>
    <w:p w14:paraId="37074DD6" w14:textId="77777777" w:rsidR="00464943" w:rsidRDefault="00000000">
      <w:pPr>
        <w:pStyle w:val="TOCManual"/>
      </w:pPr>
      <w:r>
        <w:t>14. Gouvernance et consultation</w:t>
      </w:r>
    </w:p>
    <w:p w14:paraId="2E41D632" w14:textId="77777777" w:rsidR="00464943" w:rsidRDefault="00000000">
      <w:pPr>
        <w:pStyle w:val="TOCManual"/>
      </w:pPr>
      <w:r>
        <w:t>15. Cadre de chiffrage</w:t>
      </w:r>
    </w:p>
    <w:p w14:paraId="2EC312A2" w14:textId="77777777" w:rsidR="00464943" w:rsidRDefault="00000000">
      <w:pPr>
        <w:pStyle w:val="TOCManual"/>
      </w:pPr>
      <w:r>
        <w:t>16. Scénarios de crédibilité</w:t>
      </w:r>
    </w:p>
    <w:p w14:paraId="0CAE9BDC" w14:textId="77777777" w:rsidR="00464943" w:rsidRDefault="00000000">
      <w:pPr>
        <w:pStyle w:val="TOCManual"/>
      </w:pPr>
      <w:r>
        <w:t>17. Priorités des cent premiers jours</w:t>
      </w:r>
    </w:p>
    <w:p w14:paraId="219DF395" w14:textId="77777777" w:rsidR="00464943" w:rsidRDefault="00000000">
      <w:pPr>
        <w:pStyle w:val="TOCManual"/>
      </w:pPr>
      <w:r>
        <w:t>18. Questions aux négociateurs</w:t>
      </w:r>
    </w:p>
    <w:p w14:paraId="4396587F" w14:textId="77777777" w:rsidR="00464943" w:rsidRDefault="00000000">
      <w:pPr>
        <w:pStyle w:val="TOCManual"/>
      </w:pPr>
      <w:r>
        <w:t>Conclusion, sources et limites</w:t>
      </w:r>
    </w:p>
    <w:p w14:paraId="79CDD0E8" w14:textId="77777777" w:rsidR="00464943" w:rsidRDefault="00000000">
      <w:r>
        <w:br w:type="page"/>
      </w:r>
    </w:p>
    <w:p w14:paraId="67D44D23" w14:textId="77777777" w:rsidR="00464943" w:rsidRDefault="00000000">
      <w:pPr>
        <w:pStyle w:val="Titre1"/>
        <w:spacing w:before="0"/>
      </w:pPr>
      <w:r>
        <w:lastRenderedPageBreak/>
        <w:t>Réponse directe</w:t>
      </w:r>
    </w:p>
    <w:p w14:paraId="56A03777" w14:textId="77777777" w:rsidR="00464943" w:rsidRDefault="00000000">
      <w:pPr>
        <w:pBdr>
          <w:left w:val="single" w:sz="18" w:space="8" w:color="2E74B5"/>
        </w:pBdr>
        <w:shd w:val="clear" w:color="auto" w:fill="EAF2F8"/>
        <w:spacing w:before="80" w:after="200"/>
        <w:ind w:left="230" w:right="173"/>
      </w:pPr>
      <w:r>
        <w:rPr>
          <w:color w:val="0B2545"/>
        </w:rPr>
        <w:t xml:space="preserve">Les annexes décrivent correctement la gravité de la trajectoire budgétaire et le conflit politique entre économies, recettes et protection du pouvoir d'achat. Leur principal défaut n'est toutefois pas un chiffre manquant : c'est l'absence d'une architecture de décision capable de dire </w:t>
      </w:r>
      <w:r>
        <w:rPr>
          <w:b/>
          <w:color w:val="0B2545"/>
        </w:rPr>
        <w:t>qui supporte l'effort, à quel niveau de pouvoir, à quelle date, avec quel rendement net et sous quelle marge d'erreur</w:t>
      </w:r>
      <w:r>
        <w:rPr>
          <w:color w:val="0B2545"/>
        </w:rPr>
        <w:t>.</w:t>
      </w:r>
    </w:p>
    <w:p w14:paraId="5B7CC4D1" w14:textId="77777777" w:rsidR="00464943" w:rsidRDefault="00000000">
      <w:r>
        <w:t>Le PDF consacré au budget 2027 est la base la plus solide. Il distingue généralement les faits confirmés, les options et les inconnues, rappelle que les montants ne sont pas automatiquement additionnables et documente plusieurs risques d'exécution. Les trois DOCX sont beaucoup plus fragiles : ils se citent parfois mutuellement ou renvoient à des sites dérivés, transforment des simulations en décisions et racontent certains événements de l'automne 2026 comme déjà accomplis. Cette compression du temps fabrique une fausse certitude politique.</w:t>
      </w:r>
    </w:p>
    <w:p w14:paraId="5C97780A" w14:textId="77777777" w:rsidR="00464943" w:rsidRDefault="00000000">
      <w:r>
        <w:t>Douze angles morts doivent être corrigés avant de considérer le dossier comme complet :</w:t>
      </w:r>
    </w:p>
    <w:p w14:paraId="39E509F9" w14:textId="77777777" w:rsidR="00464943" w:rsidRDefault="00000000">
      <w:pPr>
        <w:numPr>
          <w:ilvl w:val="0"/>
          <w:numId w:val="2"/>
        </w:numPr>
      </w:pPr>
      <w:r>
        <w:t>la nouvelle trajectoire OTAN vers 3,5 % du PIB pour la défense de base et jusqu'à 1,5 % pour la sécurité et la résilience d'ici 2035 ;</w:t>
      </w:r>
    </w:p>
    <w:p w14:paraId="22BC7657" w14:textId="77777777" w:rsidR="00464943" w:rsidRDefault="00000000">
      <w:pPr>
        <w:numPr>
          <w:ilvl w:val="0"/>
          <w:numId w:val="2"/>
        </w:numPr>
      </w:pPr>
      <w:r>
        <w:t>l'absence de répartition interfédérale crédible de l'effort ;</w:t>
      </w:r>
    </w:p>
    <w:p w14:paraId="3314BC20" w14:textId="77777777" w:rsidR="00464943" w:rsidRDefault="00000000">
      <w:pPr>
        <w:numPr>
          <w:ilvl w:val="0"/>
          <w:numId w:val="2"/>
        </w:numPr>
      </w:pPr>
      <w:r>
        <w:t>le déplacement du coût du vieillissement vers la santé et les soins de longue durée ;</w:t>
      </w:r>
    </w:p>
    <w:p w14:paraId="3D81ED45" w14:textId="77777777" w:rsidR="00464943" w:rsidRDefault="00000000">
      <w:pPr>
        <w:numPr>
          <w:ilvl w:val="0"/>
          <w:numId w:val="2"/>
        </w:numPr>
      </w:pPr>
      <w:r>
        <w:t>le caractère conditionnel des économies issues des spending reviews et leur lien au plan de relance européen ;</w:t>
      </w:r>
    </w:p>
    <w:p w14:paraId="3C783B25" w14:textId="77777777" w:rsidR="00464943" w:rsidRDefault="00000000">
      <w:pPr>
        <w:numPr>
          <w:ilvl w:val="0"/>
          <w:numId w:val="2"/>
        </w:numPr>
      </w:pPr>
      <w:r>
        <w:t>les effets sur la pauvreté, les inégalités, le genre et les familles monoparentales ;</w:t>
      </w:r>
    </w:p>
    <w:p w14:paraId="6B81D46E" w14:textId="77777777" w:rsidR="00464943" w:rsidRDefault="00000000">
      <w:pPr>
        <w:numPr>
          <w:ilvl w:val="0"/>
          <w:numId w:val="2"/>
        </w:numPr>
      </w:pPr>
      <w:r>
        <w:t>les contraintes réelles qui limitent le rendement de l'activation des chômeurs et malades de longue durée ;</w:t>
      </w:r>
    </w:p>
    <w:p w14:paraId="6EBF5F91" w14:textId="77777777" w:rsidR="00464943" w:rsidRDefault="00000000">
      <w:pPr>
        <w:numPr>
          <w:ilvl w:val="0"/>
          <w:numId w:val="2"/>
        </w:numPr>
      </w:pPr>
      <w:r>
        <w:t>le besoin annuel de refinancement et la transmission graduelle des taux à la charge d'intérêts ;</w:t>
      </w:r>
    </w:p>
    <w:p w14:paraId="3EC23530" w14:textId="77777777" w:rsidR="00464943" w:rsidRDefault="00000000">
      <w:pPr>
        <w:numPr>
          <w:ilvl w:val="0"/>
          <w:numId w:val="2"/>
        </w:numPr>
      </w:pPr>
      <w:r>
        <w:t>la qualité insuffisante de l'inventaire et de l'évaluation des dépenses fiscales ;</w:t>
      </w:r>
    </w:p>
    <w:p w14:paraId="3B7F417D" w14:textId="77777777" w:rsidR="00464943" w:rsidRDefault="00000000">
      <w:pPr>
        <w:numPr>
          <w:ilvl w:val="0"/>
          <w:numId w:val="2"/>
        </w:numPr>
      </w:pPr>
      <w:r>
        <w:t>le lien entre subventions fossiles, recettes, compétitivité et transition juste ;</w:t>
      </w:r>
    </w:p>
    <w:p w14:paraId="1C002417" w14:textId="77777777" w:rsidR="00464943" w:rsidRDefault="00000000">
      <w:pPr>
        <w:numPr>
          <w:ilvl w:val="0"/>
          <w:numId w:val="2"/>
        </w:numPr>
      </w:pPr>
      <w:r>
        <w:t>la protection de l'investissement, de la productivité et de la capacité administrative ;</w:t>
      </w:r>
    </w:p>
    <w:p w14:paraId="4C754B5D" w14:textId="77777777" w:rsidR="00464943" w:rsidRDefault="00000000">
      <w:pPr>
        <w:numPr>
          <w:ilvl w:val="0"/>
          <w:numId w:val="2"/>
        </w:numPr>
      </w:pPr>
      <w:r>
        <w:t>les garanties et autres risques hors dette de Maastricht ;</w:t>
      </w:r>
    </w:p>
    <w:p w14:paraId="4AD913CA" w14:textId="77777777" w:rsidR="00464943" w:rsidRDefault="00000000">
      <w:pPr>
        <w:numPr>
          <w:ilvl w:val="0"/>
          <w:numId w:val="2"/>
        </w:numPr>
      </w:pPr>
      <w:r>
        <w:t>la gouvernance démocratique et le suivi de l'exécution.</w:t>
      </w:r>
    </w:p>
    <w:p w14:paraId="04D90088" w14:textId="77777777" w:rsidR="00464943" w:rsidRDefault="00000000">
      <w:r>
        <w:t xml:space="preserve">La conséquence opérationnelle est simple : </w:t>
      </w:r>
      <w:r>
        <w:rPr>
          <w:b/>
        </w:rPr>
        <w:t>un accord de 10 milliards d'euros ne sera crédible que si chaque mesure dispose d'une fiche standardisée, d'un chiffrage bas-central-haut, d'une attribution institutionnelle, d'un calendrier d'entrée en vigueur et d'un test distributif, juridique, climatique et d'exécution</w:t>
      </w:r>
      <w:r>
        <w:t>. Sans cela, le total politique restera supérieur au rendement budgétaire effectivement observable.</w:t>
      </w:r>
    </w:p>
    <w:p w14:paraId="13F61436" w14:textId="77777777" w:rsidR="00464943" w:rsidRDefault="00000000">
      <w:pPr>
        <w:pStyle w:val="Titre1"/>
      </w:pPr>
      <w:r>
        <w:lastRenderedPageBreak/>
        <w:t>1. Ce que les annexes établissent déjà correctement</w:t>
      </w:r>
    </w:p>
    <w:p w14:paraId="627214F0" w14:textId="77777777" w:rsidR="00464943" w:rsidRDefault="00000000">
      <w:pPr>
        <w:pStyle w:val="Titre2"/>
      </w:pPr>
      <w:r>
        <w:t>1.1 Une trajectoire qui se dégrade sans mesures nouvelles</w:t>
      </w:r>
    </w:p>
    <w:p w14:paraId="4D9A134D" w14:textId="77777777" w:rsidR="00464943" w:rsidRDefault="00000000">
      <w:r>
        <w:t>L'actualisation du Comité de monitoring du 6 juillet 2026 évalue le déficit de l'Entité I à 25,7 milliards d'euros en 2026, soit 3,9 % du PIB, puis à 30,3 milliards en 2027, soit 4,4 %. Pour l'ensemble des administrations publiques, le déficit atteindrait 35,4 milliards ou 5,1 % du PIB en 2027 et 48,5 milliards ou 6,2 % en 2031. La dette publique passerait de 110,7 % du PIB en 2026 à 112,7 % en 2027 et 122,6 % en 2031 à politique inchangée. [S1]</w:t>
      </w:r>
    </w:p>
    <w:p w14:paraId="2AE36231" w14:textId="77777777" w:rsidR="00464943" w:rsidRDefault="00000000">
      <w:r>
        <w:t>Ces chiffres constituent un scénario de référence, non une prévision de l'accord final. Ils intègrent les règles connues et les décisions suffisamment spécifiées à la date du calcul ; ils n'intègrent pas des économies politiques non encore réparties ou insuffisamment documentées. Cette distinction est essentielle : l'écart entre le scénario sans nouvelles mesures et la cible n'est pas la preuve qu'un montant identique peut être obtenu par une simple addition de propositions.</w:t>
      </w:r>
    </w:p>
    <w:p w14:paraId="703AB6E2" w14:textId="77777777" w:rsidR="00464943" w:rsidRDefault="00000000">
      <w:pPr>
        <w:pStyle w:val="Titre2"/>
      </w:pPr>
      <w:r>
        <w:t>1.2 Deux métriques qu'il ne faut pas confondre</w:t>
      </w:r>
    </w:p>
    <w:p w14:paraId="1786E813" w14:textId="77777777" w:rsidR="00464943" w:rsidRDefault="00000000">
      <w:r>
        <w:t>Les annexes mettent en regard une cible politique d'environ 10 milliards d'euros d'effort complémentaire d'ici 2029 et un écart cumulé d'environ 7,7 milliards sur la trajectoire de dépenses nettes européenne. Le rapprochement est utile, mais les objets sont différents :</w:t>
      </w:r>
    </w:p>
    <w:p w14:paraId="2D81F101" w14:textId="77777777" w:rsidR="00464943" w:rsidRDefault="00000000">
      <w:pPr>
        <w:numPr>
          <w:ilvl w:val="0"/>
          <w:numId w:val="1"/>
        </w:numPr>
      </w:pPr>
      <w:r>
        <w:t>la cible de 10 milliards est une enveloppe politique pluriannuelle dont la composition, le profil et la référence peuvent évoluer ;</w:t>
      </w:r>
    </w:p>
    <w:p w14:paraId="6D076D81" w14:textId="77777777" w:rsidR="00464943" w:rsidRDefault="00000000">
      <w:pPr>
        <w:numPr>
          <w:ilvl w:val="0"/>
          <w:numId w:val="1"/>
        </w:numPr>
      </w:pPr>
      <w:r>
        <w:t>la trajectoire européenne porte sur la croissance des dépenses nettes selon une définition réglementaire spécifique ;</w:t>
      </w:r>
    </w:p>
    <w:p w14:paraId="5100EC44" w14:textId="77777777" w:rsidR="00464943" w:rsidRDefault="00000000">
      <w:pPr>
        <w:numPr>
          <w:ilvl w:val="0"/>
          <w:numId w:val="1"/>
        </w:numPr>
      </w:pPr>
      <w:r>
        <w:t>une mesure peut améliorer le solde national sans améliorer la métrique européenne du même montant, et inversement ;</w:t>
      </w:r>
    </w:p>
    <w:p w14:paraId="2B74D707" w14:textId="77777777" w:rsidR="00464943" w:rsidRDefault="00000000">
      <w:pPr>
        <w:numPr>
          <w:ilvl w:val="0"/>
          <w:numId w:val="1"/>
        </w:numPr>
      </w:pPr>
      <w:r>
        <w:t>un rendement affiché en 2029 n'est pas nécessairement une économie cumulée sur 2027-2029 ;</w:t>
      </w:r>
    </w:p>
    <w:p w14:paraId="3C69F7B7" w14:textId="77777777" w:rsidR="00464943" w:rsidRDefault="00000000">
      <w:pPr>
        <w:numPr>
          <w:ilvl w:val="0"/>
          <w:numId w:val="1"/>
        </w:numPr>
      </w:pPr>
      <w:r>
        <w:t>une mesure déjà incluse dans le scénario de base ne peut être comptée une seconde fois.</w:t>
      </w:r>
    </w:p>
    <w:p w14:paraId="48510EF5" w14:textId="77777777" w:rsidR="00464943" w:rsidRDefault="00000000">
      <w:r>
        <w:t>Le plan budgétaire et structurel belge fixe des plafonds de croissance des dépenses nettes de 3,6 %, 2,5 %, 2,5 %, 2,1 % et 2,1 % pour 2025 à 2029. La Commission n'intègre dans ses projections que les mesures annoncées de façon crédible et suffisamment spécifiées. [S4] [S5] [S6]</w:t>
      </w:r>
    </w:p>
    <w:p w14:paraId="68B7A0EC" w14:textId="77777777" w:rsidR="00464943" w:rsidRDefault="00000000">
      <w:pPr>
        <w:pStyle w:val="Titre2"/>
      </w:pPr>
      <w:r>
        <w:t>1.3 Le bon réflexe du PDF : qualifier l'information</w:t>
      </w:r>
    </w:p>
    <w:p w14:paraId="67A5685B" w14:textId="77777777" w:rsidR="00464943" w:rsidRDefault="00000000">
      <w:r>
        <w:t>Le rapport PDF fait un travail utile en séparant les éléments confirmés, les orientations probables et les inconnues. Il rappelle aussi que la sous-utilisation des crédits, les recettes provenant d'actifs russes, les compensations aux CPAS ou les options du Bureau fédéral du Plan ne sont ni parfaitement récurrentes ni automatiquement additionnables. C'est le socle méthodologique à conserver.</w:t>
      </w:r>
    </w:p>
    <w:p w14:paraId="4FA1571B" w14:textId="77777777" w:rsidR="00464943" w:rsidRDefault="00000000">
      <w:r>
        <w:lastRenderedPageBreak/>
        <w:t>La suite de ce rapport ne remplace donc pas les annexes. Elle complète leurs points faibles et propose les contrôles qui manquent pour transformer un inventaire d'idées en programme budgétaire exécutable.</w:t>
      </w:r>
    </w:p>
    <w:p w14:paraId="7B977DCC" w14:textId="77777777" w:rsidR="00464943" w:rsidRDefault="00000000">
      <w:pPr>
        <w:pStyle w:val="Titre1"/>
      </w:pPr>
      <w:r>
        <w:t>2. Diagnostic de qualité probatoire</w:t>
      </w:r>
    </w:p>
    <w:p w14:paraId="7DC1F6E3" w14:textId="77777777" w:rsidR="00464943" w:rsidRDefault="00000000">
      <w:pPr>
        <w:pStyle w:val="Titre2"/>
      </w:pPr>
      <w:r>
        <w:t>2.1 Une asymétrie nette entre les quatre documents</w:t>
      </w:r>
    </w:p>
    <w:p w14:paraId="1529655E" w14:textId="77777777" w:rsidR="00464943" w:rsidRDefault="00000000">
      <w:r>
        <w:t>Le PDF est prudent, daté et orienté vers la vérification. Les trois DOCX utilisent un ton conclusif, même lorsque la source n'établit qu'une proposition, une simulation ou une position partisane. Ils contiennent aussi des références circulaires : un document renvoie à un autre document de la même série ou à des sites qui en reprennent la matière. Une telle référence peut aider à naviguer, mais elle ne constitue pas une confirmation indépendante.</w:t>
      </w:r>
    </w:p>
    <w:p w14:paraId="70228736" w14:textId="77777777" w:rsidR="00464943" w:rsidRDefault="00000000">
      <w:r>
        <w:t>La principale erreur est temporelle. Au 31 août 2026, il est impossible de présenter comme accomplis des grèves ayant eu lieu « tout au long de l'automne 2026 », un rapport de septembre 2026 ou l'arbitrage définitif du conclave. Ce ne sont pas de simples maladresses de style : elles empêchent le lecteur de savoir si une mesure est déjà en vigueur, décidée antérieurement, discutée pour 2027 ou purement illustrative.</w:t>
      </w:r>
    </w:p>
    <w:p w14:paraId="77AA0811" w14:textId="77777777" w:rsidR="00464943" w:rsidRDefault="00000000">
      <w:pPr>
        <w:pStyle w:val="Titre2"/>
      </w:pPr>
      <w:r>
        <w:t>2.2 Les cinq statuts à imposer</w:t>
      </w:r>
    </w:p>
    <w:p w14:paraId="51047248" w14:textId="77777777" w:rsidR="00464943" w:rsidRDefault="00000000">
      <w:r>
        <w:t>Chaque affirmation budgétaire devrait recevoir l'un des statuts suivants :</w:t>
      </w:r>
    </w:p>
    <w:p w14:paraId="32A1029B" w14:textId="77777777" w:rsidR="00464943" w:rsidRDefault="00000000">
      <w:pPr>
        <w:numPr>
          <w:ilvl w:val="0"/>
          <w:numId w:val="3"/>
        </w:numPr>
      </w:pPr>
      <w:r>
        <w:rPr>
          <w:b/>
        </w:rPr>
        <w:t>En vigueur dans la base</w:t>
      </w:r>
      <w:r>
        <w:t xml:space="preserve"> : droit existant ou décision déjà intégrée aux estimations.</w:t>
      </w:r>
    </w:p>
    <w:p w14:paraId="65EDD4F7" w14:textId="77777777" w:rsidR="00464943" w:rsidRDefault="00000000">
      <w:pPr>
        <w:numPr>
          <w:ilvl w:val="0"/>
          <w:numId w:val="3"/>
        </w:numPr>
      </w:pPr>
      <w:r>
        <w:rPr>
          <w:b/>
        </w:rPr>
        <w:t>Décidé mais non totalement exécuté</w:t>
      </w:r>
      <w:r>
        <w:t xml:space="preserve"> : base légale ou accord existe, mais rendement encore incertain.</w:t>
      </w:r>
    </w:p>
    <w:p w14:paraId="700FEDB5" w14:textId="77777777" w:rsidR="00464943" w:rsidRDefault="00000000">
      <w:pPr>
        <w:numPr>
          <w:ilvl w:val="0"/>
          <w:numId w:val="3"/>
        </w:numPr>
      </w:pPr>
      <w:r>
        <w:rPr>
          <w:b/>
        </w:rPr>
        <w:t>Engagement politique</w:t>
      </w:r>
      <w:r>
        <w:t xml:space="preserve"> : objectif annoncé sans ventilation suffisante.</w:t>
      </w:r>
    </w:p>
    <w:p w14:paraId="2E1F1AC3" w14:textId="77777777" w:rsidR="00464943" w:rsidRDefault="00000000">
      <w:pPr>
        <w:numPr>
          <w:ilvl w:val="0"/>
          <w:numId w:val="3"/>
        </w:numPr>
      </w:pPr>
      <w:r>
        <w:rPr>
          <w:b/>
        </w:rPr>
        <w:t>Option chiffrée</w:t>
      </w:r>
      <w:r>
        <w:t xml:space="preserve"> : simulation technique ou proposition d'une administration, d'un parti ou d'un acteur externe.</w:t>
      </w:r>
    </w:p>
    <w:p w14:paraId="7A5274CA" w14:textId="77777777" w:rsidR="00464943" w:rsidRDefault="00000000">
      <w:pPr>
        <w:numPr>
          <w:ilvl w:val="0"/>
          <w:numId w:val="3"/>
        </w:numPr>
      </w:pPr>
      <w:r>
        <w:rPr>
          <w:b/>
        </w:rPr>
        <w:t>Non vérifié / anachronique</w:t>
      </w:r>
      <w:r>
        <w:t xml:space="preserve"> : source primaire absente, circularité ou événement postérieur à la date d'arrêté.</w:t>
      </w:r>
    </w:p>
    <w:p w14:paraId="4857744D" w14:textId="77777777" w:rsidR="00464943" w:rsidRDefault="00000000">
      <w:r>
        <w:t>Sans ces statuts, une option de 4,7 milliards peut être lue comme une recette acquise, une hausse fiscale déjà décidée peut être recomptée comme nouvel effort et un objectif de 2029 peut être présenté comme un effet 2027.</w:t>
      </w:r>
    </w:p>
    <w:p w14:paraId="5E157ED2" w14:textId="77777777" w:rsidR="00464943" w:rsidRDefault="00000000">
      <w:pPr>
        <w:pStyle w:val="Titre2"/>
      </w:pPr>
      <w:r>
        <w:t>2.3 Exemples à requalifier</w:t>
      </w:r>
    </w:p>
    <w:tbl>
      <w:tblPr>
        <w:tblStyle w:val="Grilledutableau"/>
        <w:tblW w:w="9360" w:type="dxa"/>
        <w:tblInd w:w="120" w:type="dxa"/>
        <w:tblLayout w:type="fixed"/>
        <w:tblLook w:val="04A0" w:firstRow="1" w:lastRow="0" w:firstColumn="1" w:lastColumn="0" w:noHBand="0" w:noVBand="1"/>
      </w:tblPr>
      <w:tblGrid>
        <w:gridCol w:w="2700"/>
        <w:gridCol w:w="3100"/>
        <w:gridCol w:w="3560"/>
      </w:tblGrid>
      <w:tr w:rsidR="00464943" w14:paraId="602ACB1A" w14:textId="77777777">
        <w:trPr>
          <w:tblHeader/>
        </w:trPr>
        <w:tc>
          <w:tcPr>
            <w:tcW w:w="2700" w:type="dxa"/>
            <w:shd w:val="clear" w:color="auto" w:fill="F2F4F7"/>
            <w:tcMar>
              <w:top w:w="80" w:type="dxa"/>
              <w:left w:w="120" w:type="dxa"/>
              <w:bottom w:w="80" w:type="dxa"/>
              <w:right w:w="120" w:type="dxa"/>
            </w:tcMar>
            <w:vAlign w:val="center"/>
          </w:tcPr>
          <w:p w14:paraId="79AF17C0" w14:textId="77777777" w:rsidR="00464943" w:rsidRDefault="00000000">
            <w:pPr>
              <w:spacing w:after="0" w:line="240" w:lineRule="auto"/>
            </w:pPr>
            <w:r>
              <w:rPr>
                <w:b/>
                <w:color w:val="0B2545"/>
                <w:sz w:val="18"/>
              </w:rPr>
              <w:t>Affirmation rencontrée dans les annexes</w:t>
            </w:r>
          </w:p>
        </w:tc>
        <w:tc>
          <w:tcPr>
            <w:tcW w:w="3100" w:type="dxa"/>
            <w:shd w:val="clear" w:color="auto" w:fill="F2F4F7"/>
            <w:tcMar>
              <w:top w:w="80" w:type="dxa"/>
              <w:left w:w="120" w:type="dxa"/>
              <w:bottom w:w="80" w:type="dxa"/>
              <w:right w:w="120" w:type="dxa"/>
            </w:tcMar>
            <w:vAlign w:val="center"/>
          </w:tcPr>
          <w:p w14:paraId="4D2F1C4E" w14:textId="77777777" w:rsidR="00464943" w:rsidRDefault="00000000">
            <w:pPr>
              <w:spacing w:after="0" w:line="240" w:lineRule="auto"/>
            </w:pPr>
            <w:r>
              <w:rPr>
                <w:b/>
                <w:color w:val="0B2545"/>
                <w:sz w:val="18"/>
              </w:rPr>
              <w:t>Qualification correcte au 31 août 2026</w:t>
            </w:r>
          </w:p>
        </w:tc>
        <w:tc>
          <w:tcPr>
            <w:tcW w:w="3560" w:type="dxa"/>
            <w:shd w:val="clear" w:color="auto" w:fill="F2F4F7"/>
            <w:tcMar>
              <w:top w:w="80" w:type="dxa"/>
              <w:left w:w="120" w:type="dxa"/>
              <w:bottom w:w="80" w:type="dxa"/>
              <w:right w:w="120" w:type="dxa"/>
            </w:tcMar>
            <w:vAlign w:val="center"/>
          </w:tcPr>
          <w:p w14:paraId="235DCA68" w14:textId="77777777" w:rsidR="00464943" w:rsidRDefault="00000000">
            <w:pPr>
              <w:spacing w:after="0" w:line="240" w:lineRule="auto"/>
            </w:pPr>
            <w:r>
              <w:rPr>
                <w:b/>
                <w:color w:val="0B2545"/>
                <w:sz w:val="18"/>
              </w:rPr>
              <w:t>Risque si elle est laissée telle quelle</w:t>
            </w:r>
          </w:p>
        </w:tc>
      </w:tr>
      <w:tr w:rsidR="00464943" w14:paraId="0857397C" w14:textId="77777777">
        <w:tc>
          <w:tcPr>
            <w:tcW w:w="2700" w:type="dxa"/>
            <w:tcMar>
              <w:top w:w="80" w:type="dxa"/>
              <w:left w:w="120" w:type="dxa"/>
              <w:bottom w:w="80" w:type="dxa"/>
              <w:right w:w="120" w:type="dxa"/>
            </w:tcMar>
            <w:vAlign w:val="center"/>
          </w:tcPr>
          <w:p w14:paraId="64BE7DAF" w14:textId="77777777" w:rsidR="00464943" w:rsidRDefault="00000000">
            <w:pPr>
              <w:spacing w:after="0" w:line="240" w:lineRule="auto"/>
            </w:pPr>
            <w:r>
              <w:rPr>
                <w:color w:val="202124"/>
                <w:sz w:val="17"/>
              </w:rPr>
              <w:t>« 10 milliards d'économies ont été décidés »</w:t>
            </w:r>
          </w:p>
        </w:tc>
        <w:tc>
          <w:tcPr>
            <w:tcW w:w="3100" w:type="dxa"/>
            <w:tcMar>
              <w:top w:w="80" w:type="dxa"/>
              <w:left w:w="120" w:type="dxa"/>
              <w:bottom w:w="80" w:type="dxa"/>
              <w:right w:w="120" w:type="dxa"/>
            </w:tcMar>
            <w:vAlign w:val="center"/>
          </w:tcPr>
          <w:p w14:paraId="7AE88939" w14:textId="77777777" w:rsidR="00464943" w:rsidRDefault="00000000">
            <w:pPr>
              <w:spacing w:after="0" w:line="240" w:lineRule="auto"/>
            </w:pPr>
            <w:r>
              <w:rPr>
                <w:color w:val="202124"/>
                <w:sz w:val="17"/>
              </w:rPr>
              <w:t>Cible politique complémentaire ; ventilation et mesures finales non arrêtées</w:t>
            </w:r>
          </w:p>
        </w:tc>
        <w:tc>
          <w:tcPr>
            <w:tcW w:w="3560" w:type="dxa"/>
            <w:tcMar>
              <w:top w:w="80" w:type="dxa"/>
              <w:left w:w="120" w:type="dxa"/>
              <w:bottom w:w="80" w:type="dxa"/>
              <w:right w:w="120" w:type="dxa"/>
            </w:tcMar>
            <w:vAlign w:val="center"/>
          </w:tcPr>
          <w:p w14:paraId="45E54A11" w14:textId="77777777" w:rsidR="00464943" w:rsidRDefault="00000000">
            <w:pPr>
              <w:spacing w:after="0" w:line="240" w:lineRule="auto"/>
            </w:pPr>
            <w:r>
              <w:rPr>
                <w:color w:val="202124"/>
                <w:sz w:val="17"/>
              </w:rPr>
              <w:t>Addition de montants incompatibles et fausse certitude sur le rendement</w:t>
            </w:r>
          </w:p>
        </w:tc>
      </w:tr>
      <w:tr w:rsidR="00464943" w14:paraId="6A2C8060" w14:textId="77777777">
        <w:tc>
          <w:tcPr>
            <w:tcW w:w="2700" w:type="dxa"/>
            <w:tcMar>
              <w:top w:w="80" w:type="dxa"/>
              <w:left w:w="120" w:type="dxa"/>
              <w:bottom w:w="80" w:type="dxa"/>
              <w:right w:w="120" w:type="dxa"/>
            </w:tcMar>
            <w:vAlign w:val="center"/>
          </w:tcPr>
          <w:p w14:paraId="1544EC38" w14:textId="77777777" w:rsidR="00464943" w:rsidRDefault="00000000">
            <w:pPr>
              <w:spacing w:after="0" w:line="240" w:lineRule="auto"/>
            </w:pPr>
            <w:r>
              <w:rPr>
                <w:color w:val="202124"/>
                <w:sz w:val="17"/>
              </w:rPr>
              <w:lastRenderedPageBreak/>
              <w:t>Franchise annuelle de 500 euros en santé</w:t>
            </w:r>
          </w:p>
        </w:tc>
        <w:tc>
          <w:tcPr>
            <w:tcW w:w="3100" w:type="dxa"/>
            <w:tcMar>
              <w:top w:w="80" w:type="dxa"/>
              <w:left w:w="120" w:type="dxa"/>
              <w:bottom w:w="80" w:type="dxa"/>
              <w:right w:w="120" w:type="dxa"/>
            </w:tcMar>
            <w:vAlign w:val="center"/>
          </w:tcPr>
          <w:p w14:paraId="1026CD3B" w14:textId="77777777" w:rsidR="00464943" w:rsidRDefault="00000000">
            <w:pPr>
              <w:spacing w:after="0" w:line="240" w:lineRule="auto"/>
            </w:pPr>
            <w:r>
              <w:rPr>
                <w:color w:val="202124"/>
                <w:sz w:val="17"/>
              </w:rPr>
              <w:t>Scénario de simulation, non décision gouvernementale confirmée</w:t>
            </w:r>
          </w:p>
        </w:tc>
        <w:tc>
          <w:tcPr>
            <w:tcW w:w="3560" w:type="dxa"/>
            <w:tcMar>
              <w:top w:w="80" w:type="dxa"/>
              <w:left w:w="120" w:type="dxa"/>
              <w:bottom w:w="80" w:type="dxa"/>
              <w:right w:w="120" w:type="dxa"/>
            </w:tcMar>
            <w:vAlign w:val="center"/>
          </w:tcPr>
          <w:p w14:paraId="3B9BFC58" w14:textId="77777777" w:rsidR="00464943" w:rsidRDefault="00000000">
            <w:pPr>
              <w:spacing w:after="0" w:line="240" w:lineRule="auto"/>
            </w:pPr>
            <w:r>
              <w:rPr>
                <w:color w:val="202124"/>
                <w:sz w:val="17"/>
              </w:rPr>
              <w:t>Confusion entre rendement brut théorique, ticket modérateur et économie nette</w:t>
            </w:r>
          </w:p>
        </w:tc>
      </w:tr>
      <w:tr w:rsidR="00464943" w14:paraId="60B04A29" w14:textId="77777777">
        <w:tc>
          <w:tcPr>
            <w:tcW w:w="2700" w:type="dxa"/>
            <w:tcMar>
              <w:top w:w="80" w:type="dxa"/>
              <w:left w:w="120" w:type="dxa"/>
              <w:bottom w:w="80" w:type="dxa"/>
              <w:right w:w="120" w:type="dxa"/>
            </w:tcMar>
            <w:vAlign w:val="center"/>
          </w:tcPr>
          <w:p w14:paraId="4845DCDC" w14:textId="77777777" w:rsidR="00464943" w:rsidRDefault="00000000">
            <w:pPr>
              <w:spacing w:after="0" w:line="240" w:lineRule="auto"/>
            </w:pPr>
            <w:r>
              <w:rPr>
                <w:color w:val="202124"/>
                <w:sz w:val="17"/>
              </w:rPr>
              <w:t>Grèves « tout au long de l'automne 2026 »</w:t>
            </w:r>
          </w:p>
        </w:tc>
        <w:tc>
          <w:tcPr>
            <w:tcW w:w="3100" w:type="dxa"/>
            <w:tcMar>
              <w:top w:w="80" w:type="dxa"/>
              <w:left w:w="120" w:type="dxa"/>
              <w:bottom w:w="80" w:type="dxa"/>
              <w:right w:w="120" w:type="dxa"/>
            </w:tcMar>
            <w:vAlign w:val="center"/>
          </w:tcPr>
          <w:p w14:paraId="3B36B2AC" w14:textId="77777777" w:rsidR="00464943" w:rsidRDefault="00000000">
            <w:pPr>
              <w:spacing w:after="0" w:line="240" w:lineRule="auto"/>
            </w:pPr>
            <w:r>
              <w:rPr>
                <w:color w:val="202124"/>
                <w:sz w:val="17"/>
              </w:rPr>
              <w:t>Événement futur à la date d'arrêté</w:t>
            </w:r>
          </w:p>
        </w:tc>
        <w:tc>
          <w:tcPr>
            <w:tcW w:w="3560" w:type="dxa"/>
            <w:tcMar>
              <w:top w:w="80" w:type="dxa"/>
              <w:left w:w="120" w:type="dxa"/>
              <w:bottom w:w="80" w:type="dxa"/>
              <w:right w:w="120" w:type="dxa"/>
            </w:tcMar>
            <w:vAlign w:val="center"/>
          </w:tcPr>
          <w:p w14:paraId="3C7146A7" w14:textId="77777777" w:rsidR="00464943" w:rsidRDefault="00000000">
            <w:pPr>
              <w:spacing w:after="0" w:line="240" w:lineRule="auto"/>
            </w:pPr>
            <w:r>
              <w:rPr>
                <w:color w:val="202124"/>
                <w:sz w:val="17"/>
              </w:rPr>
              <w:t>Construction rétrospective fictive</w:t>
            </w:r>
          </w:p>
        </w:tc>
      </w:tr>
      <w:tr w:rsidR="00464943" w14:paraId="40A9E96E" w14:textId="77777777">
        <w:tc>
          <w:tcPr>
            <w:tcW w:w="2700" w:type="dxa"/>
            <w:tcMar>
              <w:top w:w="80" w:type="dxa"/>
              <w:left w:w="120" w:type="dxa"/>
              <w:bottom w:w="80" w:type="dxa"/>
              <w:right w:w="120" w:type="dxa"/>
            </w:tcMar>
            <w:vAlign w:val="center"/>
          </w:tcPr>
          <w:p w14:paraId="6619EA66" w14:textId="77777777" w:rsidR="00464943" w:rsidRDefault="00000000">
            <w:pPr>
              <w:spacing w:after="0" w:line="240" w:lineRule="auto"/>
            </w:pPr>
            <w:r>
              <w:rPr>
                <w:color w:val="202124"/>
                <w:sz w:val="17"/>
              </w:rPr>
              <w:t>Rapport BOSA de septembre 2026</w:t>
            </w:r>
          </w:p>
        </w:tc>
        <w:tc>
          <w:tcPr>
            <w:tcW w:w="3100" w:type="dxa"/>
            <w:tcMar>
              <w:top w:w="80" w:type="dxa"/>
              <w:left w:w="120" w:type="dxa"/>
              <w:bottom w:w="80" w:type="dxa"/>
              <w:right w:w="120" w:type="dxa"/>
            </w:tcMar>
            <w:vAlign w:val="center"/>
          </w:tcPr>
          <w:p w14:paraId="0B422D4A" w14:textId="77777777" w:rsidR="00464943" w:rsidRDefault="00000000">
            <w:pPr>
              <w:spacing w:after="0" w:line="240" w:lineRule="auto"/>
            </w:pPr>
            <w:r>
              <w:rPr>
                <w:color w:val="202124"/>
                <w:sz w:val="17"/>
              </w:rPr>
              <w:t>Source future ou date erronée</w:t>
            </w:r>
          </w:p>
        </w:tc>
        <w:tc>
          <w:tcPr>
            <w:tcW w:w="3560" w:type="dxa"/>
            <w:tcMar>
              <w:top w:w="80" w:type="dxa"/>
              <w:left w:w="120" w:type="dxa"/>
              <w:bottom w:w="80" w:type="dxa"/>
              <w:right w:w="120" w:type="dxa"/>
            </w:tcMar>
            <w:vAlign w:val="center"/>
          </w:tcPr>
          <w:p w14:paraId="04D02862" w14:textId="77777777" w:rsidR="00464943" w:rsidRDefault="00000000">
            <w:pPr>
              <w:spacing w:after="0" w:line="240" w:lineRule="auto"/>
            </w:pPr>
            <w:r>
              <w:rPr>
                <w:color w:val="202124"/>
                <w:sz w:val="17"/>
              </w:rPr>
              <w:t>Impossibilité de reproduire la preuve</w:t>
            </w:r>
          </w:p>
        </w:tc>
      </w:tr>
      <w:tr w:rsidR="00464943" w14:paraId="034FC3E9" w14:textId="77777777">
        <w:tc>
          <w:tcPr>
            <w:tcW w:w="2700" w:type="dxa"/>
            <w:tcMar>
              <w:top w:w="80" w:type="dxa"/>
              <w:left w:w="120" w:type="dxa"/>
              <w:bottom w:w="80" w:type="dxa"/>
              <w:right w:w="120" w:type="dxa"/>
            </w:tcMar>
            <w:vAlign w:val="center"/>
          </w:tcPr>
          <w:p w14:paraId="516CF2C8" w14:textId="77777777" w:rsidR="00464943" w:rsidRDefault="00000000">
            <w:pPr>
              <w:spacing w:after="0" w:line="240" w:lineRule="auto"/>
            </w:pPr>
            <w:r>
              <w:rPr>
                <w:color w:val="202124"/>
                <w:sz w:val="17"/>
              </w:rPr>
              <w:t>2 % du PIB comme cible OTAN finale</w:t>
            </w:r>
          </w:p>
        </w:tc>
        <w:tc>
          <w:tcPr>
            <w:tcW w:w="3100" w:type="dxa"/>
            <w:tcMar>
              <w:top w:w="80" w:type="dxa"/>
              <w:left w:w="120" w:type="dxa"/>
              <w:bottom w:w="80" w:type="dxa"/>
              <w:right w:w="120" w:type="dxa"/>
            </w:tcMar>
            <w:vAlign w:val="center"/>
          </w:tcPr>
          <w:p w14:paraId="5BAAC9FB" w14:textId="77777777" w:rsidR="00464943" w:rsidRDefault="00000000">
            <w:pPr>
              <w:spacing w:after="0" w:line="240" w:lineRule="auto"/>
            </w:pPr>
            <w:r>
              <w:rPr>
                <w:color w:val="202124"/>
                <w:sz w:val="17"/>
              </w:rPr>
              <w:t>Étape de court terme ; nouvel engagement à 5 % au sens OTAN d'ici 2035</w:t>
            </w:r>
          </w:p>
        </w:tc>
        <w:tc>
          <w:tcPr>
            <w:tcW w:w="3560" w:type="dxa"/>
            <w:tcMar>
              <w:top w:w="80" w:type="dxa"/>
              <w:left w:w="120" w:type="dxa"/>
              <w:bottom w:w="80" w:type="dxa"/>
              <w:right w:w="120" w:type="dxa"/>
            </w:tcMar>
            <w:vAlign w:val="center"/>
          </w:tcPr>
          <w:p w14:paraId="42138E88" w14:textId="77777777" w:rsidR="00464943" w:rsidRDefault="00000000">
            <w:pPr>
              <w:spacing w:after="0" w:line="240" w:lineRule="auto"/>
            </w:pPr>
            <w:r>
              <w:rPr>
                <w:color w:val="202124"/>
                <w:sz w:val="17"/>
              </w:rPr>
              <w:t>Sous-estimation majeure du besoin pluriannuel</w:t>
            </w:r>
          </w:p>
        </w:tc>
      </w:tr>
      <w:tr w:rsidR="00464943" w14:paraId="08AB34C0" w14:textId="77777777">
        <w:tc>
          <w:tcPr>
            <w:tcW w:w="2700" w:type="dxa"/>
            <w:tcMar>
              <w:top w:w="80" w:type="dxa"/>
              <w:left w:w="120" w:type="dxa"/>
              <w:bottom w:w="80" w:type="dxa"/>
              <w:right w:w="120" w:type="dxa"/>
            </w:tcMar>
            <w:vAlign w:val="center"/>
          </w:tcPr>
          <w:p w14:paraId="261B8695" w14:textId="77777777" w:rsidR="00464943" w:rsidRDefault="00000000">
            <w:pPr>
              <w:spacing w:after="0" w:line="240" w:lineRule="auto"/>
            </w:pPr>
            <w:r>
              <w:rPr>
                <w:color w:val="202124"/>
                <w:sz w:val="17"/>
              </w:rPr>
              <w:t>Hausse de la taxe sur les comptes-titres, taxe colis, indexation en centimes</w:t>
            </w:r>
          </w:p>
        </w:tc>
        <w:tc>
          <w:tcPr>
            <w:tcW w:w="3100" w:type="dxa"/>
            <w:tcMar>
              <w:top w:w="80" w:type="dxa"/>
              <w:left w:w="120" w:type="dxa"/>
              <w:bottom w:w="80" w:type="dxa"/>
              <w:right w:w="120" w:type="dxa"/>
            </w:tcMar>
            <w:vAlign w:val="center"/>
          </w:tcPr>
          <w:p w14:paraId="0906B9CF" w14:textId="77777777" w:rsidR="00464943" w:rsidRDefault="00000000">
            <w:pPr>
              <w:spacing w:after="0" w:line="240" w:lineRule="auto"/>
            </w:pPr>
            <w:r>
              <w:rPr>
                <w:color w:val="202124"/>
                <w:sz w:val="17"/>
              </w:rPr>
              <w:t>Vérifier séparément la date de décision, l'entrée en vigueur et la part déjà incluse dans la base</w:t>
            </w:r>
          </w:p>
        </w:tc>
        <w:tc>
          <w:tcPr>
            <w:tcW w:w="3560" w:type="dxa"/>
            <w:tcMar>
              <w:top w:w="80" w:type="dxa"/>
              <w:left w:w="120" w:type="dxa"/>
              <w:bottom w:w="80" w:type="dxa"/>
              <w:right w:w="120" w:type="dxa"/>
            </w:tcMar>
            <w:vAlign w:val="center"/>
          </w:tcPr>
          <w:p w14:paraId="6212DCBD" w14:textId="77777777" w:rsidR="00464943" w:rsidRDefault="00000000">
            <w:pPr>
              <w:spacing w:after="0" w:line="240" w:lineRule="auto"/>
            </w:pPr>
            <w:r>
              <w:rPr>
                <w:color w:val="202124"/>
                <w:sz w:val="17"/>
              </w:rPr>
              <w:t>Double comptage de mesures antérieures</w:t>
            </w:r>
          </w:p>
        </w:tc>
      </w:tr>
      <w:tr w:rsidR="00464943" w14:paraId="1DBBF950" w14:textId="77777777">
        <w:tc>
          <w:tcPr>
            <w:tcW w:w="2700" w:type="dxa"/>
            <w:tcMar>
              <w:top w:w="80" w:type="dxa"/>
              <w:left w:w="120" w:type="dxa"/>
              <w:bottom w:w="80" w:type="dxa"/>
              <w:right w:w="120" w:type="dxa"/>
            </w:tcMar>
            <w:vAlign w:val="center"/>
          </w:tcPr>
          <w:p w14:paraId="2B13676B" w14:textId="77777777" w:rsidR="00464943" w:rsidRDefault="00000000">
            <w:pPr>
              <w:spacing w:after="0" w:line="240" w:lineRule="auto"/>
            </w:pPr>
            <w:r>
              <w:rPr>
                <w:color w:val="202124"/>
                <w:sz w:val="17"/>
              </w:rPr>
              <w:t>377 agents ou 600 millions pour la justice</w:t>
            </w:r>
          </w:p>
        </w:tc>
        <w:tc>
          <w:tcPr>
            <w:tcW w:w="3100" w:type="dxa"/>
            <w:tcMar>
              <w:top w:w="80" w:type="dxa"/>
              <w:left w:w="120" w:type="dxa"/>
              <w:bottom w:w="80" w:type="dxa"/>
              <w:right w:w="120" w:type="dxa"/>
            </w:tcMar>
            <w:vAlign w:val="center"/>
          </w:tcPr>
          <w:p w14:paraId="22733A28" w14:textId="77777777" w:rsidR="00464943" w:rsidRDefault="00000000">
            <w:pPr>
              <w:spacing w:after="0" w:line="240" w:lineRule="auto"/>
            </w:pPr>
            <w:r>
              <w:rPr>
                <w:color w:val="202124"/>
                <w:sz w:val="17"/>
              </w:rPr>
              <w:t>À rattacher à un texte budgétaire, une décision du Conseil des ministres et un calendrier de recrutement</w:t>
            </w:r>
          </w:p>
        </w:tc>
        <w:tc>
          <w:tcPr>
            <w:tcW w:w="3560" w:type="dxa"/>
            <w:tcMar>
              <w:top w:w="80" w:type="dxa"/>
              <w:left w:w="120" w:type="dxa"/>
              <w:bottom w:w="80" w:type="dxa"/>
              <w:right w:w="120" w:type="dxa"/>
            </w:tcMar>
            <w:vAlign w:val="center"/>
          </w:tcPr>
          <w:p w14:paraId="398AD28B" w14:textId="77777777" w:rsidR="00464943" w:rsidRDefault="00000000">
            <w:pPr>
              <w:spacing w:after="0" w:line="240" w:lineRule="auto"/>
            </w:pPr>
            <w:r>
              <w:rPr>
                <w:color w:val="202124"/>
                <w:sz w:val="17"/>
              </w:rPr>
              <w:t>Rendement et capacité administrative non démontrés</w:t>
            </w:r>
          </w:p>
        </w:tc>
      </w:tr>
      <w:tr w:rsidR="00464943" w14:paraId="239F96B5" w14:textId="77777777">
        <w:tc>
          <w:tcPr>
            <w:tcW w:w="2700" w:type="dxa"/>
            <w:tcMar>
              <w:top w:w="80" w:type="dxa"/>
              <w:left w:w="120" w:type="dxa"/>
              <w:bottom w:w="80" w:type="dxa"/>
              <w:right w:w="120" w:type="dxa"/>
            </w:tcMar>
            <w:vAlign w:val="center"/>
          </w:tcPr>
          <w:p w14:paraId="4F582B3B" w14:textId="77777777" w:rsidR="00464943" w:rsidRDefault="00000000">
            <w:pPr>
              <w:spacing w:after="0" w:line="240" w:lineRule="auto"/>
            </w:pPr>
            <w:r>
              <w:rPr>
                <w:color w:val="202124"/>
                <w:sz w:val="17"/>
              </w:rPr>
              <w:t>Mesures FWB/DIES intégrées au récit fédéral</w:t>
            </w:r>
          </w:p>
        </w:tc>
        <w:tc>
          <w:tcPr>
            <w:tcW w:w="3100" w:type="dxa"/>
            <w:tcMar>
              <w:top w:w="80" w:type="dxa"/>
              <w:left w:w="120" w:type="dxa"/>
              <w:bottom w:w="80" w:type="dxa"/>
              <w:right w:w="120" w:type="dxa"/>
            </w:tcMar>
            <w:vAlign w:val="center"/>
          </w:tcPr>
          <w:p w14:paraId="047F66FB" w14:textId="77777777" w:rsidR="00464943" w:rsidRDefault="00000000">
            <w:pPr>
              <w:spacing w:after="0" w:line="240" w:lineRule="auto"/>
            </w:pPr>
            <w:r>
              <w:rPr>
                <w:color w:val="202124"/>
                <w:sz w:val="17"/>
              </w:rPr>
              <w:t>Compétence d'une entité fédérée, à séparer du conclave fédéral</w:t>
            </w:r>
          </w:p>
        </w:tc>
        <w:tc>
          <w:tcPr>
            <w:tcW w:w="3560" w:type="dxa"/>
            <w:tcMar>
              <w:top w:w="80" w:type="dxa"/>
              <w:left w:w="120" w:type="dxa"/>
              <w:bottom w:w="80" w:type="dxa"/>
              <w:right w:w="120" w:type="dxa"/>
            </w:tcMar>
            <w:vAlign w:val="center"/>
          </w:tcPr>
          <w:p w14:paraId="269E57EB" w14:textId="77777777" w:rsidR="00464943" w:rsidRDefault="00000000">
            <w:pPr>
              <w:spacing w:after="0" w:line="240" w:lineRule="auto"/>
            </w:pPr>
            <w:r>
              <w:rPr>
                <w:color w:val="202124"/>
                <w:sz w:val="17"/>
              </w:rPr>
              <w:t>Confusion de périmètre et de responsabilité</w:t>
            </w:r>
          </w:p>
        </w:tc>
      </w:tr>
      <w:tr w:rsidR="00464943" w14:paraId="37682DE2" w14:textId="77777777">
        <w:tc>
          <w:tcPr>
            <w:tcW w:w="2700" w:type="dxa"/>
            <w:tcMar>
              <w:top w:w="80" w:type="dxa"/>
              <w:left w:w="120" w:type="dxa"/>
              <w:bottom w:w="80" w:type="dxa"/>
              <w:right w:w="120" w:type="dxa"/>
            </w:tcMar>
            <w:vAlign w:val="center"/>
          </w:tcPr>
          <w:p w14:paraId="3C656A68" w14:textId="77777777" w:rsidR="00464943" w:rsidRDefault="00000000">
            <w:pPr>
              <w:spacing w:after="0" w:line="240" w:lineRule="auto"/>
            </w:pPr>
            <w:r>
              <w:rPr>
                <w:color w:val="202124"/>
                <w:sz w:val="17"/>
              </w:rPr>
              <w:t>Sanctions européennes présentées comme immédiates</w:t>
            </w:r>
          </w:p>
        </w:tc>
        <w:tc>
          <w:tcPr>
            <w:tcW w:w="3100" w:type="dxa"/>
            <w:tcMar>
              <w:top w:w="80" w:type="dxa"/>
              <w:left w:w="120" w:type="dxa"/>
              <w:bottom w:w="80" w:type="dxa"/>
              <w:right w:w="120" w:type="dxa"/>
            </w:tcMar>
            <w:vAlign w:val="center"/>
          </w:tcPr>
          <w:p w14:paraId="19AFEAA8" w14:textId="77777777" w:rsidR="00464943" w:rsidRDefault="00000000">
            <w:pPr>
              <w:spacing w:after="0" w:line="240" w:lineRule="auto"/>
            </w:pPr>
            <w:r>
              <w:rPr>
                <w:color w:val="202124"/>
                <w:sz w:val="17"/>
              </w:rPr>
              <w:t>Procédure graduelle, conditionnelle et juridiquement encadrée</w:t>
            </w:r>
          </w:p>
        </w:tc>
        <w:tc>
          <w:tcPr>
            <w:tcW w:w="3560" w:type="dxa"/>
            <w:tcMar>
              <w:top w:w="80" w:type="dxa"/>
              <w:left w:w="120" w:type="dxa"/>
              <w:bottom w:w="80" w:type="dxa"/>
              <w:right w:w="120" w:type="dxa"/>
            </w:tcMar>
            <w:vAlign w:val="center"/>
          </w:tcPr>
          <w:p w14:paraId="0CC9DE77" w14:textId="77777777" w:rsidR="00464943" w:rsidRDefault="00000000">
            <w:pPr>
              <w:spacing w:after="0" w:line="240" w:lineRule="auto"/>
            </w:pPr>
            <w:r>
              <w:rPr>
                <w:color w:val="202124"/>
                <w:sz w:val="17"/>
              </w:rPr>
              <w:t>Dramatisation qui remplace l'analyse de conformité</w:t>
            </w:r>
          </w:p>
        </w:tc>
      </w:tr>
    </w:tbl>
    <w:p w14:paraId="32B508D9" w14:textId="77777777" w:rsidR="00464943" w:rsidRDefault="00464943">
      <w:pPr>
        <w:spacing w:before="80" w:after="80"/>
      </w:pPr>
    </w:p>
    <w:p w14:paraId="66214D30" w14:textId="77777777" w:rsidR="00464943" w:rsidRDefault="00000000">
      <w:pPr>
        <w:pStyle w:val="Titre1"/>
      </w:pPr>
      <w:r>
        <w:t>3. Angle mort n° 1 : la défense ne s'arrête plus à 2 %</w:t>
      </w:r>
    </w:p>
    <w:p w14:paraId="269B1AE8" w14:textId="77777777" w:rsidR="00464943" w:rsidRDefault="00000000">
      <w:pPr>
        <w:pStyle w:val="Titre2"/>
      </w:pPr>
      <w:r>
        <w:t>3.1 Le changement de référence</w:t>
      </w:r>
    </w:p>
    <w:p w14:paraId="27640269" w14:textId="77777777" w:rsidR="00464943" w:rsidRDefault="00000000">
      <w:r>
        <w:t>Au sommet de La Haye de juin 2025, les alliés se sont engagés à consacrer d'ici 2035 5 % du PIB par an aux besoins de défense et de sécurité : au moins 3,5 % pour les exigences de défense de base et jusqu'à 1,5 % pour les infrastructures critiques, la résilience, les réseaux, la préparation civile, l'innovation et la base industrielle. Des plans annuels crédibles doivent jalonner la trajectoire et l'engagement sera revu en 2029. [S9] [S10]</w:t>
      </w:r>
    </w:p>
    <w:p w14:paraId="42BD3E9A" w14:textId="77777777" w:rsidR="00464943" w:rsidRDefault="00000000">
      <w:r>
        <w:t>Les annexes analysent surtout l'atteinte de 2 % comme si elle fermait le dossier. Or 2 % est désormais un plancher de départ. Le budget 2027 peut certes rester proche de ce niveau, mais toute trajectoire 2027-2029 qui ignore l'après-2029 reporte une contrainte certaine vers la prochaine législature.</w:t>
      </w:r>
    </w:p>
    <w:p w14:paraId="71176638" w14:textId="77777777" w:rsidR="00464943" w:rsidRDefault="00000000">
      <w:pPr>
        <w:pStyle w:val="Titre2"/>
      </w:pPr>
      <w:r>
        <w:t>3.2 Ordre de grandeur, sans faux calcul de caisse</w:t>
      </w:r>
    </w:p>
    <w:p w14:paraId="29B96F1A" w14:textId="77777777" w:rsidR="00464943" w:rsidRDefault="00000000">
      <w:r>
        <w:t>À l'échelle actuelle de l'économie belge, un point de PIB représente approximativement 6,5 à 7 milliards d'euros. Passer de 2 % à 3,5 % de défense de base représente donc, en ordre de grandeur statique, environ 10 milliards d'euros annuels supplémentaires par rapport au niveau de 2 %. Ce n'est pas une facture 2027 : le PIB nominal augmentera, la trajectoire est étalée jusqu'en 2035 et une partie des dépenses peut remplacer ou reclasser des crédits existants.</w:t>
      </w:r>
    </w:p>
    <w:p w14:paraId="49E7FC8E" w14:textId="77777777" w:rsidR="00464943" w:rsidRDefault="00000000">
      <w:r>
        <w:t xml:space="preserve">Le pilier additionnel de 1,5 % ne peut pas davantage être traité comme un coût entièrement nouveau. Des dépenses d'infrastructure, de cybersécurité ou de résilience sont peut-être déjà financées dans </w:t>
      </w:r>
      <w:r>
        <w:lastRenderedPageBreak/>
        <w:t xml:space="preserve">d'autres missions. Le vrai besoin est un </w:t>
      </w:r>
      <w:r>
        <w:rPr>
          <w:b/>
        </w:rPr>
        <w:t>pont de classification</w:t>
      </w:r>
      <w:r>
        <w:t xml:space="preserve"> : crédits actuels éligibles, crédits réellement additionnels, investissements ponctuels, coûts de personnel récurrents et charge de maintenance future.</w:t>
      </w:r>
    </w:p>
    <w:p w14:paraId="63D0B1B2" w14:textId="77777777" w:rsidR="00464943" w:rsidRDefault="00000000">
      <w:pPr>
        <w:pStyle w:val="Titre2"/>
      </w:pPr>
      <w:r>
        <w:t>3.3 Questions que le conclave doit trancher</w:t>
      </w:r>
    </w:p>
    <w:p w14:paraId="583DD8E6" w14:textId="77777777" w:rsidR="00464943" w:rsidRDefault="00000000">
      <w:pPr>
        <w:numPr>
          <w:ilvl w:val="0"/>
          <w:numId w:val="1"/>
        </w:numPr>
      </w:pPr>
      <w:r>
        <w:t>Quelle trajectoire annuelle conduit de 2 % à 3,5 % sans saut budgétaire après 2029 ?</w:t>
      </w:r>
    </w:p>
    <w:p w14:paraId="57B6C439" w14:textId="77777777" w:rsidR="00464943" w:rsidRDefault="00000000">
      <w:pPr>
        <w:numPr>
          <w:ilvl w:val="0"/>
          <w:numId w:val="1"/>
        </w:numPr>
      </w:pPr>
      <w:r>
        <w:t>Quelle part est de l'investissement et quelle part crée des dépenses récurrentes ?</w:t>
      </w:r>
    </w:p>
    <w:p w14:paraId="1992A24A" w14:textId="77777777" w:rsidR="00464943" w:rsidRDefault="00000000">
      <w:pPr>
        <w:numPr>
          <w:ilvl w:val="0"/>
          <w:numId w:val="1"/>
        </w:numPr>
      </w:pPr>
      <w:r>
        <w:t>Quelles dépenses existantes sont éligibles au pilier de 1,5 %, sans double comptage ?</w:t>
      </w:r>
    </w:p>
    <w:p w14:paraId="2968B3B8" w14:textId="77777777" w:rsidR="00464943" w:rsidRDefault="00000000">
      <w:pPr>
        <w:numPr>
          <w:ilvl w:val="0"/>
          <w:numId w:val="1"/>
        </w:numPr>
      </w:pPr>
      <w:r>
        <w:t>Quel effet sur le solde, la dette, les importations et la capacité industrielle belge ?</w:t>
      </w:r>
    </w:p>
    <w:p w14:paraId="30C37495" w14:textId="77777777" w:rsidR="00464943" w:rsidRDefault="00000000">
      <w:pPr>
        <w:numPr>
          <w:ilvl w:val="0"/>
          <w:numId w:val="1"/>
        </w:numPr>
      </w:pPr>
      <w:r>
        <w:t>Comment la clause européenne de flexibilité défense interagit-elle avec la trajectoire de dépenses nettes ?</w:t>
      </w:r>
    </w:p>
    <w:p w14:paraId="555C50B1" w14:textId="77777777" w:rsidR="00464943" w:rsidRDefault="00000000">
      <w:r>
        <w:rPr>
          <w:b/>
        </w:rPr>
        <w:t>Recommandation :</w:t>
      </w:r>
      <w:r>
        <w:t xml:space="preserve"> annexer à l'accord une trajectoire défense 2027-2035, en euros et en pourcentage du PIB, avec un scénario central et un scénario de rattrapage. Sans ce document, la trajectoire 2029 sera incomplète même si elle respecte formellement l'objectif immédiat.</w:t>
      </w:r>
    </w:p>
    <w:p w14:paraId="51908AF7" w14:textId="77777777" w:rsidR="00464943" w:rsidRDefault="00000000">
      <w:pPr>
        <w:pStyle w:val="Titre1"/>
      </w:pPr>
      <w:r>
        <w:t>4. Angle mort n° 2 : l'effort interfédéral n'est pas une variable résiduelle</w:t>
      </w:r>
    </w:p>
    <w:p w14:paraId="312FF874" w14:textId="77777777" w:rsidR="00464943" w:rsidRDefault="00000000">
      <w:pPr>
        <w:pStyle w:val="Titre2"/>
      </w:pPr>
      <w:r>
        <w:t>4.1 Un déficit consolidé, des compétences fragmentées</w:t>
      </w:r>
    </w:p>
    <w:p w14:paraId="185B4200" w14:textId="77777777" w:rsidR="00464943" w:rsidRDefault="00000000">
      <w:r>
        <w:t>Le contrôle européen porte sur l'ensemble des administrations publiques, mais le conclave fédéral ne décide pas seul des budgets des Régions, Communautés et pouvoirs locaux. La Commission relève que la fragmentation des compétences crée des doublons, des coûts administratifs et une gestion moins efficace de l'investissement. Elle estime qu'une coordination interfédérale insuffisante freine la mise en oeuvre des politiques et contribue à un niveau d'investissement public inférieur à celui de plusieurs pairs. [S4]</w:t>
      </w:r>
    </w:p>
    <w:p w14:paraId="7FFFB4E4" w14:textId="77777777" w:rsidR="00464943" w:rsidRDefault="00000000">
      <w:r>
        <w:t>Le FMI recommande lui aussi que les Régions et Communautés participent à l'ajustement, que la coordination soit renforcée et que l'investissement favorable à la croissance soit protégé. [S8] L'accord de coopération de 2013 fournit un cadre de répartition et de suivi des objectifs, mais sa mise en oeuvre est restée incomplète. [S7]</w:t>
      </w:r>
    </w:p>
    <w:p w14:paraId="0FCB8631" w14:textId="77777777" w:rsidR="00464943" w:rsidRDefault="00000000">
      <w:pPr>
        <w:pStyle w:val="Titre2"/>
      </w:pPr>
      <w:r>
        <w:t>4.2 Le risque de transfert de charge</w:t>
      </w:r>
    </w:p>
    <w:p w14:paraId="0DE7C6EB" w14:textId="77777777" w:rsidR="00464943" w:rsidRDefault="00000000">
      <w:r>
        <w:t>Limiter une prestation fédérale peut déplacer le coût vers les CPAS, les communes, les hôpitaux, le logement ou l'aide sociale régionale. La réforme du chômage illustre ce mécanisme : le coût supplémentaire estimé pour les CPAS et la compensation fédérale ne coïncident pas, laissant un écart d'environ 605 millions d'euros dans les estimations reprises par le rapport PDF. Une économie fédérale brute peut donc être beaucoup plus faible pour l'ensemble des administrations publiques.</w:t>
      </w:r>
    </w:p>
    <w:p w14:paraId="0FC6D2EE" w14:textId="77777777" w:rsidR="00464943" w:rsidRDefault="00000000">
      <w:r>
        <w:lastRenderedPageBreak/>
        <w:t>Le même raisonnement vaut pour l'invalidité, les transports, la justice, l'accueil, la formation et la rénovation énergétique. Le budget doit mesurer trois soldes :</w:t>
      </w:r>
    </w:p>
    <w:p w14:paraId="5996B8B8" w14:textId="77777777" w:rsidR="00464943" w:rsidRDefault="00000000">
      <w:pPr>
        <w:numPr>
          <w:ilvl w:val="0"/>
          <w:numId w:val="1"/>
        </w:numPr>
      </w:pPr>
      <w:r>
        <w:t>l'effet sur le budget fédéral ;</w:t>
      </w:r>
    </w:p>
    <w:p w14:paraId="063956E5" w14:textId="77777777" w:rsidR="00464943" w:rsidRDefault="00000000">
      <w:pPr>
        <w:numPr>
          <w:ilvl w:val="0"/>
          <w:numId w:val="1"/>
        </w:numPr>
      </w:pPr>
      <w:r>
        <w:t>l'effet sur l'ensemble des administrations publiques ;</w:t>
      </w:r>
    </w:p>
    <w:p w14:paraId="60C73FD1" w14:textId="77777777" w:rsidR="00464943" w:rsidRDefault="00000000">
      <w:pPr>
        <w:numPr>
          <w:ilvl w:val="0"/>
          <w:numId w:val="1"/>
        </w:numPr>
      </w:pPr>
      <w:r>
        <w:t>l'effet de trésorerie sur l'entité qui doit exécuter la mesure.</w:t>
      </w:r>
    </w:p>
    <w:p w14:paraId="56E830B5" w14:textId="77777777" w:rsidR="00464943" w:rsidRDefault="00000000">
      <w:pPr>
        <w:pStyle w:val="Titre2"/>
      </w:pPr>
      <w:r>
        <w:t>4.3 Test de décision</w:t>
      </w:r>
    </w:p>
    <w:p w14:paraId="24A16C4B" w14:textId="77777777" w:rsidR="00464943" w:rsidRDefault="00000000">
      <w:r>
        <w:t>Toute mesure avec incidence territoriale devrait indiquer : compétence juridique, opérateur d'exécution, coût déplacé, compensation, clé de répartition, délai, mécanisme de correction et indicateur de résultat. Une économie qui ne fait que déplacer la dépense doit être présentée comme telle.</w:t>
      </w:r>
    </w:p>
    <w:p w14:paraId="5FC4393C" w14:textId="77777777" w:rsidR="00464943" w:rsidRDefault="00000000">
      <w:r>
        <w:rPr>
          <w:b/>
        </w:rPr>
        <w:t>Recommandation :</w:t>
      </w:r>
      <w:r>
        <w:t xml:space="preserve"> conclure avant le dépôt du budget un protocole interfédéral chiffré, même provisoire, et publier une table de passage entre l'effort fédéral et le solde consolidé. À défaut, la trajectoire européenne restera exposée à un écart de coordination.</w:t>
      </w:r>
    </w:p>
    <w:p w14:paraId="05D49149" w14:textId="77777777" w:rsidR="00464943" w:rsidRDefault="00000000">
      <w:pPr>
        <w:pStyle w:val="Titre1"/>
      </w:pPr>
      <w:r>
        <w:t>5. Angle mort n° 3 : la facture du vieillissement se déplace vers la santé</w:t>
      </w:r>
    </w:p>
    <w:p w14:paraId="46D652DE" w14:textId="77777777" w:rsidR="00464943" w:rsidRDefault="00000000">
      <w:pPr>
        <w:pStyle w:val="Titre2"/>
      </w:pPr>
      <w:r>
        <w:t>5.1 Le diagnostic 2026</w:t>
      </w:r>
    </w:p>
    <w:p w14:paraId="2735F514" w14:textId="77777777" w:rsidR="00464943" w:rsidRDefault="00000000">
      <w:r>
        <w:t>Le Comité d'étude sur le vieillissement projette une hausse des dépenses sociales de 25,7 % du PIB en 2025 à 27,2 % en 2050, puis une stabilisation jusqu'en 2070. La hausse provient surtout des dépenses de santé et, dans une moindre mesure, des pensions. La réforme des pensions réduit de 1,4 point de PIB la hausse du coût des pensions entre 2025 et 2070, mais le niveau de vie relatif des pensionnés se dégrade progressivement par rapport à celui des actifs. [S11]</w:t>
      </w:r>
    </w:p>
    <w:p w14:paraId="5C07BF5B" w14:textId="77777777" w:rsidR="00464943" w:rsidRDefault="00000000">
      <w:r>
        <w:t>Le rapport-pays de la Commission souligne aussi la composante soins de longue durée : la Belgique y dépensait déjà 2,3 % du PIB en 2022, contre 1,7 % dans l'Union, et la hausse projetée à l'horizon 2070 est plus rapide que la moyenne européenne. [S4]</w:t>
      </w:r>
    </w:p>
    <w:p w14:paraId="3044DDA7" w14:textId="77777777" w:rsidR="00464943" w:rsidRDefault="00000000">
      <w:pPr>
        <w:pStyle w:val="Titre2"/>
      </w:pPr>
      <w:r>
        <w:t>5.2 Pourquoi le budget 2027 est concerné</w:t>
      </w:r>
    </w:p>
    <w:p w14:paraId="5CF8101B" w14:textId="77777777" w:rsidR="00464943" w:rsidRDefault="00000000">
      <w:r>
        <w:t>Un horizon 2050 ne dicte pas une coupe 2027, mais il modifie le choix entre mesures temporaires et structurelles. Une économie ponctuelle sur les remboursements de soins ne traite ni la démographie, ni les salaires du secteur, ni la dépendance, ni la prévention. Elle peut au contraire reporter des coûts vers les ménages ou augmenter des dépenses ultérieures.</w:t>
      </w:r>
    </w:p>
    <w:p w14:paraId="338EBDBE" w14:textId="77777777" w:rsidR="00464943" w:rsidRDefault="00000000">
      <w:r>
        <w:t>Le modèle PROMES du Bureau fédéral du Plan projette, à politique inchangée, une augmentation réelle d'environ 10,9 milliards d'euros des dépenses de santé entre 2025 et 2035. Cette projection n'est pas une norme de dépense ; elle décrit la pression attendue si les paramètres ne changent pas. [S18]</w:t>
      </w:r>
    </w:p>
    <w:p w14:paraId="0611E503" w14:textId="77777777" w:rsidR="00464943" w:rsidRDefault="00000000">
      <w:pPr>
        <w:pStyle w:val="Titre2"/>
      </w:pPr>
      <w:r>
        <w:lastRenderedPageBreak/>
        <w:t>5.3 Ce qu'il faut ajouter aux annexes</w:t>
      </w:r>
    </w:p>
    <w:p w14:paraId="778B6666" w14:textId="77777777" w:rsidR="00464943" w:rsidRDefault="00000000">
      <w:pPr>
        <w:numPr>
          <w:ilvl w:val="0"/>
          <w:numId w:val="1"/>
        </w:numPr>
      </w:pPr>
      <w:r>
        <w:t>une décomposition pensions, soins aigus, médicaments, santé mentale et soins de longue durée ;</w:t>
      </w:r>
    </w:p>
    <w:p w14:paraId="39E44DBE" w14:textId="77777777" w:rsidR="00464943" w:rsidRDefault="00000000">
      <w:pPr>
        <w:numPr>
          <w:ilvl w:val="0"/>
          <w:numId w:val="1"/>
        </w:numPr>
      </w:pPr>
      <w:r>
        <w:t>une distinction entre effet démographique, prix, volume, innovation et politique ;</w:t>
      </w:r>
    </w:p>
    <w:p w14:paraId="06874114" w14:textId="77777777" w:rsidR="00464943" w:rsidRDefault="00000000">
      <w:pPr>
        <w:numPr>
          <w:ilvl w:val="0"/>
          <w:numId w:val="1"/>
        </w:numPr>
      </w:pPr>
      <w:r>
        <w:t>un indicateur d'accès aux soins et de reste à charge, pas seulement une économie comptable ;</w:t>
      </w:r>
    </w:p>
    <w:p w14:paraId="0DD84195" w14:textId="77777777" w:rsidR="00464943" w:rsidRDefault="00000000">
      <w:pPr>
        <w:numPr>
          <w:ilvl w:val="0"/>
          <w:numId w:val="1"/>
        </w:numPr>
      </w:pPr>
      <w:r>
        <w:t>un plan de personnel pour les métiers en pénurie ;</w:t>
      </w:r>
    </w:p>
    <w:p w14:paraId="3C58B623" w14:textId="77777777" w:rsidR="00464943" w:rsidRDefault="00000000">
      <w:pPr>
        <w:numPr>
          <w:ilvl w:val="0"/>
          <w:numId w:val="1"/>
        </w:numPr>
      </w:pPr>
      <w:r>
        <w:t>une analyse interfédérale des maisons de repos, de l'aide à domicile et des hôpitaux.</w:t>
      </w:r>
    </w:p>
    <w:p w14:paraId="325041B8" w14:textId="77777777" w:rsidR="00464943" w:rsidRDefault="00000000">
      <w:r>
        <w:rPr>
          <w:b/>
        </w:rPr>
        <w:t>Recommandation :</w:t>
      </w:r>
      <w:r>
        <w:t xml:space="preserve"> traiter la santé et la dépendance comme un programme pluriannuel de soutenabilité et de capacité, non comme un simple taux de croissance annuel à comprimer.</w:t>
      </w:r>
    </w:p>
    <w:p w14:paraId="4BF603FD" w14:textId="77777777" w:rsidR="00464943" w:rsidRDefault="00000000">
      <w:pPr>
        <w:pStyle w:val="Titre1"/>
      </w:pPr>
      <w:r>
        <w:t>6. Angle mort n° 4 : les spending reviews ne sont pas encore des économies</w:t>
      </w:r>
    </w:p>
    <w:p w14:paraId="3803DA13" w14:textId="77777777" w:rsidR="00464943" w:rsidRDefault="00000000">
      <w:pPr>
        <w:pStyle w:val="Titre2"/>
      </w:pPr>
      <w:r>
        <w:t>6.1 Un jalon européen, pas une cagnotte</w:t>
      </w:r>
    </w:p>
    <w:p w14:paraId="06D1EA97" w14:textId="77777777" w:rsidR="00464943" w:rsidRDefault="00000000">
      <w:r>
        <w:t>Le rapport annuel de progrès 2026 prévoit, au plus tard au quatrième trimestre, l'achèvement de deux revues fédérales : les subventions aux combustibles fossiles et les exonérations de précompte professionnel pour la R&amp;D, les heures supplémentaires et le travail de nuit ou en équipes. Il prévoit aussi une analyse annuelle démontrant une réduction permanente des dépenses d'au moins 0,1 % du PIB en 2026 et 0,3 % en 2029 par rapport à une politique inchangée. Le statut publié au printemps était « en bonne voie ». [S2]</w:t>
      </w:r>
    </w:p>
    <w:p w14:paraId="3E21549C" w14:textId="77777777" w:rsidR="00464943" w:rsidRDefault="00000000">
      <w:r>
        <w:t>À l'échelle du PIB belge, 0,1 point représente environ 650 à 700 millions d'euros. Il s'agit d'un ordre de grandeur dérivé, non d'un montant automatiquement disponible : la définition européenne, les décisions retenues et le calendrier d'effet déterminent le rendement réel.</w:t>
      </w:r>
    </w:p>
    <w:p w14:paraId="1FB7AF87" w14:textId="77777777" w:rsidR="00464943" w:rsidRDefault="00000000">
      <w:pPr>
        <w:pStyle w:val="Titre2"/>
      </w:pPr>
      <w:r>
        <w:t>6.2 Un calendrier serré</w:t>
      </w:r>
    </w:p>
    <w:p w14:paraId="64D59320" w14:textId="77777777" w:rsidR="00464943" w:rsidRDefault="00000000">
      <w:r>
        <w:t>Le plan de relance européen entre dans sa phase finale. En mai 2026, le gouvernement a encore adopté un amendement ciblé parce que certains jalons liés à une demande de paiement ne seraient pas atteints comme prévu. [S3] Le conclave d'automne ne doit donc pas seulement choisir des économies ; il doit prouver l'achèvement des revues, traduire leurs conclusions en décisions et préserver les paiements européens liés aux jalons.</w:t>
      </w:r>
    </w:p>
    <w:p w14:paraId="707A1E98" w14:textId="77777777" w:rsidR="00464943" w:rsidRDefault="00000000">
      <w:pPr>
        <w:pStyle w:val="Titre2"/>
      </w:pPr>
      <w:r>
        <w:t>6.3 Trois pièges</w:t>
      </w:r>
    </w:p>
    <w:p w14:paraId="17F4A39C" w14:textId="77777777" w:rsidR="00464943" w:rsidRDefault="00000000">
      <w:pPr>
        <w:numPr>
          <w:ilvl w:val="0"/>
          <w:numId w:val="4"/>
        </w:numPr>
      </w:pPr>
      <w:r>
        <w:rPr>
          <w:b/>
        </w:rPr>
        <w:t>Assimiler une dépense fiscale à une dépense budgétaire</w:t>
      </w:r>
      <w:r>
        <w:t xml:space="preserve"> sans vérifier la définition utilisée dans la trajectoire européenne.</w:t>
      </w:r>
    </w:p>
    <w:p w14:paraId="1F354ADA" w14:textId="77777777" w:rsidR="00464943" w:rsidRDefault="00000000">
      <w:pPr>
        <w:numPr>
          <w:ilvl w:val="0"/>
          <w:numId w:val="4"/>
        </w:numPr>
      </w:pPr>
      <w:r>
        <w:rPr>
          <w:b/>
        </w:rPr>
        <w:t>Prendre le coût brut d'un régime pour son rendement récupérable</w:t>
      </w:r>
      <w:r>
        <w:t xml:space="preserve"> : supprimer une exonération peut modifier les salaires, les marges, la R&amp;D ou l'organisation du travail.</w:t>
      </w:r>
    </w:p>
    <w:p w14:paraId="5A8542FE" w14:textId="77777777" w:rsidR="00464943" w:rsidRDefault="00000000">
      <w:pPr>
        <w:numPr>
          <w:ilvl w:val="0"/>
          <w:numId w:val="4"/>
        </w:numPr>
      </w:pPr>
      <w:r>
        <w:rPr>
          <w:b/>
        </w:rPr>
        <w:lastRenderedPageBreak/>
        <w:t>Décider trop tard pour 2027</w:t>
      </w:r>
      <w:r>
        <w:t xml:space="preserve"> : une mesure votée en cours d'année n'a qu'un rendement partiel et peut nécessiter des systèmes informatiques ou des contrôles.</w:t>
      </w:r>
    </w:p>
    <w:p w14:paraId="4567F426" w14:textId="77777777" w:rsidR="00464943" w:rsidRDefault="00000000">
      <w:r>
        <w:rPr>
          <w:b/>
        </w:rPr>
        <w:t>Recommandation :</w:t>
      </w:r>
      <w:r>
        <w:t xml:space="preserve"> publier avec l'accord les rapports de revue, la réponse du gouvernement, le rendement brut et net, le calendrier législatif et l'analyse de sensibilité. Jusqu'à cette publication, classer les montants comme conditionnels.</w:t>
      </w:r>
    </w:p>
    <w:p w14:paraId="400E2288" w14:textId="77777777" w:rsidR="00464943" w:rsidRDefault="00000000">
      <w:pPr>
        <w:pStyle w:val="Titre1"/>
      </w:pPr>
      <w:r>
        <w:t>7. Angle mort n° 5 : les effets distributifs et de genre sont mesurables</w:t>
      </w:r>
    </w:p>
    <w:p w14:paraId="794F953E" w14:textId="77777777" w:rsidR="00464943" w:rsidRDefault="00000000">
      <w:pPr>
        <w:pStyle w:val="Titre2"/>
      </w:pPr>
      <w:r>
        <w:t>7.1 Une obligation, pas un supplément facultatif</w:t>
      </w:r>
    </w:p>
    <w:p w14:paraId="7D1D638E" w14:textId="77777777" w:rsidR="00464943" w:rsidRDefault="00000000">
      <w:r>
        <w:t>La loi du 12 janvier 2007 impose l'intégration de la dimension de genre dans les politiques fédérales et dans la préparation budgétaire. Chaque projet de budget général des dépenses doit comporter une note de genre et les administrations doivent produire des indicateurs et statistiques ventilés. [S14]</w:t>
      </w:r>
    </w:p>
    <w:p w14:paraId="6B813E7C" w14:textId="77777777" w:rsidR="00464943" w:rsidRDefault="00000000">
      <w:r>
        <w:t>Les annexes utilisent rarement cette grille alors que les mesures envisagées touchent les pensions, l'indexation, le chômage, l'invalidité, la fiscalité du travail, la santé et les services publics. Ces politiques n'affectent pas de manière identique les femmes et les hommes, ni les isolés, couples, locataires, propriétaires ou familles monoparentales.</w:t>
      </w:r>
    </w:p>
    <w:p w14:paraId="58471DA5" w14:textId="77777777" w:rsidR="00464943" w:rsidRDefault="00000000">
      <w:pPr>
        <w:pStyle w:val="Titre2"/>
      </w:pPr>
      <w:r>
        <w:t>7.2 Les signaux disponibles</w:t>
      </w:r>
    </w:p>
    <w:p w14:paraId="3B4933DC" w14:textId="77777777" w:rsidR="00464943" w:rsidRDefault="00000000">
      <w:r>
        <w:t>Le Bureau fédéral du Plan estime que la réforme des pensions, dans sa version examinée en mars 2026, réduit le coût à long terme mais accroît les inégalités et le risque de pauvreté parmi les pensionnés. La pension moyenne des femmes diminue davantage que celle des hommes dans la simulation distributive ; le risque de pauvreté des femmes augmente de 7,5 % à 7,9 %, tandis qu'il reste stable chez les hommes. [S12]</w:t>
      </w:r>
    </w:p>
    <w:p w14:paraId="02574E80" w14:textId="77777777" w:rsidR="00464943" w:rsidRDefault="00000000">
      <w:r>
        <w:t>Statbel estime que 16,5 % de la population était exposée au risque de pauvreté ou d'exclusion sociale en 2025, avec des taux nettement plus élevés à Bruxelles, parmi les chômeurs, les inactifs, les personnes peu qualifiées et les familles monoparentales. [S13]</w:t>
      </w:r>
    </w:p>
    <w:p w14:paraId="6A6B343A" w14:textId="77777777" w:rsidR="00464943" w:rsidRDefault="00000000">
      <w:pPr>
        <w:pStyle w:val="Titre2"/>
      </w:pPr>
      <w:r>
        <w:t>7.3 Le contrôle minimal</w:t>
      </w:r>
    </w:p>
    <w:p w14:paraId="2DBF89F6" w14:textId="77777777" w:rsidR="00464943" w:rsidRDefault="00000000">
      <w:r>
        <w:t>Pour chaque mesure de plus de 50 millions d'euros ou touchant un droit social, le dossier devrait publier :</w:t>
      </w:r>
    </w:p>
    <w:p w14:paraId="281C7AA2" w14:textId="77777777" w:rsidR="00464943" w:rsidRDefault="00000000">
      <w:pPr>
        <w:numPr>
          <w:ilvl w:val="0"/>
          <w:numId w:val="1"/>
        </w:numPr>
      </w:pPr>
      <w:r>
        <w:t>l'effet par décile de revenu et type de ménage ;</w:t>
      </w:r>
    </w:p>
    <w:p w14:paraId="679971A4" w14:textId="77777777" w:rsidR="00464943" w:rsidRDefault="00000000">
      <w:pPr>
        <w:numPr>
          <w:ilvl w:val="0"/>
          <w:numId w:val="1"/>
        </w:numPr>
      </w:pPr>
      <w:r>
        <w:t>l'effet femmes-hommes et, si pertinent, par âge, handicap et région ;</w:t>
      </w:r>
    </w:p>
    <w:p w14:paraId="04A983CA" w14:textId="77777777" w:rsidR="00464943" w:rsidRDefault="00000000">
      <w:pPr>
        <w:numPr>
          <w:ilvl w:val="0"/>
          <w:numId w:val="1"/>
        </w:numPr>
      </w:pPr>
      <w:r>
        <w:t>le taux de non-recours attendu pour une compensation ;</w:t>
      </w:r>
    </w:p>
    <w:p w14:paraId="76317C60" w14:textId="77777777" w:rsidR="00464943" w:rsidRDefault="00000000">
      <w:pPr>
        <w:numPr>
          <w:ilvl w:val="0"/>
          <w:numId w:val="1"/>
        </w:numPr>
      </w:pPr>
      <w:r>
        <w:t>l'effet cumulé de l'ensemble du paquet, pas seulement mesure par mesure ;</w:t>
      </w:r>
    </w:p>
    <w:p w14:paraId="637D5E37" w14:textId="77777777" w:rsidR="00464943" w:rsidRDefault="00000000">
      <w:pPr>
        <w:numPr>
          <w:ilvl w:val="0"/>
          <w:numId w:val="1"/>
        </w:numPr>
      </w:pPr>
      <w:r>
        <w:t>une variante compensée et son coût.</w:t>
      </w:r>
    </w:p>
    <w:p w14:paraId="5B94612F" w14:textId="77777777" w:rsidR="00464943" w:rsidRDefault="00000000">
      <w:r>
        <w:rPr>
          <w:b/>
        </w:rPr>
        <w:lastRenderedPageBreak/>
        <w:t>Recommandation :</w:t>
      </w:r>
      <w:r>
        <w:t xml:space="preserve"> joindre au conclave une étude d'impact distributif consolidée. Une compensation ciblée ne doit être comptée ni comme gratuite ni comme parfaitement utilisée : son coût et son taux de recours doivent figurer dans le rendement net.</w:t>
      </w:r>
    </w:p>
    <w:p w14:paraId="666135EB" w14:textId="77777777" w:rsidR="00464943" w:rsidRDefault="00000000">
      <w:pPr>
        <w:pStyle w:val="Titre1"/>
      </w:pPr>
      <w:r>
        <w:t>8. Angle mort n° 6 : le rendement de l'activation est surestimé s'il ignore les contraintes</w:t>
      </w:r>
    </w:p>
    <w:p w14:paraId="3A5E5D26" w14:textId="77777777" w:rsidR="00464943" w:rsidRDefault="00000000">
      <w:pPr>
        <w:pStyle w:val="Titre2"/>
      </w:pPr>
      <w:r>
        <w:t>8.1 Le potentiel existe, mais il n'est pas homogène</w:t>
      </w:r>
    </w:p>
    <w:p w14:paraId="51286068" w14:textId="77777777" w:rsidR="00464943" w:rsidRDefault="00000000">
      <w:r>
        <w:t>Le taux d'emploi des 20-64 ans a atteint 72,8 % en 2025. Atteindre 80 % en 2029 supposerait environ 530 000 personnes occupées supplémentaires. Les écarts sont importants : 77,3 % en Flandre, 67,9 % en Wallonie et 63,9 % à Bruxelles. Le taux est de 69,3 % pour les femmes, 46,7 % pour les personnes peu qualifiées et 26,8 % pour les personnes fortement limitées par un handicap. [S15]</w:t>
      </w:r>
    </w:p>
    <w:p w14:paraId="15075B50" w14:textId="77777777" w:rsidR="00464943" w:rsidRDefault="00000000">
      <w:r>
        <w:t>Ces données montrent à la fois une réserve d'emploi et l'impossibilité d'appliquer un rendement moyen à toutes les populations. Le nombre de personnes qui perdent une allocation n'est pas égal au nombre de personnes qui trouvent rapidement un emploi durable.</w:t>
      </w:r>
    </w:p>
    <w:p w14:paraId="5646C442" w14:textId="77777777" w:rsidR="00464943" w:rsidRDefault="00000000">
      <w:pPr>
        <w:pStyle w:val="Titre2"/>
      </w:pPr>
      <w:r>
        <w:t>8.2 Maladie de longue durée et santé mentale</w:t>
      </w:r>
    </w:p>
    <w:p w14:paraId="73E3FAA7" w14:textId="77777777" w:rsidR="00464943" w:rsidRDefault="00000000">
      <w:r>
        <w:t>En 2025, 38,3 % des cas d'invalidité étaient liés à un trouble mental ; parmi eux, 70,4 % relevaient d'une dépression ou d'un burnout. Le nombre de cas de dépression ou burnout a augmenté de 32 % entre 2021 et 2025. [S17] Cette évolution ne justifie ni l'inaction ni l'assimilation de tous les bénéficiaires à des travailleurs immédiatement disponibles.</w:t>
      </w:r>
    </w:p>
    <w:p w14:paraId="0C13E157" w14:textId="77777777" w:rsidR="00464943" w:rsidRDefault="00000000">
      <w:r>
        <w:t>Une politique crédible combine prévention, soins, adaptation du travail, accompagnement, incitations et contrôles. Si le budget ne finance que le contrôle, il peut réduire une dépense fédérale à court terme tout en augmentant les coûts de soins, d'aide sociale ou de rotation de personnel.</w:t>
      </w:r>
    </w:p>
    <w:p w14:paraId="71B88611" w14:textId="77777777" w:rsidR="00464943" w:rsidRDefault="00000000">
      <w:pPr>
        <w:pStyle w:val="Titre2"/>
      </w:pPr>
      <w:r>
        <w:t>8.3 Trappes fiscales et qualité de l'emploi</w:t>
      </w:r>
    </w:p>
    <w:p w14:paraId="4EFC349C" w14:textId="77777777" w:rsidR="00464943" w:rsidRDefault="00000000">
      <w:r>
        <w:t>L'OCDE montre que le taux marginal de prélèvement belge peut être très élevé à bas salaire lorsque l'impôt, les cotisations et la disparition d'avantages se cumulent. Pour le cas type étudié d'un célibataire sans enfant à 50 % du salaire moyen, le coin fiscal marginal atteint 86,9 %. [S16] Ce chiffre ne décrit pas tous les ménages, mais il rappelle qu'une reprise d'emploi peut produire un gain net beaucoup plus faible que le salaire brut.</w:t>
      </w:r>
    </w:p>
    <w:p w14:paraId="3C7B1705" w14:textId="77777777" w:rsidR="00464943" w:rsidRDefault="00000000">
      <w:pPr>
        <w:pStyle w:val="Titre2"/>
      </w:pPr>
      <w:r>
        <w:t>8.4 Modèle de rendement à exiger</w:t>
      </w:r>
    </w:p>
    <w:p w14:paraId="592EE631" w14:textId="77777777" w:rsidR="00464943" w:rsidRDefault="00000000">
      <w:r>
        <w:t>Le rendement budgétaire d'une mesure d'activation doit être présenté comme :</w:t>
      </w:r>
    </w:p>
    <w:p w14:paraId="7741DBA9" w14:textId="77777777" w:rsidR="00464943" w:rsidRDefault="00000000">
      <w:pPr>
        <w:pBdr>
          <w:left w:val="single" w:sz="18" w:space="8" w:color="1F4D78"/>
        </w:pBdr>
        <w:shd w:val="clear" w:color="auto" w:fill="F2F4F7"/>
        <w:spacing w:before="80" w:after="160"/>
        <w:ind w:left="504" w:right="259"/>
      </w:pPr>
      <w:r>
        <w:rPr>
          <w:i/>
          <w:color w:val="0B2545"/>
          <w:sz w:val="21"/>
        </w:rPr>
        <w:t>sorties de prestation × part réellement employée × durée d'emploi × économie nette de prestation + cotisations et impôts - accompagnement - compensation locale - coûts de soins et d'administration.</w:t>
      </w:r>
    </w:p>
    <w:p w14:paraId="3494D7E2" w14:textId="77777777" w:rsidR="00464943" w:rsidRDefault="00000000">
      <w:r>
        <w:t>Chaque terme doit avoir une hypothèse basse, centrale et haute. Un objectif de sorties administratives ne peut pas remplacer un indicateur d'emploi à six et douze mois.</w:t>
      </w:r>
    </w:p>
    <w:p w14:paraId="4D2ACBBF" w14:textId="77777777" w:rsidR="00464943" w:rsidRDefault="00000000">
      <w:r>
        <w:rPr>
          <w:b/>
        </w:rPr>
        <w:lastRenderedPageBreak/>
        <w:t>Recommandation :</w:t>
      </w:r>
      <w:r>
        <w:t xml:space="preserve"> conditionner le rendement budgétaire central à des résultats observables et créer une réserve de prudence lorsque les transitions vers l'emploi ne sont pas documentées.</w:t>
      </w:r>
    </w:p>
    <w:p w14:paraId="7DD745A2" w14:textId="77777777" w:rsidR="00464943" w:rsidRDefault="00000000">
      <w:pPr>
        <w:pStyle w:val="Titre1"/>
      </w:pPr>
      <w:r>
        <w:t>9. Angle mort n° 7 : le risque de dette est un risque de refinancement, pas un bouton instantané</w:t>
      </w:r>
    </w:p>
    <w:p w14:paraId="46976398" w14:textId="77777777" w:rsidR="00464943" w:rsidRDefault="00000000">
      <w:pPr>
        <w:pStyle w:val="Titre2"/>
      </w:pPr>
      <w:r>
        <w:t>9.1 L'exposition actuelle</w:t>
      </w:r>
    </w:p>
    <w:p w14:paraId="38D48EEB" w14:textId="77777777" w:rsidR="00464943" w:rsidRDefault="00000000">
      <w:r>
        <w:t>La dette fédérale s'élevait à environ 575,0 milliards d'euros au 31 juillet 2026. Le taux de référence belge à dix ans atteignait 3,81 % le 28 août 2026. Le plan de financement fédéral pour 2026 prévoit un besoin brut de 59,55 milliards, composé notamment d'un déficit estimé à 26,37 milliards, de 28 milliards d'échéances et de préfinancements. [S19] [S20]</w:t>
      </w:r>
    </w:p>
    <w:p w14:paraId="4D7B98E6" w14:textId="77777777" w:rsidR="00464943" w:rsidRDefault="00000000">
      <w:r>
        <w:t>L'Agence de la dette a allongé les échéances et la maturité moyenne limite la transmission immédiate des taux. La maturité moyenne des nouvelles émissions OLO était de 11,22 ans en 2025. [S21] Il n'y a donc pas une hausse instantanée des intérêts sur tout le stock, mais une transmission graduelle à chaque refinancement.</w:t>
      </w:r>
    </w:p>
    <w:p w14:paraId="19A58CFE" w14:textId="77777777" w:rsidR="00464943" w:rsidRDefault="00000000">
      <w:pPr>
        <w:pStyle w:val="Titre2"/>
      </w:pPr>
      <w:r>
        <w:t>9.2 Un stress test utile</w:t>
      </w:r>
    </w:p>
    <w:p w14:paraId="7F1EB327" w14:textId="77777777" w:rsidR="00464943" w:rsidRDefault="00000000">
      <w:r>
        <w:t>À titre purement illustratif, 50 points de base appliqués à terme à 575 milliards représenteraient environ 2,9 milliards d'euros de charge annuelle supplémentaire à l'état stationnaire. L'effet de la première année serait bien inférieur, puisque seule une fraction de la dette est refinancée. Ce calcul ne constitue pas une prévision ; il montre pourquoi l'échéancier et la durée sont aussi importants que le taux moyen.</w:t>
      </w:r>
    </w:p>
    <w:p w14:paraId="57CBD8ED" w14:textId="77777777" w:rsidR="00464943" w:rsidRDefault="00000000">
      <w:r>
        <w:t>Les notations souveraines demeurent dans la catégorie investissement, avec des perspectives généralement stables, même si une agence maintient une perspective négative. [S19] Le récit d'une crise de financement imminente n'est donc pas étayé. Le risque réel est une érosion progressive de la marge budgétaire si déficit primaire, vieillissement, défense et taux se cumulent.</w:t>
      </w:r>
    </w:p>
    <w:p w14:paraId="424DDC61" w14:textId="77777777" w:rsidR="00464943" w:rsidRDefault="00000000">
      <w:pPr>
        <w:pStyle w:val="Titre2"/>
      </w:pPr>
      <w:r>
        <w:t>9.3 Indicateurs à publier</w:t>
      </w:r>
    </w:p>
    <w:p w14:paraId="400C5EBD" w14:textId="77777777" w:rsidR="00464943" w:rsidRDefault="00000000">
      <w:pPr>
        <w:numPr>
          <w:ilvl w:val="0"/>
          <w:numId w:val="1"/>
        </w:numPr>
      </w:pPr>
      <w:r>
        <w:t>besoin brut de financement par année ;</w:t>
      </w:r>
    </w:p>
    <w:p w14:paraId="359B48E9" w14:textId="77777777" w:rsidR="00464943" w:rsidRDefault="00000000">
      <w:pPr>
        <w:numPr>
          <w:ilvl w:val="0"/>
          <w:numId w:val="1"/>
        </w:numPr>
      </w:pPr>
      <w:r>
        <w:t>dette arrivant à échéance et taux moyen de refinancement ;</w:t>
      </w:r>
    </w:p>
    <w:p w14:paraId="2148DABA" w14:textId="77777777" w:rsidR="00464943" w:rsidRDefault="00000000">
      <w:pPr>
        <w:numPr>
          <w:ilvl w:val="0"/>
          <w:numId w:val="1"/>
        </w:numPr>
      </w:pPr>
      <w:r>
        <w:t>maturité et duration ;</w:t>
      </w:r>
    </w:p>
    <w:p w14:paraId="02FBE15F" w14:textId="77777777" w:rsidR="00464943" w:rsidRDefault="00000000">
      <w:pPr>
        <w:numPr>
          <w:ilvl w:val="0"/>
          <w:numId w:val="1"/>
        </w:numPr>
      </w:pPr>
      <w:r>
        <w:t>charge d'intérêts en euros et en pourcentage des recettes ;</w:t>
      </w:r>
    </w:p>
    <w:p w14:paraId="1401BE26" w14:textId="77777777" w:rsidR="00464943" w:rsidRDefault="00000000">
      <w:pPr>
        <w:numPr>
          <w:ilvl w:val="0"/>
          <w:numId w:val="1"/>
        </w:numPr>
      </w:pPr>
      <w:r>
        <w:t>sensibilité à +50 et +100 points de base ;</w:t>
      </w:r>
    </w:p>
    <w:p w14:paraId="21E879F9" w14:textId="77777777" w:rsidR="00464943" w:rsidRDefault="00000000">
      <w:pPr>
        <w:numPr>
          <w:ilvl w:val="0"/>
          <w:numId w:val="1"/>
        </w:numPr>
      </w:pPr>
      <w:r>
        <w:t>part de la dette indexée et exposition aux variations de prix.</w:t>
      </w:r>
    </w:p>
    <w:p w14:paraId="6E9BF87B" w14:textId="77777777" w:rsidR="00464943" w:rsidRDefault="00000000">
      <w:r>
        <w:rPr>
          <w:b/>
        </w:rPr>
        <w:t>Recommandation :</w:t>
      </w:r>
      <w:r>
        <w:t xml:space="preserve"> ajouter au budget un tableau de sensibilité sur cinq ans. Il doit montrer la vitesse de transmission, et non appliquer un nouveau taux à tout le stock dès 2027.</w:t>
      </w:r>
    </w:p>
    <w:p w14:paraId="70987B45" w14:textId="77777777" w:rsidR="00464943" w:rsidRDefault="00000000">
      <w:pPr>
        <w:pStyle w:val="Titre1"/>
      </w:pPr>
      <w:r>
        <w:lastRenderedPageBreak/>
        <w:t>10. Angle mort n° 8 : la dépense fiscale doit être évaluée comme une politique publique</w:t>
      </w:r>
    </w:p>
    <w:p w14:paraId="24BDF82F" w14:textId="77777777" w:rsidR="00464943" w:rsidRDefault="00000000">
      <w:pPr>
        <w:pStyle w:val="Titre2"/>
      </w:pPr>
      <w:r>
        <w:t>10.1 Un inventaire existe, mais ne suffit pas</w:t>
      </w:r>
    </w:p>
    <w:p w14:paraId="26E6EF21" w14:textId="77777777" w:rsidR="00464943" w:rsidRDefault="00000000">
      <w:r>
        <w:t>Le SPF Finances publie chaque année un inventaire des exonérations, abattements et réductions influençant les recettes de l'État. Son objectif est d'informer le Parlement sur le coût de dérogations fiscales qui poursuivent des objectifs pouvant aussi être financés par une dépense directe. [S22]</w:t>
      </w:r>
    </w:p>
    <w:p w14:paraId="0470867B" w14:textId="77777777" w:rsidR="00464943" w:rsidRDefault="00000000">
      <w:r>
        <w:t>La Cour des comptes a toutefois déjà relevé que l'inventaire ne permettait pas toujours d'informer assez explicitement le Parlement sur le coût et le suivi des mesures. [S23] Les annexes évoquent plusieurs niches, mais ne proposent pas une méthode commune pour comparer leur coût, leur additionnalité, leurs bénéficiaires et leurs effets économiques.</w:t>
      </w:r>
    </w:p>
    <w:p w14:paraId="6BE3C6B7" w14:textId="77777777" w:rsidR="00464943" w:rsidRDefault="00000000">
      <w:pPr>
        <w:pStyle w:val="Titre2"/>
      </w:pPr>
      <w:r>
        <w:t>10.2 Le rendement statique n'est pas le rendement net</w:t>
      </w:r>
    </w:p>
    <w:p w14:paraId="1C4B56DD" w14:textId="77777777" w:rsidR="00464943" w:rsidRDefault="00000000">
      <w:r>
        <w:t>Le coût comptable d'une exonération ne devient pas automatiquement une recette si elle est supprimée. Les entreprises peuvent déplacer une activité, modifier les salaires, réduire un investissement ou utiliser un autre régime. À l'inverse, une niche inefficace peut produire très peu d'additionnalité et constituer une base d'économie robuste.</w:t>
      </w:r>
    </w:p>
    <w:p w14:paraId="115023D8" w14:textId="77777777" w:rsidR="00464943" w:rsidRDefault="00000000">
      <w:r>
        <w:t>La revue du précompte professionnel R&amp;D, heures supplémentaires et travail de nuit doit donc mesurer : bénéficiaires finaux, concentration, coût par emploi ou euro de R&amp;D additionnel, risques d'aubaine, interactions avec d'autres aides et capacité de contrôle.</w:t>
      </w:r>
    </w:p>
    <w:p w14:paraId="4A7BDADA" w14:textId="77777777" w:rsidR="00464943" w:rsidRDefault="00000000">
      <w:r>
        <w:rPr>
          <w:b/>
        </w:rPr>
        <w:t>Recommandation :</w:t>
      </w:r>
      <w:r>
        <w:t xml:space="preserve"> créer un budget des dépenses fiscales avec les mêmes exigences qu'un programme de dépense : objectif, coût, bénéficiaires, indicateur, évaluation, date d'expiration et option de réforme. Les rendements du conclave doivent être nets des réponses comportementales centrales.</w:t>
      </w:r>
    </w:p>
    <w:p w14:paraId="0C87BEAE" w14:textId="77777777" w:rsidR="00464943" w:rsidRDefault="00000000">
      <w:pPr>
        <w:pStyle w:val="Titre1"/>
      </w:pPr>
      <w:r>
        <w:t>11. Angle mort n° 9 : la fiscalité fossile ne vaut pas 10,8 milliards de recettes faciles</w:t>
      </w:r>
    </w:p>
    <w:p w14:paraId="4EAAD8C0" w14:textId="77777777" w:rsidR="00464943" w:rsidRDefault="00000000">
      <w:pPr>
        <w:pStyle w:val="Titre2"/>
      </w:pPr>
      <w:r>
        <w:t>11.1 Le stock recensé</w:t>
      </w:r>
    </w:p>
    <w:p w14:paraId="0B4A18CB" w14:textId="77777777" w:rsidR="00464943" w:rsidRDefault="00000000">
      <w:r>
        <w:t>Le cinquième inventaire fédéral évalue les subventions directes aux énergies fossiles à 10,8 milliards d'euros en 2024, contre 11,7 milliards en 2023. [S24] Ce montant est une base de réforme importante, mais il agrège des dispositifs de nature et de bénéficiaires différents. Il ne peut pas être inscrit comme recette disponible sans analyse.</w:t>
      </w:r>
    </w:p>
    <w:p w14:paraId="34A5CB76" w14:textId="77777777" w:rsidR="00464943" w:rsidRDefault="00000000">
      <w:pPr>
        <w:pStyle w:val="Titre2"/>
      </w:pPr>
      <w:r>
        <w:t>11.2 Les trois dimensions à relier</w:t>
      </w:r>
    </w:p>
    <w:p w14:paraId="577B2BAF" w14:textId="77777777" w:rsidR="00464943" w:rsidRDefault="00000000">
      <w:pPr>
        <w:numPr>
          <w:ilvl w:val="0"/>
          <w:numId w:val="1"/>
        </w:numPr>
      </w:pPr>
      <w:r>
        <w:rPr>
          <w:b/>
        </w:rPr>
        <w:t>Budget :</w:t>
      </w:r>
      <w:r>
        <w:t xml:space="preserve"> rendement net, effets de second tour, calendrier et contrôle.</w:t>
      </w:r>
    </w:p>
    <w:p w14:paraId="2B47ACCC" w14:textId="77777777" w:rsidR="00464943" w:rsidRDefault="00000000">
      <w:pPr>
        <w:numPr>
          <w:ilvl w:val="0"/>
          <w:numId w:val="1"/>
        </w:numPr>
      </w:pPr>
      <w:r>
        <w:rPr>
          <w:b/>
        </w:rPr>
        <w:t>Compétitivité :</w:t>
      </w:r>
      <w:r>
        <w:t xml:space="preserve"> exposition des secteurs, risque de fuite d'activité et alternatives technologiques.</w:t>
      </w:r>
    </w:p>
    <w:p w14:paraId="77BCC7E0" w14:textId="77777777" w:rsidR="00464943" w:rsidRDefault="00000000">
      <w:pPr>
        <w:numPr>
          <w:ilvl w:val="0"/>
          <w:numId w:val="1"/>
        </w:numPr>
      </w:pPr>
      <w:r>
        <w:rPr>
          <w:b/>
        </w:rPr>
        <w:t>Justice sociale :</w:t>
      </w:r>
      <w:r>
        <w:t xml:space="preserve"> part supportée par les ménages vulnérables, travailleurs mobiles et locataires.</w:t>
      </w:r>
    </w:p>
    <w:p w14:paraId="204CDE4E" w14:textId="77777777" w:rsidR="00464943" w:rsidRDefault="00000000">
      <w:r>
        <w:lastRenderedPageBreak/>
        <w:t>L'évaluation 2026 du plan énergie-climat par la Commission juge insuffisante l'analyse belge des effets sociaux du futur système ETS2 et l'identification des groupes vulnérables, avec des lacunes particulières dans les informations régionales. [S25] Une réforme fiscale verte sans plan d'investissement et de compensation peut être budgétairement décevante et socialement régressive.</w:t>
      </w:r>
    </w:p>
    <w:p w14:paraId="3FF9089D" w14:textId="77777777" w:rsidR="00464943" w:rsidRDefault="00000000">
      <w:pPr>
        <w:pStyle w:val="Titre2"/>
      </w:pPr>
      <w:r>
        <w:t>11.3 Séquençage recommandé</w:t>
      </w:r>
    </w:p>
    <w:p w14:paraId="4FCC444E" w14:textId="77777777" w:rsidR="00464943" w:rsidRDefault="00000000">
      <w:pPr>
        <w:numPr>
          <w:ilvl w:val="0"/>
          <w:numId w:val="5"/>
        </w:numPr>
      </w:pPr>
      <w:r>
        <w:t>classer les dispositifs selon leur objectif et leur incidence ;</w:t>
      </w:r>
    </w:p>
    <w:p w14:paraId="6A6532EF" w14:textId="77777777" w:rsidR="00464943" w:rsidRDefault="00000000">
      <w:pPr>
        <w:numPr>
          <w:ilvl w:val="0"/>
          <w:numId w:val="5"/>
        </w:numPr>
      </w:pPr>
      <w:r>
        <w:t>supprimer en priorité les régimes à faible justification et forte rente ;</w:t>
      </w:r>
    </w:p>
    <w:p w14:paraId="475FE96B" w14:textId="77777777" w:rsidR="00464943" w:rsidRDefault="00000000">
      <w:pPr>
        <w:numPr>
          <w:ilvl w:val="0"/>
          <w:numId w:val="5"/>
        </w:numPr>
      </w:pPr>
      <w:r>
        <w:t>financer les alternatives avant les hausses qui supposent leur disponibilité ;</w:t>
      </w:r>
    </w:p>
    <w:p w14:paraId="458A8B9B" w14:textId="77777777" w:rsidR="00464943" w:rsidRDefault="00000000">
      <w:pPr>
        <w:numPr>
          <w:ilvl w:val="0"/>
          <w:numId w:val="5"/>
        </w:numPr>
      </w:pPr>
      <w:r>
        <w:t>cibler les compensations sur le revenu et la contrainte réelle, pas sur la consommation passée ;</w:t>
      </w:r>
    </w:p>
    <w:p w14:paraId="6F1A9C10" w14:textId="77777777" w:rsidR="00464943" w:rsidRDefault="00000000">
      <w:pPr>
        <w:numPr>
          <w:ilvl w:val="0"/>
          <w:numId w:val="5"/>
        </w:numPr>
      </w:pPr>
      <w:r>
        <w:t>publier le coût brut, la compensation et le rendement net.</w:t>
      </w:r>
    </w:p>
    <w:p w14:paraId="6AE1FB16" w14:textId="77777777" w:rsidR="00464943" w:rsidRDefault="00000000">
      <w:r>
        <w:rPr>
          <w:b/>
        </w:rPr>
        <w:t>Recommandation :</w:t>
      </w:r>
      <w:r>
        <w:t xml:space="preserve"> relier la spending review fossile à un plan de transition juste et à un calendrier de réduction pluriannuel. Le chiffre de 10,8 milliards doit rester un inventaire, non une promesse de recette.</w:t>
      </w:r>
    </w:p>
    <w:p w14:paraId="7A6A5CC5" w14:textId="77777777" w:rsidR="00464943" w:rsidRDefault="00000000">
      <w:pPr>
        <w:pStyle w:val="Titre1"/>
      </w:pPr>
      <w:r>
        <w:t>12. Angle mort n° 10 : protéger l'investissement et la capacité d'exécution</w:t>
      </w:r>
    </w:p>
    <w:p w14:paraId="5D75F36A" w14:textId="77777777" w:rsidR="00464943" w:rsidRDefault="00000000">
      <w:pPr>
        <w:pStyle w:val="Titre2"/>
      </w:pPr>
      <w:r>
        <w:t>12.1 La contrainte européenne porte aussi sur la qualité</w:t>
      </w:r>
    </w:p>
    <w:p w14:paraId="11082179" w14:textId="77777777" w:rsidR="00464943" w:rsidRDefault="00000000">
      <w:r>
        <w:t>Le plan budgétaire à moyen terme s'engage à maintenir l'investissement public financé nationalement autour de 3 % du PIB, avec une moyenne annoncée d'environ 3,1 % sur 2025-2029. [S5] La Commission et le FMI recommandent d'améliorer la composition des dépenses et de protéger les investissements favorables à la croissance. [S4] [S8]</w:t>
      </w:r>
    </w:p>
    <w:p w14:paraId="7FF8CB03" w14:textId="77777777" w:rsidR="00464943" w:rsidRDefault="00000000">
      <w:r>
        <w:t>Une coupe linéaire de fonctionnement peut pourtant réduire les effectifs qui préparent les marchés publics, contrôlent la fraude, gèrent les systèmes informatiques ou délivrent les permis. Une économie comptable peut alors retarder un investissement, une recette ou une réforme de montant supérieur.</w:t>
      </w:r>
    </w:p>
    <w:p w14:paraId="06912ACE" w14:textId="77777777" w:rsidR="00464943" w:rsidRDefault="00000000">
      <w:pPr>
        <w:pStyle w:val="Titre2"/>
      </w:pPr>
      <w:r>
        <w:t>12.2 Le test de croissance</w:t>
      </w:r>
    </w:p>
    <w:p w14:paraId="0A23C5EE" w14:textId="77777777" w:rsidR="00464943" w:rsidRDefault="00000000">
      <w:r>
        <w:t>Chaque mesure devrait être classée selon son effet probable sur :</w:t>
      </w:r>
    </w:p>
    <w:p w14:paraId="196CEB91" w14:textId="77777777" w:rsidR="00464943" w:rsidRDefault="00000000">
      <w:pPr>
        <w:numPr>
          <w:ilvl w:val="0"/>
          <w:numId w:val="1"/>
        </w:numPr>
      </w:pPr>
      <w:r>
        <w:t>l'investissement public net ;</w:t>
      </w:r>
    </w:p>
    <w:p w14:paraId="0295E4AF" w14:textId="77777777" w:rsidR="00464943" w:rsidRDefault="00000000">
      <w:pPr>
        <w:numPr>
          <w:ilvl w:val="0"/>
          <w:numId w:val="1"/>
        </w:numPr>
      </w:pPr>
      <w:r>
        <w:t>la R&amp;D et la diffusion technologique ;</w:t>
      </w:r>
    </w:p>
    <w:p w14:paraId="4B72BA3B" w14:textId="77777777" w:rsidR="00464943" w:rsidRDefault="00000000">
      <w:pPr>
        <w:numPr>
          <w:ilvl w:val="0"/>
          <w:numId w:val="1"/>
        </w:numPr>
      </w:pPr>
      <w:r>
        <w:t>la participation au travail ;</w:t>
      </w:r>
    </w:p>
    <w:p w14:paraId="0B5F4D2B" w14:textId="77777777" w:rsidR="00464943" w:rsidRDefault="00000000">
      <w:pPr>
        <w:numPr>
          <w:ilvl w:val="0"/>
          <w:numId w:val="1"/>
        </w:numPr>
      </w:pPr>
      <w:r>
        <w:t>les infrastructures et la transition énergétique ;</w:t>
      </w:r>
    </w:p>
    <w:p w14:paraId="62202C08" w14:textId="77777777" w:rsidR="00464943" w:rsidRDefault="00000000">
      <w:pPr>
        <w:numPr>
          <w:ilvl w:val="0"/>
          <w:numId w:val="1"/>
        </w:numPr>
      </w:pPr>
      <w:r>
        <w:t>la capacité administrative et judiciaire ;</w:t>
      </w:r>
    </w:p>
    <w:p w14:paraId="07461EB4" w14:textId="77777777" w:rsidR="00464943" w:rsidRDefault="00000000">
      <w:pPr>
        <w:numPr>
          <w:ilvl w:val="0"/>
          <w:numId w:val="1"/>
        </w:numPr>
      </w:pPr>
      <w:r>
        <w:lastRenderedPageBreak/>
        <w:t>la productivité à moyen terme.</w:t>
      </w:r>
    </w:p>
    <w:p w14:paraId="2814932B" w14:textId="77777777" w:rsidR="00464943" w:rsidRDefault="00000000">
      <w:r>
        <w:rPr>
          <w:b/>
        </w:rPr>
        <w:t>Recommandation :</w:t>
      </w:r>
      <w:r>
        <w:t xml:space="preserve"> instituer un plancher d'investissement vérifiable et une liste protégée de capacités d'exécution. Une dépense n'est pas « improductive » parce qu'elle se trouve dans le fonctionnement ; un contrôle fiscal ou une équipe de passation de marché peut avoir un rendement élevé.</w:t>
      </w:r>
    </w:p>
    <w:p w14:paraId="385E9FCE" w14:textId="77777777" w:rsidR="00464943" w:rsidRDefault="00000000">
      <w:pPr>
        <w:pStyle w:val="Titre1"/>
      </w:pPr>
      <w:r>
        <w:t>13. Angle mort n° 11 : les risques hors déficit et hors dette de Maastricht</w:t>
      </w:r>
    </w:p>
    <w:p w14:paraId="21256ABE" w14:textId="77777777" w:rsidR="00464943" w:rsidRDefault="00000000">
      <w:r>
        <w:t>Les garanties publiques, partenariats public-privé, entreprises publiques, engagements de pension, passifs environnementaux, aléas nucléaires et risques climatiques peuvent créer des dépenses futures sans apparaître immédiatement dans la dette de Maastricht. Eurostat impose un rapportage distinct de plusieurs passifs contingents précisément parce qu'ils ne sont pas capturés par la dette consolidée ordinaire. [S26]</w:t>
      </w:r>
    </w:p>
    <w:p w14:paraId="337CCAC0" w14:textId="77777777" w:rsidR="00464943" w:rsidRDefault="00000000">
      <w:r>
        <w:t>Les annexes ne présentent pas de registre consolidé de ces risques. Il serait imprudent de leur attribuer un total unique sans source actuelle et comparable. Le manque à corriger est donc d'abord institutionnel : probabilité, exposition maximale, provision, déclencheur et responsable.</w:t>
      </w:r>
    </w:p>
    <w:p w14:paraId="557AE56A" w14:textId="77777777" w:rsidR="00464943" w:rsidRDefault="00000000">
      <w:r>
        <w:rPr>
          <w:b/>
        </w:rPr>
        <w:t>Recommandation :</w:t>
      </w:r>
      <w:r>
        <w:t xml:space="preserve"> joindre au budget fédéral un état des risques budgétaires, coordonné avec les entités fédérées, et publier une analyse de sensibilité pour les principaux engagements.</w:t>
      </w:r>
    </w:p>
    <w:p w14:paraId="66C00027" w14:textId="77777777" w:rsidR="00464943" w:rsidRDefault="00000000">
      <w:pPr>
        <w:pStyle w:val="Titre1"/>
      </w:pPr>
      <w:r>
        <w:t>14. Angle mort n° 12 : gouvernance, consultation et exécution</w:t>
      </w:r>
    </w:p>
    <w:p w14:paraId="6ED2C08A" w14:textId="77777777" w:rsidR="00464943" w:rsidRDefault="00000000">
      <w:pPr>
        <w:pStyle w:val="Titre2"/>
      </w:pPr>
      <w:r>
        <w:t>14.1 Un plan sans mémoire de consultation suffisante</w:t>
      </w:r>
    </w:p>
    <w:p w14:paraId="26316F50" w14:textId="77777777" w:rsidR="00464943" w:rsidRDefault="00000000">
      <w:r>
        <w:t>Dans son évaluation du plan budgétaire et structurel belge, la Commission note que le document ne décrit pas de consultation des parties prenantes nationales, y compris les partenaires sociaux, et ne fournit pas l'information requise sur la consultation des parlements nationaux. [S6] Cette observation porte sur la documentation du plan ; elle ne prouve pas qu'aucun échange n'a eu lieu. Elle montre que la traçabilité est insuffisante.</w:t>
      </w:r>
    </w:p>
    <w:p w14:paraId="5188093B" w14:textId="77777777" w:rsidR="00464943" w:rsidRDefault="00000000">
      <w:pPr>
        <w:pStyle w:val="Titre2"/>
      </w:pPr>
      <w:r>
        <w:t>14.2 Pourquoi cela affecte le rendement</w:t>
      </w:r>
    </w:p>
    <w:p w14:paraId="6AD70CF9" w14:textId="77777777" w:rsidR="00464943" w:rsidRDefault="00000000">
      <w:r>
        <w:t>Une mesure peut être juridiquement votée mais opérationnellement bloquée par l'absence de systèmes, de personnel, de coordination ou d'acceptabilité. La consultation ne garantit pas un accord, mais elle révèle les délais, les transferts de charge et les contournements possibles. Elle améliore donc le chiffrage.</w:t>
      </w:r>
    </w:p>
    <w:p w14:paraId="5719A5EA" w14:textId="77777777" w:rsidR="00464943" w:rsidRDefault="00000000">
      <w:pPr>
        <w:pStyle w:val="Titre2"/>
      </w:pPr>
      <w:r>
        <w:t>14.3 Gouvernance recommandée</w:t>
      </w:r>
    </w:p>
    <w:p w14:paraId="0DFEECC9" w14:textId="77777777" w:rsidR="00464943" w:rsidRDefault="00000000">
      <w:pPr>
        <w:numPr>
          <w:ilvl w:val="0"/>
          <w:numId w:val="1"/>
        </w:numPr>
      </w:pPr>
      <w:r>
        <w:t>publication des fiches mesures et des hypothèses ;</w:t>
      </w:r>
    </w:p>
    <w:p w14:paraId="07CE8848" w14:textId="77777777" w:rsidR="00464943" w:rsidRDefault="00000000">
      <w:pPr>
        <w:numPr>
          <w:ilvl w:val="0"/>
          <w:numId w:val="1"/>
        </w:numPr>
      </w:pPr>
      <w:r>
        <w:t>avis technique indépendant sur les rendements élevés ou comportementaux ;</w:t>
      </w:r>
    </w:p>
    <w:p w14:paraId="194EDA8C" w14:textId="77777777" w:rsidR="00464943" w:rsidRDefault="00000000">
      <w:pPr>
        <w:numPr>
          <w:ilvl w:val="0"/>
          <w:numId w:val="1"/>
        </w:numPr>
      </w:pPr>
      <w:r>
        <w:t>tableau trimestriel prévu-réalisé ;</w:t>
      </w:r>
    </w:p>
    <w:p w14:paraId="0122DCAB" w14:textId="77777777" w:rsidR="00464943" w:rsidRDefault="00000000">
      <w:pPr>
        <w:numPr>
          <w:ilvl w:val="0"/>
          <w:numId w:val="1"/>
        </w:numPr>
      </w:pPr>
      <w:r>
        <w:lastRenderedPageBreak/>
        <w:t>mécanisme de correction si le rendement s'écarte ;</w:t>
      </w:r>
    </w:p>
    <w:p w14:paraId="31783B41" w14:textId="77777777" w:rsidR="00464943" w:rsidRDefault="00000000">
      <w:pPr>
        <w:numPr>
          <w:ilvl w:val="0"/>
          <w:numId w:val="1"/>
        </w:numPr>
      </w:pPr>
      <w:r>
        <w:t>rapport au Parlement sur les effets distributifs et interfédéraux ;</w:t>
      </w:r>
    </w:p>
    <w:p w14:paraId="6C85E9C1" w14:textId="77777777" w:rsidR="00464943" w:rsidRDefault="00000000">
      <w:pPr>
        <w:numPr>
          <w:ilvl w:val="0"/>
          <w:numId w:val="1"/>
        </w:numPr>
      </w:pPr>
      <w:r>
        <w:t>versionnage public des décisions pour éviter le double comptage.</w:t>
      </w:r>
    </w:p>
    <w:p w14:paraId="68657ED8" w14:textId="77777777" w:rsidR="00464943" w:rsidRDefault="00000000">
      <w:pPr>
        <w:pStyle w:val="Titre1"/>
      </w:pPr>
      <w:r>
        <w:t>15. Cadre de chiffrage à imposer au conclave</w:t>
      </w:r>
    </w:p>
    <w:p w14:paraId="18C01217" w14:textId="77777777" w:rsidR="00464943" w:rsidRDefault="00000000">
      <w:pPr>
        <w:pStyle w:val="Titre2"/>
      </w:pPr>
      <w:r>
        <w:t>15.1 La fiche mesure standard</w:t>
      </w:r>
    </w:p>
    <w:p w14:paraId="1B82CC3B" w14:textId="77777777" w:rsidR="00464943" w:rsidRDefault="00000000">
      <w:r>
        <w:t>Chaque mesure doit comporter les champs suivants :</w:t>
      </w:r>
    </w:p>
    <w:tbl>
      <w:tblPr>
        <w:tblStyle w:val="Grilledutableau"/>
        <w:tblW w:w="9360" w:type="dxa"/>
        <w:tblInd w:w="120" w:type="dxa"/>
        <w:tblLayout w:type="fixed"/>
        <w:tblLook w:val="04A0" w:firstRow="1" w:lastRow="0" w:firstColumn="1" w:lastColumn="0" w:noHBand="0" w:noVBand="1"/>
      </w:tblPr>
      <w:tblGrid>
        <w:gridCol w:w="2100"/>
        <w:gridCol w:w="7260"/>
      </w:tblGrid>
      <w:tr w:rsidR="00464943" w14:paraId="43A2CF9C" w14:textId="77777777">
        <w:trPr>
          <w:tblHeader/>
        </w:trPr>
        <w:tc>
          <w:tcPr>
            <w:tcW w:w="2100" w:type="dxa"/>
            <w:shd w:val="clear" w:color="auto" w:fill="F2F4F7"/>
            <w:tcMar>
              <w:top w:w="80" w:type="dxa"/>
              <w:left w:w="120" w:type="dxa"/>
              <w:bottom w:w="80" w:type="dxa"/>
              <w:right w:w="120" w:type="dxa"/>
            </w:tcMar>
            <w:vAlign w:val="center"/>
          </w:tcPr>
          <w:p w14:paraId="03E1BF0A" w14:textId="77777777" w:rsidR="00464943" w:rsidRDefault="00000000">
            <w:pPr>
              <w:spacing w:after="0" w:line="240" w:lineRule="auto"/>
            </w:pPr>
            <w:r>
              <w:rPr>
                <w:b/>
                <w:color w:val="0B2545"/>
                <w:sz w:val="18"/>
              </w:rPr>
              <w:t>Champ</w:t>
            </w:r>
          </w:p>
        </w:tc>
        <w:tc>
          <w:tcPr>
            <w:tcW w:w="7260" w:type="dxa"/>
            <w:shd w:val="clear" w:color="auto" w:fill="F2F4F7"/>
            <w:tcMar>
              <w:top w:w="80" w:type="dxa"/>
              <w:left w:w="120" w:type="dxa"/>
              <w:bottom w:w="80" w:type="dxa"/>
              <w:right w:w="120" w:type="dxa"/>
            </w:tcMar>
            <w:vAlign w:val="center"/>
          </w:tcPr>
          <w:p w14:paraId="066AA0AD" w14:textId="77777777" w:rsidR="00464943" w:rsidRDefault="00000000">
            <w:pPr>
              <w:spacing w:after="0" w:line="240" w:lineRule="auto"/>
            </w:pPr>
            <w:r>
              <w:rPr>
                <w:b/>
                <w:color w:val="0B2545"/>
                <w:sz w:val="18"/>
              </w:rPr>
              <w:t>Contenu minimal</w:t>
            </w:r>
          </w:p>
        </w:tc>
      </w:tr>
      <w:tr w:rsidR="00464943" w14:paraId="57D4BE96" w14:textId="77777777">
        <w:tc>
          <w:tcPr>
            <w:tcW w:w="2100" w:type="dxa"/>
            <w:tcMar>
              <w:top w:w="80" w:type="dxa"/>
              <w:left w:w="120" w:type="dxa"/>
              <w:bottom w:w="80" w:type="dxa"/>
              <w:right w:w="120" w:type="dxa"/>
            </w:tcMar>
            <w:vAlign w:val="center"/>
          </w:tcPr>
          <w:p w14:paraId="58036771" w14:textId="77777777" w:rsidR="00464943" w:rsidRDefault="00000000">
            <w:pPr>
              <w:spacing w:after="0" w:line="240" w:lineRule="auto"/>
            </w:pPr>
            <w:r>
              <w:rPr>
                <w:color w:val="202124"/>
                <w:sz w:val="17"/>
              </w:rPr>
              <w:t>Statut</w:t>
            </w:r>
          </w:p>
        </w:tc>
        <w:tc>
          <w:tcPr>
            <w:tcW w:w="7260" w:type="dxa"/>
            <w:tcMar>
              <w:top w:w="80" w:type="dxa"/>
              <w:left w:w="120" w:type="dxa"/>
              <w:bottom w:w="80" w:type="dxa"/>
              <w:right w:w="120" w:type="dxa"/>
            </w:tcMar>
            <w:vAlign w:val="center"/>
          </w:tcPr>
          <w:p w14:paraId="15A436BD" w14:textId="77777777" w:rsidR="00464943" w:rsidRDefault="00000000">
            <w:pPr>
              <w:spacing w:after="0" w:line="240" w:lineRule="auto"/>
            </w:pPr>
            <w:r>
              <w:rPr>
                <w:color w:val="202124"/>
                <w:sz w:val="17"/>
              </w:rPr>
              <w:t>En vigueur, décidé, engagement, option ou non vérifié</w:t>
            </w:r>
          </w:p>
        </w:tc>
      </w:tr>
      <w:tr w:rsidR="00464943" w14:paraId="26A35FDD" w14:textId="77777777">
        <w:tc>
          <w:tcPr>
            <w:tcW w:w="2100" w:type="dxa"/>
            <w:tcMar>
              <w:top w:w="80" w:type="dxa"/>
              <w:left w:w="120" w:type="dxa"/>
              <w:bottom w:w="80" w:type="dxa"/>
              <w:right w:w="120" w:type="dxa"/>
            </w:tcMar>
            <w:vAlign w:val="center"/>
          </w:tcPr>
          <w:p w14:paraId="17A056BD" w14:textId="77777777" w:rsidR="00464943" w:rsidRDefault="00000000">
            <w:pPr>
              <w:spacing w:after="0" w:line="240" w:lineRule="auto"/>
            </w:pPr>
            <w:r>
              <w:rPr>
                <w:color w:val="202124"/>
                <w:sz w:val="17"/>
              </w:rPr>
              <w:t>Autorité</w:t>
            </w:r>
          </w:p>
        </w:tc>
        <w:tc>
          <w:tcPr>
            <w:tcW w:w="7260" w:type="dxa"/>
            <w:tcMar>
              <w:top w:w="80" w:type="dxa"/>
              <w:left w:w="120" w:type="dxa"/>
              <w:bottom w:w="80" w:type="dxa"/>
              <w:right w:w="120" w:type="dxa"/>
            </w:tcMar>
            <w:vAlign w:val="center"/>
          </w:tcPr>
          <w:p w14:paraId="7D2C46C1" w14:textId="77777777" w:rsidR="00464943" w:rsidRDefault="00000000">
            <w:pPr>
              <w:spacing w:after="0" w:line="240" w:lineRule="auto"/>
            </w:pPr>
            <w:r>
              <w:rPr>
                <w:color w:val="202124"/>
                <w:sz w:val="17"/>
              </w:rPr>
              <w:t>Niveau de pouvoir, ministre, administration et opérateur</w:t>
            </w:r>
          </w:p>
        </w:tc>
      </w:tr>
      <w:tr w:rsidR="00464943" w14:paraId="5505E014" w14:textId="77777777">
        <w:tc>
          <w:tcPr>
            <w:tcW w:w="2100" w:type="dxa"/>
            <w:tcMar>
              <w:top w:w="80" w:type="dxa"/>
              <w:left w:w="120" w:type="dxa"/>
              <w:bottom w:w="80" w:type="dxa"/>
              <w:right w:w="120" w:type="dxa"/>
            </w:tcMar>
            <w:vAlign w:val="center"/>
          </w:tcPr>
          <w:p w14:paraId="64A15D9A" w14:textId="77777777" w:rsidR="00464943" w:rsidRDefault="00000000">
            <w:pPr>
              <w:spacing w:after="0" w:line="240" w:lineRule="auto"/>
            </w:pPr>
            <w:r>
              <w:rPr>
                <w:color w:val="202124"/>
                <w:sz w:val="17"/>
              </w:rPr>
              <w:t>Base juridique</w:t>
            </w:r>
          </w:p>
        </w:tc>
        <w:tc>
          <w:tcPr>
            <w:tcW w:w="7260" w:type="dxa"/>
            <w:tcMar>
              <w:top w:w="80" w:type="dxa"/>
              <w:left w:w="120" w:type="dxa"/>
              <w:bottom w:w="80" w:type="dxa"/>
              <w:right w:w="120" w:type="dxa"/>
            </w:tcMar>
            <w:vAlign w:val="center"/>
          </w:tcPr>
          <w:p w14:paraId="1D90BF41" w14:textId="77777777" w:rsidR="00464943" w:rsidRDefault="00000000">
            <w:pPr>
              <w:spacing w:after="0" w:line="240" w:lineRule="auto"/>
            </w:pPr>
            <w:r>
              <w:rPr>
                <w:color w:val="202124"/>
                <w:sz w:val="17"/>
              </w:rPr>
              <w:t>Texte à modifier, calendrier et risque de contentieux</w:t>
            </w:r>
          </w:p>
        </w:tc>
      </w:tr>
      <w:tr w:rsidR="00464943" w14:paraId="7FA3787D" w14:textId="77777777">
        <w:tc>
          <w:tcPr>
            <w:tcW w:w="2100" w:type="dxa"/>
            <w:tcMar>
              <w:top w:w="80" w:type="dxa"/>
              <w:left w:w="120" w:type="dxa"/>
              <w:bottom w:w="80" w:type="dxa"/>
              <w:right w:w="120" w:type="dxa"/>
            </w:tcMar>
            <w:vAlign w:val="center"/>
          </w:tcPr>
          <w:p w14:paraId="5D723355" w14:textId="77777777" w:rsidR="00464943" w:rsidRDefault="00000000">
            <w:pPr>
              <w:spacing w:after="0" w:line="240" w:lineRule="auto"/>
            </w:pPr>
            <w:r>
              <w:rPr>
                <w:color w:val="202124"/>
                <w:sz w:val="17"/>
              </w:rPr>
              <w:t>Référence</w:t>
            </w:r>
          </w:p>
        </w:tc>
        <w:tc>
          <w:tcPr>
            <w:tcW w:w="7260" w:type="dxa"/>
            <w:tcMar>
              <w:top w:w="80" w:type="dxa"/>
              <w:left w:w="120" w:type="dxa"/>
              <w:bottom w:w="80" w:type="dxa"/>
              <w:right w:w="120" w:type="dxa"/>
            </w:tcMar>
            <w:vAlign w:val="center"/>
          </w:tcPr>
          <w:p w14:paraId="01283C71" w14:textId="77777777" w:rsidR="00464943" w:rsidRDefault="00000000">
            <w:pPr>
              <w:spacing w:after="0" w:line="240" w:lineRule="auto"/>
            </w:pPr>
            <w:r>
              <w:rPr>
                <w:color w:val="202124"/>
                <w:sz w:val="17"/>
              </w:rPr>
              <w:t>Scénario à politique inchangée et date de calcul</w:t>
            </w:r>
          </w:p>
        </w:tc>
      </w:tr>
      <w:tr w:rsidR="00464943" w14:paraId="28601329" w14:textId="77777777">
        <w:tc>
          <w:tcPr>
            <w:tcW w:w="2100" w:type="dxa"/>
            <w:tcMar>
              <w:top w:w="80" w:type="dxa"/>
              <w:left w:w="120" w:type="dxa"/>
              <w:bottom w:w="80" w:type="dxa"/>
              <w:right w:w="120" w:type="dxa"/>
            </w:tcMar>
            <w:vAlign w:val="center"/>
          </w:tcPr>
          <w:p w14:paraId="3D525184" w14:textId="77777777" w:rsidR="00464943" w:rsidRDefault="00000000">
            <w:pPr>
              <w:spacing w:after="0" w:line="240" w:lineRule="auto"/>
            </w:pPr>
            <w:r>
              <w:rPr>
                <w:color w:val="202124"/>
                <w:sz w:val="17"/>
              </w:rPr>
              <w:t>Profil</w:t>
            </w:r>
          </w:p>
        </w:tc>
        <w:tc>
          <w:tcPr>
            <w:tcW w:w="7260" w:type="dxa"/>
            <w:tcMar>
              <w:top w:w="80" w:type="dxa"/>
              <w:left w:w="120" w:type="dxa"/>
              <w:bottom w:w="80" w:type="dxa"/>
              <w:right w:w="120" w:type="dxa"/>
            </w:tcMar>
            <w:vAlign w:val="center"/>
          </w:tcPr>
          <w:p w14:paraId="1A0E0EF2" w14:textId="77777777" w:rsidR="00464943" w:rsidRDefault="00000000">
            <w:pPr>
              <w:spacing w:after="0" w:line="240" w:lineRule="auto"/>
            </w:pPr>
            <w:r>
              <w:rPr>
                <w:color w:val="202124"/>
                <w:sz w:val="17"/>
              </w:rPr>
              <w:t>Effet 2027, 2028, 2029 et régime de croisière</w:t>
            </w:r>
          </w:p>
        </w:tc>
      </w:tr>
      <w:tr w:rsidR="00464943" w14:paraId="61E3BE2A" w14:textId="77777777">
        <w:tc>
          <w:tcPr>
            <w:tcW w:w="2100" w:type="dxa"/>
            <w:tcMar>
              <w:top w:w="80" w:type="dxa"/>
              <w:left w:w="120" w:type="dxa"/>
              <w:bottom w:w="80" w:type="dxa"/>
              <w:right w:w="120" w:type="dxa"/>
            </w:tcMar>
            <w:vAlign w:val="center"/>
          </w:tcPr>
          <w:p w14:paraId="08CBDD0C" w14:textId="77777777" w:rsidR="00464943" w:rsidRDefault="00000000">
            <w:pPr>
              <w:spacing w:after="0" w:line="240" w:lineRule="auto"/>
            </w:pPr>
            <w:r>
              <w:rPr>
                <w:color w:val="202124"/>
                <w:sz w:val="17"/>
              </w:rPr>
              <w:t>Rendement</w:t>
            </w:r>
          </w:p>
        </w:tc>
        <w:tc>
          <w:tcPr>
            <w:tcW w:w="7260" w:type="dxa"/>
            <w:tcMar>
              <w:top w:w="80" w:type="dxa"/>
              <w:left w:w="120" w:type="dxa"/>
              <w:bottom w:w="80" w:type="dxa"/>
              <w:right w:w="120" w:type="dxa"/>
            </w:tcMar>
            <w:vAlign w:val="center"/>
          </w:tcPr>
          <w:p w14:paraId="0FEBBDF9" w14:textId="77777777" w:rsidR="00464943" w:rsidRDefault="00000000">
            <w:pPr>
              <w:spacing w:after="0" w:line="240" w:lineRule="auto"/>
            </w:pPr>
            <w:r>
              <w:rPr>
                <w:color w:val="202124"/>
                <w:sz w:val="17"/>
              </w:rPr>
              <w:t>Brut, compensation, coût d'exécution et net</w:t>
            </w:r>
          </w:p>
        </w:tc>
      </w:tr>
      <w:tr w:rsidR="00464943" w14:paraId="524762FB" w14:textId="77777777">
        <w:tc>
          <w:tcPr>
            <w:tcW w:w="2100" w:type="dxa"/>
            <w:tcMar>
              <w:top w:w="80" w:type="dxa"/>
              <w:left w:w="120" w:type="dxa"/>
              <w:bottom w:w="80" w:type="dxa"/>
              <w:right w:w="120" w:type="dxa"/>
            </w:tcMar>
            <w:vAlign w:val="center"/>
          </w:tcPr>
          <w:p w14:paraId="790340BF" w14:textId="77777777" w:rsidR="00464943" w:rsidRDefault="00000000">
            <w:pPr>
              <w:spacing w:after="0" w:line="240" w:lineRule="auto"/>
            </w:pPr>
            <w:r>
              <w:rPr>
                <w:color w:val="202124"/>
                <w:sz w:val="17"/>
              </w:rPr>
              <w:t>Confiance</w:t>
            </w:r>
          </w:p>
        </w:tc>
        <w:tc>
          <w:tcPr>
            <w:tcW w:w="7260" w:type="dxa"/>
            <w:tcMar>
              <w:top w:w="80" w:type="dxa"/>
              <w:left w:w="120" w:type="dxa"/>
              <w:bottom w:w="80" w:type="dxa"/>
              <w:right w:w="120" w:type="dxa"/>
            </w:tcMar>
            <w:vAlign w:val="center"/>
          </w:tcPr>
          <w:p w14:paraId="0CD7EA62" w14:textId="77777777" w:rsidR="00464943" w:rsidRDefault="00000000">
            <w:pPr>
              <w:spacing w:after="0" w:line="240" w:lineRule="auto"/>
            </w:pPr>
            <w:r>
              <w:rPr>
                <w:color w:val="202124"/>
                <w:sz w:val="17"/>
              </w:rPr>
              <w:t>Fourchette basse, centrale, haute et probabilité</w:t>
            </w:r>
          </w:p>
        </w:tc>
      </w:tr>
      <w:tr w:rsidR="00464943" w14:paraId="1BAD0F51" w14:textId="77777777">
        <w:tc>
          <w:tcPr>
            <w:tcW w:w="2100" w:type="dxa"/>
            <w:tcMar>
              <w:top w:w="80" w:type="dxa"/>
              <w:left w:w="120" w:type="dxa"/>
              <w:bottom w:w="80" w:type="dxa"/>
              <w:right w:w="120" w:type="dxa"/>
            </w:tcMar>
            <w:vAlign w:val="center"/>
          </w:tcPr>
          <w:p w14:paraId="17AD0590" w14:textId="77777777" w:rsidR="00464943" w:rsidRDefault="00000000">
            <w:pPr>
              <w:spacing w:after="0" w:line="240" w:lineRule="auto"/>
            </w:pPr>
            <w:r>
              <w:rPr>
                <w:color w:val="202124"/>
                <w:sz w:val="17"/>
              </w:rPr>
              <w:t>Comportements</w:t>
            </w:r>
          </w:p>
        </w:tc>
        <w:tc>
          <w:tcPr>
            <w:tcW w:w="7260" w:type="dxa"/>
            <w:tcMar>
              <w:top w:w="80" w:type="dxa"/>
              <w:left w:w="120" w:type="dxa"/>
              <w:bottom w:w="80" w:type="dxa"/>
              <w:right w:w="120" w:type="dxa"/>
            </w:tcMar>
            <w:vAlign w:val="center"/>
          </w:tcPr>
          <w:p w14:paraId="63BB18A3" w14:textId="77777777" w:rsidR="00464943" w:rsidRDefault="00000000">
            <w:pPr>
              <w:spacing w:after="0" w:line="240" w:lineRule="auto"/>
            </w:pPr>
            <w:r>
              <w:rPr>
                <w:color w:val="202124"/>
                <w:sz w:val="17"/>
              </w:rPr>
              <w:t>Hypothèses de recours, substitution, fraude ou emploi</w:t>
            </w:r>
          </w:p>
        </w:tc>
      </w:tr>
      <w:tr w:rsidR="00464943" w14:paraId="340B22E0" w14:textId="77777777">
        <w:tc>
          <w:tcPr>
            <w:tcW w:w="2100" w:type="dxa"/>
            <w:tcMar>
              <w:top w:w="80" w:type="dxa"/>
              <w:left w:w="120" w:type="dxa"/>
              <w:bottom w:w="80" w:type="dxa"/>
              <w:right w:w="120" w:type="dxa"/>
            </w:tcMar>
            <w:vAlign w:val="center"/>
          </w:tcPr>
          <w:p w14:paraId="593151B1" w14:textId="77777777" w:rsidR="00464943" w:rsidRDefault="00000000">
            <w:pPr>
              <w:spacing w:after="0" w:line="240" w:lineRule="auto"/>
            </w:pPr>
            <w:r>
              <w:rPr>
                <w:color w:val="202124"/>
                <w:sz w:val="17"/>
              </w:rPr>
              <w:t>Distribution</w:t>
            </w:r>
          </w:p>
        </w:tc>
        <w:tc>
          <w:tcPr>
            <w:tcW w:w="7260" w:type="dxa"/>
            <w:tcMar>
              <w:top w:w="80" w:type="dxa"/>
              <w:left w:w="120" w:type="dxa"/>
              <w:bottom w:w="80" w:type="dxa"/>
              <w:right w:w="120" w:type="dxa"/>
            </w:tcMar>
            <w:vAlign w:val="center"/>
          </w:tcPr>
          <w:p w14:paraId="5417E724" w14:textId="77777777" w:rsidR="00464943" w:rsidRDefault="00000000">
            <w:pPr>
              <w:spacing w:after="0" w:line="240" w:lineRule="auto"/>
            </w:pPr>
            <w:r>
              <w:rPr>
                <w:color w:val="202124"/>
                <w:sz w:val="17"/>
              </w:rPr>
              <w:t>Déciles, ménages, genre, âge, région, handicap</w:t>
            </w:r>
          </w:p>
        </w:tc>
      </w:tr>
      <w:tr w:rsidR="00464943" w14:paraId="6DD03221" w14:textId="77777777">
        <w:tc>
          <w:tcPr>
            <w:tcW w:w="2100" w:type="dxa"/>
            <w:tcMar>
              <w:top w:w="80" w:type="dxa"/>
              <w:left w:w="120" w:type="dxa"/>
              <w:bottom w:w="80" w:type="dxa"/>
              <w:right w:w="120" w:type="dxa"/>
            </w:tcMar>
            <w:vAlign w:val="center"/>
          </w:tcPr>
          <w:p w14:paraId="2A45BA34" w14:textId="77777777" w:rsidR="00464943" w:rsidRDefault="00000000">
            <w:pPr>
              <w:spacing w:after="0" w:line="240" w:lineRule="auto"/>
            </w:pPr>
            <w:r>
              <w:rPr>
                <w:color w:val="202124"/>
                <w:sz w:val="17"/>
              </w:rPr>
              <w:t>Interfédéral</w:t>
            </w:r>
          </w:p>
        </w:tc>
        <w:tc>
          <w:tcPr>
            <w:tcW w:w="7260" w:type="dxa"/>
            <w:tcMar>
              <w:top w:w="80" w:type="dxa"/>
              <w:left w:w="120" w:type="dxa"/>
              <w:bottom w:w="80" w:type="dxa"/>
              <w:right w:w="120" w:type="dxa"/>
            </w:tcMar>
            <w:vAlign w:val="center"/>
          </w:tcPr>
          <w:p w14:paraId="500513AA" w14:textId="77777777" w:rsidR="00464943" w:rsidRDefault="00000000">
            <w:pPr>
              <w:spacing w:after="0" w:line="240" w:lineRule="auto"/>
            </w:pPr>
            <w:r>
              <w:rPr>
                <w:color w:val="202124"/>
                <w:sz w:val="17"/>
              </w:rPr>
              <w:t>Transfert de coût et compensation entre entités</w:t>
            </w:r>
          </w:p>
        </w:tc>
      </w:tr>
      <w:tr w:rsidR="00464943" w14:paraId="2C74618C" w14:textId="77777777">
        <w:tc>
          <w:tcPr>
            <w:tcW w:w="2100" w:type="dxa"/>
            <w:tcMar>
              <w:top w:w="80" w:type="dxa"/>
              <w:left w:w="120" w:type="dxa"/>
              <w:bottom w:w="80" w:type="dxa"/>
              <w:right w:w="120" w:type="dxa"/>
            </w:tcMar>
            <w:vAlign w:val="center"/>
          </w:tcPr>
          <w:p w14:paraId="671FFFDE" w14:textId="77777777" w:rsidR="00464943" w:rsidRDefault="00000000">
            <w:pPr>
              <w:spacing w:after="0" w:line="240" w:lineRule="auto"/>
            </w:pPr>
            <w:r>
              <w:rPr>
                <w:color w:val="202124"/>
                <w:sz w:val="17"/>
              </w:rPr>
              <w:t>Croissance/climat</w:t>
            </w:r>
          </w:p>
        </w:tc>
        <w:tc>
          <w:tcPr>
            <w:tcW w:w="7260" w:type="dxa"/>
            <w:tcMar>
              <w:top w:w="80" w:type="dxa"/>
              <w:left w:w="120" w:type="dxa"/>
              <w:bottom w:w="80" w:type="dxa"/>
              <w:right w:w="120" w:type="dxa"/>
            </w:tcMar>
            <w:vAlign w:val="center"/>
          </w:tcPr>
          <w:p w14:paraId="51A7C66F" w14:textId="77777777" w:rsidR="00464943" w:rsidRDefault="00000000">
            <w:pPr>
              <w:spacing w:after="0" w:line="240" w:lineRule="auto"/>
            </w:pPr>
            <w:r>
              <w:rPr>
                <w:color w:val="202124"/>
                <w:sz w:val="17"/>
              </w:rPr>
              <w:t>Investissement, productivité, émissions, résilience</w:t>
            </w:r>
          </w:p>
        </w:tc>
      </w:tr>
      <w:tr w:rsidR="00464943" w14:paraId="24BA171B" w14:textId="77777777">
        <w:tc>
          <w:tcPr>
            <w:tcW w:w="2100" w:type="dxa"/>
            <w:tcMar>
              <w:top w:w="80" w:type="dxa"/>
              <w:left w:w="120" w:type="dxa"/>
              <w:bottom w:w="80" w:type="dxa"/>
              <w:right w:w="120" w:type="dxa"/>
            </w:tcMar>
            <w:vAlign w:val="center"/>
          </w:tcPr>
          <w:p w14:paraId="07CF0DCE" w14:textId="77777777" w:rsidR="00464943" w:rsidRDefault="00000000">
            <w:pPr>
              <w:spacing w:after="0" w:line="240" w:lineRule="auto"/>
            </w:pPr>
            <w:r>
              <w:rPr>
                <w:color w:val="202124"/>
                <w:sz w:val="17"/>
              </w:rPr>
              <w:t>Suivi</w:t>
            </w:r>
          </w:p>
        </w:tc>
        <w:tc>
          <w:tcPr>
            <w:tcW w:w="7260" w:type="dxa"/>
            <w:tcMar>
              <w:top w:w="80" w:type="dxa"/>
              <w:left w:w="120" w:type="dxa"/>
              <w:bottom w:w="80" w:type="dxa"/>
              <w:right w:w="120" w:type="dxa"/>
            </w:tcMar>
            <w:vAlign w:val="center"/>
          </w:tcPr>
          <w:p w14:paraId="2D51586D" w14:textId="77777777" w:rsidR="00464943" w:rsidRDefault="00000000">
            <w:pPr>
              <w:spacing w:after="0" w:line="240" w:lineRule="auto"/>
            </w:pPr>
            <w:r>
              <w:rPr>
                <w:color w:val="202124"/>
                <w:sz w:val="17"/>
              </w:rPr>
              <w:t>Indicateur, fréquence, propriétaire et clause corrective</w:t>
            </w:r>
          </w:p>
        </w:tc>
      </w:tr>
    </w:tbl>
    <w:p w14:paraId="1215218E" w14:textId="77777777" w:rsidR="00464943" w:rsidRDefault="00464943">
      <w:pPr>
        <w:spacing w:before="80" w:after="80"/>
      </w:pPr>
    </w:p>
    <w:p w14:paraId="4FB507A5" w14:textId="77777777" w:rsidR="00464943" w:rsidRDefault="00000000">
      <w:pPr>
        <w:pStyle w:val="Titre2"/>
      </w:pPr>
      <w:r>
        <w:t>15.2 Les règles anti-double comptage</w:t>
      </w:r>
    </w:p>
    <w:p w14:paraId="6EF33495" w14:textId="77777777" w:rsidR="00464943" w:rsidRDefault="00000000">
      <w:pPr>
        <w:numPr>
          <w:ilvl w:val="0"/>
          <w:numId w:val="6"/>
        </w:numPr>
      </w:pPr>
      <w:r>
        <w:t>Ne jamais additionner un stock annuel et un cumul pluriannuel.</w:t>
      </w:r>
    </w:p>
    <w:p w14:paraId="03352AB3" w14:textId="77777777" w:rsidR="00464943" w:rsidRDefault="00000000">
      <w:pPr>
        <w:numPr>
          <w:ilvl w:val="0"/>
          <w:numId w:val="6"/>
        </w:numPr>
      </w:pPr>
      <w:r>
        <w:t>Retrancher les mesures déjà intégrées dans la base.</w:t>
      </w:r>
    </w:p>
    <w:p w14:paraId="29B3BE2A" w14:textId="77777777" w:rsidR="00464943" w:rsidRDefault="00000000">
      <w:pPr>
        <w:numPr>
          <w:ilvl w:val="0"/>
          <w:numId w:val="6"/>
        </w:numPr>
      </w:pPr>
      <w:r>
        <w:t>Distinguer solde fédéral, solde consolidé et métrique européenne.</w:t>
      </w:r>
    </w:p>
    <w:p w14:paraId="6F932062" w14:textId="77777777" w:rsidR="00464943" w:rsidRDefault="00000000">
      <w:pPr>
        <w:numPr>
          <w:ilvl w:val="0"/>
          <w:numId w:val="6"/>
        </w:numPr>
      </w:pPr>
      <w:r>
        <w:t>Séparer effet de caisse, effet SEC et effet structurel.</w:t>
      </w:r>
    </w:p>
    <w:p w14:paraId="7A4E393F" w14:textId="77777777" w:rsidR="00464943" w:rsidRDefault="00000000">
      <w:pPr>
        <w:numPr>
          <w:ilvl w:val="0"/>
          <w:numId w:val="6"/>
        </w:numPr>
      </w:pPr>
      <w:r>
        <w:t>Ne compter qu'une fois les mesures qui se chevauchent.</w:t>
      </w:r>
    </w:p>
    <w:p w14:paraId="25F72A96" w14:textId="77777777" w:rsidR="00464943" w:rsidRDefault="00000000">
      <w:pPr>
        <w:numPr>
          <w:ilvl w:val="0"/>
          <w:numId w:val="6"/>
        </w:numPr>
      </w:pPr>
      <w:r>
        <w:t>Appliquer un rendement partiel l'année d'entrée en vigueur.</w:t>
      </w:r>
    </w:p>
    <w:p w14:paraId="16298A58" w14:textId="77777777" w:rsidR="00464943" w:rsidRDefault="00000000">
      <w:pPr>
        <w:numPr>
          <w:ilvl w:val="0"/>
          <w:numId w:val="6"/>
        </w:numPr>
      </w:pPr>
      <w:r>
        <w:t>Enregistrer les compensations et coûts administratifs.</w:t>
      </w:r>
    </w:p>
    <w:p w14:paraId="52AD213E" w14:textId="77777777" w:rsidR="00464943" w:rsidRDefault="00000000">
      <w:pPr>
        <w:numPr>
          <w:ilvl w:val="0"/>
          <w:numId w:val="6"/>
        </w:numPr>
      </w:pPr>
      <w:r>
        <w:t>Présenter séparément les recettes exceptionnelles et récurrentes.</w:t>
      </w:r>
    </w:p>
    <w:p w14:paraId="56E1281B" w14:textId="77777777" w:rsidR="00464943" w:rsidRDefault="00000000">
      <w:pPr>
        <w:pStyle w:val="Titre2"/>
      </w:pPr>
      <w:r>
        <w:lastRenderedPageBreak/>
        <w:t>15.3 La réserve de prudence</w:t>
      </w:r>
    </w:p>
    <w:p w14:paraId="16CC72D2" w14:textId="77777777" w:rsidR="00464943" w:rsidRDefault="00000000">
      <w:r>
        <w:t>Les mesures dépendant fortement du comportement, du contrôle, d'un accord interfédéral ou d'une mise en oeuvre informatique ne devraient pas être comptées à 100 % dans le scénario central. Plutôt qu'un abattement arbitraire identique, le budget doit utiliser une fourchette documentée.</w:t>
      </w:r>
    </w:p>
    <w:p w14:paraId="3C5DA20E" w14:textId="77777777" w:rsidR="00464943" w:rsidRDefault="00000000">
      <w:r>
        <w:t>Exemple de lecture : si 4 milliards de rendement reposent sur des mesures incertaines et qu'un stress test retient un manque à gagner de 25 %, le risque budgétaire est de 1 milliard. Ce calcul n'affirme pas que le paquet actuel contient 4 milliards de telles mesures ; il montre comment rendre la marge d'erreur visible.</w:t>
      </w:r>
    </w:p>
    <w:p w14:paraId="6F1EBCAA" w14:textId="77777777" w:rsidR="00464943" w:rsidRDefault="00000000">
      <w:pPr>
        <w:pStyle w:val="Titre1"/>
      </w:pPr>
      <w:r>
        <w:t>16. Trois scénarios de crédibilité pour l'accord d'automne</w:t>
      </w:r>
    </w:p>
    <w:p w14:paraId="0938ADD6" w14:textId="77777777" w:rsidR="00464943" w:rsidRDefault="00000000">
      <w:pPr>
        <w:pStyle w:val="Titre2"/>
      </w:pPr>
      <w:r>
        <w:t>Scénario A - Accord nominal</w:t>
      </w:r>
    </w:p>
    <w:p w14:paraId="5E71A9C1" w14:textId="77777777" w:rsidR="00464943" w:rsidRDefault="00000000">
      <w:r>
        <w:t>Le gouvernement atteint un total politique par addition de mesures hétérogènes, avec peu de fourchettes et plusieurs effets reportés à 2029. Le risque principal est une révision rapide du rendement, suivie d'un nouveau conclave ou de corrections en cours d'année.</w:t>
      </w:r>
    </w:p>
    <w:p w14:paraId="498A4819" w14:textId="77777777" w:rsidR="00464943" w:rsidRDefault="00000000">
      <w:pPr>
        <w:pStyle w:val="Titre2"/>
      </w:pPr>
      <w:r>
        <w:t>Scénario B - Accord prudent et exécutable</w:t>
      </w:r>
    </w:p>
    <w:p w14:paraId="58FCD201" w14:textId="77777777" w:rsidR="00464943" w:rsidRDefault="00000000">
      <w:r>
        <w:t>Le total central est inférieur au total brut annoncé, mais les mesures sont datées, juridiquement préparées et accompagnées d'une réserve. L'investissement, les compensations interfédérales et les coûts d'exécution sont visibles. C'est le scénario le plus crédible pour les institutions de contrôle et les marchés.</w:t>
      </w:r>
    </w:p>
    <w:p w14:paraId="761151EB" w14:textId="77777777" w:rsidR="00464943" w:rsidRDefault="00000000">
      <w:pPr>
        <w:pStyle w:val="Titre2"/>
      </w:pPr>
      <w:r>
        <w:t>Scénario C - Accord structurel élargi</w:t>
      </w:r>
    </w:p>
    <w:p w14:paraId="1180913F" w14:textId="77777777" w:rsidR="00464943" w:rsidRDefault="00000000">
      <w:r>
        <w:t>Le gouvernement associe l'effort 2027-2029 à une trajectoire 2035 couvrant défense, vieillissement, dette, climat et investissement. Il réforme les dépenses fiscales, définit une répartition interfédérale et automatise le suivi. Ce scénario demande plus de capital politique mais réduit les ajustements improvisés.</w:t>
      </w:r>
    </w:p>
    <w:p w14:paraId="0C50CE85" w14:textId="77777777" w:rsidR="00464943" w:rsidRDefault="00000000">
      <w:r>
        <w:rPr>
          <w:b/>
        </w:rPr>
        <w:t>Conclusion de scénario :</w:t>
      </w:r>
      <w:r>
        <w:t xml:space="preserve"> le choix politique du dosage recettes-dépenses reste ouvert. En revanche, la qualité du chiffrage ne devrait pas être partisane. Même un accord dur échouera s'il repose sur des rendements non exécutables ; même un accord socialement compensé échouera si les compensations ne sont ni financées ni utilisées.</w:t>
      </w:r>
    </w:p>
    <w:p w14:paraId="130F7360" w14:textId="77777777" w:rsidR="00464943" w:rsidRDefault="00000000">
      <w:pPr>
        <w:pStyle w:val="Titre1"/>
      </w:pPr>
      <w:r>
        <w:t>17. Priorités des cent premiers jours</w:t>
      </w:r>
    </w:p>
    <w:p w14:paraId="52C9E00C" w14:textId="77777777" w:rsidR="00464943" w:rsidRDefault="00000000">
      <w:pPr>
        <w:pStyle w:val="Titre2"/>
      </w:pPr>
      <w:r>
        <w:t>Avant l'ouverture du conclave</w:t>
      </w:r>
    </w:p>
    <w:p w14:paraId="25A512B7" w14:textId="77777777" w:rsidR="00464943" w:rsidRDefault="00000000">
      <w:pPr>
        <w:numPr>
          <w:ilvl w:val="0"/>
          <w:numId w:val="7"/>
        </w:numPr>
      </w:pPr>
      <w:r>
        <w:t>Geler une base commune BOSA/BFP et publier les différences de définition.</w:t>
      </w:r>
    </w:p>
    <w:p w14:paraId="48CBAE9A" w14:textId="77777777" w:rsidR="00464943" w:rsidRDefault="00000000">
      <w:pPr>
        <w:numPr>
          <w:ilvl w:val="0"/>
          <w:numId w:val="7"/>
        </w:numPr>
      </w:pPr>
      <w:r>
        <w:t>Requalifier toutes les mesures des annexes selon les cinq statuts.</w:t>
      </w:r>
    </w:p>
    <w:p w14:paraId="48F625A8" w14:textId="77777777" w:rsidR="00464943" w:rsidRDefault="00000000">
      <w:pPr>
        <w:numPr>
          <w:ilvl w:val="0"/>
          <w:numId w:val="7"/>
        </w:numPr>
      </w:pPr>
      <w:r>
        <w:t>Finaliser ou publier les spending reviews et leurs réponses gouvernementales.</w:t>
      </w:r>
    </w:p>
    <w:p w14:paraId="260F8476" w14:textId="77777777" w:rsidR="00464943" w:rsidRDefault="00000000">
      <w:pPr>
        <w:numPr>
          <w:ilvl w:val="0"/>
          <w:numId w:val="7"/>
        </w:numPr>
      </w:pPr>
      <w:r>
        <w:lastRenderedPageBreak/>
        <w:t>Chiffrer l'effet CPAS et les autres transferts de charge.</w:t>
      </w:r>
    </w:p>
    <w:p w14:paraId="3C5961F5" w14:textId="77777777" w:rsidR="00464943" w:rsidRDefault="00000000">
      <w:pPr>
        <w:numPr>
          <w:ilvl w:val="0"/>
          <w:numId w:val="7"/>
        </w:numPr>
      </w:pPr>
      <w:r>
        <w:t>Construire la trajectoire défense 2027-2035.</w:t>
      </w:r>
    </w:p>
    <w:p w14:paraId="4C0FCB98" w14:textId="77777777" w:rsidR="00464943" w:rsidRDefault="00000000">
      <w:pPr>
        <w:pStyle w:val="Titre2"/>
      </w:pPr>
      <w:r>
        <w:t>Pendant le conclave</w:t>
      </w:r>
    </w:p>
    <w:p w14:paraId="15026D06" w14:textId="77777777" w:rsidR="00464943" w:rsidRDefault="00000000">
      <w:pPr>
        <w:numPr>
          <w:ilvl w:val="0"/>
          <w:numId w:val="8"/>
        </w:numPr>
      </w:pPr>
      <w:r>
        <w:t>Utiliser une fiche unique pour chaque mesure.</w:t>
      </w:r>
    </w:p>
    <w:p w14:paraId="191D3AC0" w14:textId="77777777" w:rsidR="00464943" w:rsidRDefault="00000000">
      <w:pPr>
        <w:numPr>
          <w:ilvl w:val="0"/>
          <w:numId w:val="8"/>
        </w:numPr>
      </w:pPr>
      <w:r>
        <w:t>Arbitrer sur le rendement net central, pas sur le rendement brut maximal.</w:t>
      </w:r>
    </w:p>
    <w:p w14:paraId="11639ABD" w14:textId="77777777" w:rsidR="00464943" w:rsidRDefault="00000000">
      <w:pPr>
        <w:numPr>
          <w:ilvl w:val="0"/>
          <w:numId w:val="8"/>
        </w:numPr>
      </w:pPr>
      <w:r>
        <w:t>Tester le paquet consolidé par décile, genre, région et type de ménage.</w:t>
      </w:r>
    </w:p>
    <w:p w14:paraId="353406F9" w14:textId="77777777" w:rsidR="00464943" w:rsidRDefault="00000000">
      <w:pPr>
        <w:numPr>
          <w:ilvl w:val="0"/>
          <w:numId w:val="8"/>
        </w:numPr>
      </w:pPr>
      <w:r>
        <w:t>Protéger explicitement l'investissement et les capacités d'exécution.</w:t>
      </w:r>
    </w:p>
    <w:p w14:paraId="27FC4EC8" w14:textId="77777777" w:rsidR="00464943" w:rsidRDefault="00000000">
      <w:pPr>
        <w:numPr>
          <w:ilvl w:val="0"/>
          <w:numId w:val="8"/>
        </w:numPr>
      </w:pPr>
      <w:r>
        <w:t>Inscrire une réserve et des mesures correctrices prédéfinies.</w:t>
      </w:r>
    </w:p>
    <w:p w14:paraId="15671DB5" w14:textId="77777777" w:rsidR="00464943" w:rsidRDefault="00000000">
      <w:pPr>
        <w:pStyle w:val="Titre2"/>
      </w:pPr>
      <w:r>
        <w:t>Après l'accord</w:t>
      </w:r>
    </w:p>
    <w:p w14:paraId="2FEB746F" w14:textId="77777777" w:rsidR="00464943" w:rsidRDefault="00000000">
      <w:pPr>
        <w:numPr>
          <w:ilvl w:val="0"/>
          <w:numId w:val="9"/>
        </w:numPr>
      </w:pPr>
      <w:r>
        <w:t>Publier les fiches, le tableau de passage et le calendrier législatif.</w:t>
      </w:r>
    </w:p>
    <w:p w14:paraId="76DE8B55" w14:textId="77777777" w:rsidR="00464943" w:rsidRDefault="00000000">
      <w:pPr>
        <w:numPr>
          <w:ilvl w:val="0"/>
          <w:numId w:val="9"/>
        </w:numPr>
      </w:pPr>
      <w:r>
        <w:t>Installer un suivi trimestriel prévu-réalisé.</w:t>
      </w:r>
    </w:p>
    <w:p w14:paraId="529420E2" w14:textId="77777777" w:rsidR="00464943" w:rsidRDefault="00000000">
      <w:pPr>
        <w:numPr>
          <w:ilvl w:val="0"/>
          <w:numId w:val="9"/>
        </w:numPr>
      </w:pPr>
      <w:r>
        <w:t>Saisir le Parlement des écarts significatifs.</w:t>
      </w:r>
    </w:p>
    <w:p w14:paraId="17BE5240" w14:textId="77777777" w:rsidR="00464943" w:rsidRDefault="00000000">
      <w:pPr>
        <w:numPr>
          <w:ilvl w:val="0"/>
          <w:numId w:val="9"/>
        </w:numPr>
      </w:pPr>
      <w:r>
        <w:t>Réviser la trajectoire dès que les données d'exécution contredisent les hypothèses.</w:t>
      </w:r>
    </w:p>
    <w:p w14:paraId="7B66140C" w14:textId="77777777" w:rsidR="00464943" w:rsidRDefault="00000000">
      <w:pPr>
        <w:pStyle w:val="Titre1"/>
      </w:pPr>
      <w:r>
        <w:t>18. Questions décisives à poser aux négociateurs</w:t>
      </w:r>
    </w:p>
    <w:p w14:paraId="161C1669" w14:textId="77777777" w:rsidR="00464943" w:rsidRDefault="00000000">
      <w:pPr>
        <w:numPr>
          <w:ilvl w:val="0"/>
          <w:numId w:val="10"/>
        </w:numPr>
      </w:pPr>
      <w:r>
        <w:t>Quel est le montant net 2027, et non le seul régime de croisière 2029 ?</w:t>
      </w:r>
    </w:p>
    <w:p w14:paraId="4E946BF9" w14:textId="77777777" w:rsidR="00464943" w:rsidRDefault="00000000">
      <w:pPr>
        <w:numPr>
          <w:ilvl w:val="0"/>
          <w:numId w:val="10"/>
        </w:numPr>
      </w:pPr>
      <w:r>
        <w:t>Quelle part du total est déjà intégrée dans la base ?</w:t>
      </w:r>
    </w:p>
    <w:p w14:paraId="2EFF0148" w14:textId="77777777" w:rsidR="00464943" w:rsidRDefault="00000000">
      <w:pPr>
        <w:numPr>
          <w:ilvl w:val="0"/>
          <w:numId w:val="10"/>
        </w:numPr>
      </w:pPr>
      <w:r>
        <w:t>Combien dépend de comportements, contrôles ou systèmes non encore en place ?</w:t>
      </w:r>
    </w:p>
    <w:p w14:paraId="07E0E81F" w14:textId="77777777" w:rsidR="00464943" w:rsidRDefault="00000000">
      <w:pPr>
        <w:numPr>
          <w:ilvl w:val="0"/>
          <w:numId w:val="10"/>
        </w:numPr>
      </w:pPr>
      <w:r>
        <w:t>Quel effort améliore réellement la trajectoire européenne de dépenses nettes ?</w:t>
      </w:r>
    </w:p>
    <w:p w14:paraId="5A35B33E" w14:textId="77777777" w:rsidR="00464943" w:rsidRDefault="00000000">
      <w:pPr>
        <w:numPr>
          <w:ilvl w:val="0"/>
          <w:numId w:val="10"/>
        </w:numPr>
      </w:pPr>
      <w:r>
        <w:t>Quel montant est déplacé vers les CPAS, communes, Régions ou ménages ?</w:t>
      </w:r>
    </w:p>
    <w:p w14:paraId="592A4463" w14:textId="77777777" w:rsidR="00464943" w:rsidRDefault="00000000">
      <w:pPr>
        <w:numPr>
          <w:ilvl w:val="0"/>
          <w:numId w:val="10"/>
        </w:numPr>
      </w:pPr>
      <w:r>
        <w:t>Quelle trajectoire finance l'engagement OTAN après 2029 ?</w:t>
      </w:r>
    </w:p>
    <w:p w14:paraId="458E7543" w14:textId="77777777" w:rsidR="00464943" w:rsidRDefault="00000000">
      <w:pPr>
        <w:numPr>
          <w:ilvl w:val="0"/>
          <w:numId w:val="10"/>
        </w:numPr>
      </w:pPr>
      <w:r>
        <w:t>Quelle part des économies santé est compatible avec l'accès aux soins et le vieillissement ?</w:t>
      </w:r>
    </w:p>
    <w:p w14:paraId="05356961" w14:textId="77777777" w:rsidR="00464943" w:rsidRDefault="00000000">
      <w:pPr>
        <w:numPr>
          <w:ilvl w:val="0"/>
          <w:numId w:val="10"/>
        </w:numPr>
      </w:pPr>
      <w:r>
        <w:t>Quels effets cumulés sur les dix déciles et les familles monoparentales ?</w:t>
      </w:r>
    </w:p>
    <w:p w14:paraId="6D186023" w14:textId="77777777" w:rsidR="00464943" w:rsidRDefault="00000000">
      <w:pPr>
        <w:numPr>
          <w:ilvl w:val="0"/>
          <w:numId w:val="10"/>
        </w:numPr>
      </w:pPr>
      <w:r>
        <w:t>Où se trouve la note de genre exigée par la loi ?</w:t>
      </w:r>
    </w:p>
    <w:p w14:paraId="5B2D1DDE" w14:textId="77777777" w:rsidR="00464943" w:rsidRDefault="00000000">
      <w:pPr>
        <w:numPr>
          <w:ilvl w:val="0"/>
          <w:numId w:val="10"/>
        </w:numPr>
      </w:pPr>
      <w:r>
        <w:t>Quelles dépenses d'investissement et capacités administratives sont protégées ?</w:t>
      </w:r>
    </w:p>
    <w:p w14:paraId="6CDFB0ED" w14:textId="77777777" w:rsidR="00464943" w:rsidRDefault="00000000">
      <w:pPr>
        <w:numPr>
          <w:ilvl w:val="0"/>
          <w:numId w:val="10"/>
        </w:numPr>
      </w:pPr>
      <w:r>
        <w:t>Quel est le besoin brut de refinancement sous +50 points de base ?</w:t>
      </w:r>
    </w:p>
    <w:p w14:paraId="5C9367C9" w14:textId="77777777" w:rsidR="00464943" w:rsidRDefault="00000000">
      <w:pPr>
        <w:numPr>
          <w:ilvl w:val="0"/>
          <w:numId w:val="10"/>
        </w:numPr>
      </w:pPr>
      <w:r>
        <w:t>Quels jalons du plan de relance restent à sécuriser et quels paiements en dépendent ?</w:t>
      </w:r>
    </w:p>
    <w:p w14:paraId="1E01753F" w14:textId="77777777" w:rsidR="00464943" w:rsidRDefault="00000000">
      <w:pPr>
        <w:numPr>
          <w:ilvl w:val="0"/>
          <w:numId w:val="10"/>
        </w:numPr>
      </w:pPr>
      <w:r>
        <w:lastRenderedPageBreak/>
        <w:t>Quels régimes fiscaux disposent d'une évaluation d'additionnalité ?</w:t>
      </w:r>
    </w:p>
    <w:p w14:paraId="38FBA297" w14:textId="77777777" w:rsidR="00464943" w:rsidRDefault="00000000">
      <w:pPr>
        <w:numPr>
          <w:ilvl w:val="0"/>
          <w:numId w:val="10"/>
        </w:numPr>
      </w:pPr>
      <w:r>
        <w:t>Quel rendement net subsiste après compensation de la réforme fossile ?</w:t>
      </w:r>
    </w:p>
    <w:p w14:paraId="2899573E" w14:textId="77777777" w:rsidR="00464943" w:rsidRDefault="00000000">
      <w:pPr>
        <w:numPr>
          <w:ilvl w:val="0"/>
          <w:numId w:val="10"/>
        </w:numPr>
      </w:pPr>
      <w:r>
        <w:t>Quelle clause corrige automatiquement un rendement inférieur aux prévisions ?</w:t>
      </w:r>
    </w:p>
    <w:p w14:paraId="1DB4BDF1" w14:textId="77777777" w:rsidR="00464943" w:rsidRDefault="00000000">
      <w:pPr>
        <w:pStyle w:val="Titre1"/>
      </w:pPr>
      <w:r>
        <w:t>Conclusion</w:t>
      </w:r>
    </w:p>
    <w:p w14:paraId="39E786EA" w14:textId="77777777" w:rsidR="00464943" w:rsidRDefault="00000000">
      <w:r>
        <w:t>La faiblesse centrale des annexes n'est pas leur manque d'ambition, mais leur difficulté à relier le récit politique à la mécanique budgétaire. Le PDF 2027 fournit déjà une bonne discipline de prudence. Le rapport complémentaire ajoute les horizons et les tests qui manquent : défense 2035, santé et dépendance, coordination interfédérale, répartition sociale, refinancement, plan de relance, fiscalité fossile, investissement et risques contingents.</w:t>
      </w:r>
    </w:p>
    <w:p w14:paraId="022F99FA" w14:textId="77777777" w:rsidR="00464943" w:rsidRDefault="00000000">
      <w:r>
        <w:t>Le conclave d'automne devra nécessairement trancher entre préférences politiques incompatibles. Il peut néanmoins éviter quatre erreurs techniques : compter deux fois, confondre brut et net, déplacer une dépense sans la reconnaître et présenter une option comme une décision. La crédibilité ne viendra pas du chiffre rond de 10 milliards, mais de la part de ce chiffre qui est juridiquement décidée, administrativement exécutable, socialement mesurée et effectivement observable dans les comptes 2027-2029.</w:t>
      </w:r>
    </w:p>
    <w:p w14:paraId="7732AC90" w14:textId="77777777" w:rsidR="00464943" w:rsidRDefault="00000000">
      <w:r>
        <w:br w:type="page"/>
      </w:r>
    </w:p>
    <w:p w14:paraId="6E12F89D" w14:textId="77777777" w:rsidR="00464943" w:rsidRDefault="00000000">
      <w:pPr>
        <w:pStyle w:val="Titre1"/>
      </w:pPr>
      <w:r>
        <w:lastRenderedPageBreak/>
        <w:t>Sources principales</w:t>
      </w:r>
    </w:p>
    <w:p w14:paraId="68D889F5" w14:textId="77777777" w:rsidR="00464943" w:rsidRDefault="00000000">
      <w:pPr>
        <w:pStyle w:val="SourceEntry"/>
      </w:pPr>
      <w:r>
        <w:rPr>
          <w:b/>
        </w:rPr>
        <w:t>[S1]</w:t>
      </w:r>
      <w:r>
        <w:t xml:space="preserve"> SPF Stratégie et Appui (BOSA), </w:t>
      </w:r>
      <w:hyperlink r:id="rId8">
        <w:r>
          <w:rPr>
            <w:color w:val="2E74B5"/>
            <w:u w:val="single"/>
          </w:rPr>
          <w:t>Comité de monitoring : actualisation 2026, estimation 2027 et estimation pluriannuelle 2028-2031</w:t>
        </w:r>
      </w:hyperlink>
      <w:r>
        <w:t>, 6 juillet 2026.</w:t>
      </w:r>
    </w:p>
    <w:p w14:paraId="56315DA2" w14:textId="77777777" w:rsidR="00464943" w:rsidRDefault="00000000">
      <w:pPr>
        <w:pStyle w:val="SourceEntry"/>
      </w:pPr>
      <w:r>
        <w:rPr>
          <w:b/>
        </w:rPr>
        <w:t>[S2]</w:t>
      </w:r>
      <w:r>
        <w:t xml:space="preserve"> SPF BOSA, </w:t>
      </w:r>
      <w:hyperlink r:id="rId9">
        <w:r>
          <w:rPr>
            <w:color w:val="2E74B5"/>
            <w:u w:val="single"/>
          </w:rPr>
          <w:t>Annual Progress Report 2026</w:t>
        </w:r>
      </w:hyperlink>
      <w:r>
        <w:t>, 30 avril 2026.</w:t>
      </w:r>
    </w:p>
    <w:p w14:paraId="3EE203B1" w14:textId="77777777" w:rsidR="00464943" w:rsidRDefault="00000000">
      <w:pPr>
        <w:pStyle w:val="SourceEntry"/>
      </w:pPr>
      <w:r>
        <w:rPr>
          <w:b/>
        </w:rPr>
        <w:t>[S3]</w:t>
      </w:r>
      <w:r>
        <w:t xml:space="preserve"> Conseil des ministres, </w:t>
      </w:r>
      <w:hyperlink r:id="rId10">
        <w:r>
          <w:rPr>
            <w:color w:val="2E74B5"/>
            <w:u w:val="single"/>
          </w:rPr>
          <w:t>Amendement ciblé du Plan de relance et d'investissement</w:t>
        </w:r>
      </w:hyperlink>
      <w:r>
        <w:t>, 29 mai 2026.</w:t>
      </w:r>
    </w:p>
    <w:p w14:paraId="7FB47018" w14:textId="77777777" w:rsidR="00464943" w:rsidRDefault="00000000">
      <w:pPr>
        <w:pStyle w:val="SourceEntry"/>
      </w:pPr>
      <w:r>
        <w:rPr>
          <w:b/>
        </w:rPr>
        <w:t>[S4]</w:t>
      </w:r>
      <w:r>
        <w:t xml:space="preserve"> Commission européenne, </w:t>
      </w:r>
      <w:hyperlink r:id="rId11">
        <w:r>
          <w:rPr>
            <w:color w:val="2E74B5"/>
            <w:u w:val="single"/>
          </w:rPr>
          <w:t>Rapport-pays 2026 pour la Belgique, COM(2026) 201</w:t>
        </w:r>
      </w:hyperlink>
      <w:r>
        <w:t>, 2026.</w:t>
      </w:r>
    </w:p>
    <w:p w14:paraId="483D3DE8" w14:textId="77777777" w:rsidR="00464943" w:rsidRDefault="00000000">
      <w:pPr>
        <w:pStyle w:val="SourceEntry"/>
      </w:pPr>
      <w:r>
        <w:rPr>
          <w:b/>
        </w:rPr>
        <w:t>[S5]</w:t>
      </w:r>
      <w:r>
        <w:t xml:space="preserve"> Royaume de Belgique, </w:t>
      </w:r>
      <w:hyperlink r:id="rId12">
        <w:r>
          <w:rPr>
            <w:color w:val="2E74B5"/>
            <w:u w:val="single"/>
          </w:rPr>
          <w:t>Plan budgétaire et structurel national à moyen terme</w:t>
        </w:r>
      </w:hyperlink>
      <w:r>
        <w:t>, 2025.</w:t>
      </w:r>
    </w:p>
    <w:p w14:paraId="707CCA6A" w14:textId="77777777" w:rsidR="00464943" w:rsidRDefault="00000000">
      <w:pPr>
        <w:pStyle w:val="SourceEntry"/>
      </w:pPr>
      <w:r>
        <w:rPr>
          <w:b/>
        </w:rPr>
        <w:t>[S6]</w:t>
      </w:r>
      <w:r>
        <w:t xml:space="preserve"> Commission européenne, </w:t>
      </w:r>
      <w:hyperlink r:id="rId13">
        <w:r>
          <w:rPr>
            <w:color w:val="2E74B5"/>
            <w:u w:val="single"/>
          </w:rPr>
          <w:t>Assessment of the medium-term fiscal-structural plan of Belgium, COM(2025) 263</w:t>
        </w:r>
      </w:hyperlink>
      <w:r>
        <w:t>, 2025.</w:t>
      </w:r>
    </w:p>
    <w:p w14:paraId="7E6E3C3D" w14:textId="77777777" w:rsidR="00464943" w:rsidRDefault="00000000">
      <w:pPr>
        <w:pStyle w:val="SourceEntry"/>
      </w:pPr>
      <w:r>
        <w:rPr>
          <w:b/>
        </w:rPr>
        <w:t>[S7]</w:t>
      </w:r>
      <w:r>
        <w:t xml:space="preserve"> État fédéral, Communautés et Régions, </w:t>
      </w:r>
      <w:hyperlink r:id="rId14">
        <w:r>
          <w:rPr>
            <w:color w:val="2E74B5"/>
            <w:u w:val="single"/>
          </w:rPr>
          <w:t>Accord de coopération du 13 décembre 2013 relatif à la mise en oeuvre du pacte budgétaire</w:t>
        </w:r>
      </w:hyperlink>
      <w:r>
        <w:t>, 2013.</w:t>
      </w:r>
    </w:p>
    <w:p w14:paraId="6609FA8D" w14:textId="77777777" w:rsidR="00464943" w:rsidRDefault="00000000">
      <w:pPr>
        <w:pStyle w:val="SourceEntry"/>
      </w:pPr>
      <w:r>
        <w:rPr>
          <w:b/>
        </w:rPr>
        <w:t>[S8]</w:t>
      </w:r>
      <w:r>
        <w:t xml:space="preserve"> Fonds monétaire international, </w:t>
      </w:r>
      <w:hyperlink r:id="rId15">
        <w:r>
          <w:rPr>
            <w:color w:val="2E74B5"/>
            <w:u w:val="single"/>
          </w:rPr>
          <w:t>Belgium: 2026 Article IV Consultation</w:t>
        </w:r>
      </w:hyperlink>
      <w:r>
        <w:t>, 19 février 2026.</w:t>
      </w:r>
    </w:p>
    <w:p w14:paraId="27DDDFF2" w14:textId="77777777" w:rsidR="00464943" w:rsidRDefault="00000000">
      <w:pPr>
        <w:pStyle w:val="SourceEntry"/>
      </w:pPr>
      <w:r>
        <w:rPr>
          <w:b/>
        </w:rPr>
        <w:t>[S9]</w:t>
      </w:r>
      <w:r>
        <w:t xml:space="preserve"> OTAN, </w:t>
      </w:r>
      <w:hyperlink r:id="rId16">
        <w:r>
          <w:rPr>
            <w:color w:val="2E74B5"/>
            <w:u w:val="single"/>
          </w:rPr>
          <w:t>Déclaration du sommet de La Haye</w:t>
        </w:r>
      </w:hyperlink>
      <w:r>
        <w:t>, 25 juin 2025.</w:t>
      </w:r>
    </w:p>
    <w:p w14:paraId="05E50FE6" w14:textId="77777777" w:rsidR="00464943" w:rsidRDefault="00000000">
      <w:pPr>
        <w:pStyle w:val="SourceEntry"/>
      </w:pPr>
      <w:r>
        <w:rPr>
          <w:b/>
        </w:rPr>
        <w:t>[S10]</w:t>
      </w:r>
      <w:r>
        <w:t xml:space="preserve"> OTAN, </w:t>
      </w:r>
      <w:hyperlink r:id="rId17">
        <w:r>
          <w:rPr>
            <w:color w:val="2E74B5"/>
            <w:u w:val="single"/>
          </w:rPr>
          <w:t>Defence expenditures and NATO's 5% commitment</w:t>
        </w:r>
      </w:hyperlink>
      <w:r>
        <w:t>, consulté le 31 août 2026.</w:t>
      </w:r>
    </w:p>
    <w:p w14:paraId="3F9F9AE2" w14:textId="77777777" w:rsidR="00464943" w:rsidRDefault="00000000">
      <w:pPr>
        <w:pStyle w:val="SourceEntry"/>
      </w:pPr>
      <w:r>
        <w:rPr>
          <w:b/>
        </w:rPr>
        <w:t>[S11]</w:t>
      </w:r>
      <w:r>
        <w:t xml:space="preserve"> Bureau fédéral du Plan / Comité d'étude sur le vieillissement, </w:t>
      </w:r>
      <w:hyperlink r:id="rId18">
        <w:r>
          <w:rPr>
            <w:color w:val="2E74B5"/>
            <w:u w:val="single"/>
          </w:rPr>
          <w:t>Rapport annuel 2026</w:t>
        </w:r>
      </w:hyperlink>
      <w:r>
        <w:t>, 9 juillet 2026.</w:t>
      </w:r>
    </w:p>
    <w:p w14:paraId="6905B002" w14:textId="77777777" w:rsidR="00464943" w:rsidRDefault="00000000">
      <w:pPr>
        <w:pStyle w:val="SourceEntry"/>
      </w:pPr>
      <w:r>
        <w:rPr>
          <w:b/>
        </w:rPr>
        <w:t>[S12]</w:t>
      </w:r>
      <w:r>
        <w:t xml:space="preserve"> Bureau fédéral du Plan, </w:t>
      </w:r>
      <w:hyperlink r:id="rId19">
        <w:r>
          <w:rPr>
            <w:color w:val="2E74B5"/>
            <w:u w:val="single"/>
          </w:rPr>
          <w:t>Effets distributifs de la réforme des pensions</w:t>
        </w:r>
      </w:hyperlink>
      <w:r>
        <w:t>, 13 avril 2026.</w:t>
      </w:r>
    </w:p>
    <w:p w14:paraId="1A3E29C0" w14:textId="77777777" w:rsidR="00464943" w:rsidRDefault="00000000">
      <w:pPr>
        <w:pStyle w:val="SourceEntry"/>
      </w:pPr>
      <w:r>
        <w:rPr>
          <w:b/>
        </w:rPr>
        <w:t>[S13]</w:t>
      </w:r>
      <w:r>
        <w:t xml:space="preserve"> Statbel, </w:t>
      </w:r>
      <w:hyperlink r:id="rId20">
        <w:r>
          <w:rPr>
            <w:color w:val="2E74B5"/>
            <w:u w:val="single"/>
          </w:rPr>
          <w:t>More than 1.9 million Belgians are at risk of poverty or social exclusion</w:t>
        </w:r>
      </w:hyperlink>
      <w:r>
        <w:t>, 2026.</w:t>
      </w:r>
    </w:p>
    <w:p w14:paraId="5DD4693D" w14:textId="77777777" w:rsidR="00464943" w:rsidRDefault="00000000">
      <w:pPr>
        <w:pStyle w:val="SourceEntry"/>
      </w:pPr>
      <w:r>
        <w:rPr>
          <w:b/>
        </w:rPr>
        <w:t>[S14]</w:t>
      </w:r>
      <w:r>
        <w:t xml:space="preserve"> Institut pour l'égalité des femmes et des hommes, </w:t>
      </w:r>
      <w:hyperlink r:id="rId21">
        <w:r>
          <w:rPr>
            <w:color w:val="2E74B5"/>
            <w:u w:val="single"/>
          </w:rPr>
          <w:t>La loi gender mainstreaming du 12 janvier 2007</w:t>
        </w:r>
      </w:hyperlink>
      <w:r>
        <w:t>, consulté le 31 août 2026.</w:t>
      </w:r>
    </w:p>
    <w:p w14:paraId="38D635BB" w14:textId="77777777" w:rsidR="00464943" w:rsidRDefault="00000000">
      <w:pPr>
        <w:pStyle w:val="SourceEntry"/>
      </w:pPr>
      <w:r>
        <w:rPr>
          <w:b/>
        </w:rPr>
        <w:t>[S15]</w:t>
      </w:r>
      <w:r>
        <w:t xml:space="preserve"> Statbel, </w:t>
      </w:r>
      <w:hyperlink r:id="rId22">
        <w:r>
          <w:rPr>
            <w:color w:val="2E74B5"/>
            <w:u w:val="single"/>
          </w:rPr>
          <w:t>Employment and unemployment - annual results 2025</w:t>
        </w:r>
      </w:hyperlink>
      <w:r>
        <w:t>, 2026.</w:t>
      </w:r>
    </w:p>
    <w:p w14:paraId="0CD82858" w14:textId="77777777" w:rsidR="00464943" w:rsidRDefault="00000000">
      <w:pPr>
        <w:pStyle w:val="SourceEntry"/>
      </w:pPr>
      <w:r>
        <w:rPr>
          <w:b/>
        </w:rPr>
        <w:t>[S16]</w:t>
      </w:r>
      <w:r>
        <w:t xml:space="preserve"> OCDE, </w:t>
      </w:r>
      <w:hyperlink r:id="rId23">
        <w:r>
          <w:rPr>
            <w:color w:val="2E74B5"/>
            <w:u w:val="single"/>
          </w:rPr>
          <w:t>Taxing Wages 2026 - Progressivity of labour taxation</w:t>
        </w:r>
      </w:hyperlink>
      <w:r>
        <w:t>, 2026.</w:t>
      </w:r>
    </w:p>
    <w:p w14:paraId="5B90708A" w14:textId="77777777" w:rsidR="00464943" w:rsidRDefault="00000000">
      <w:pPr>
        <w:pStyle w:val="SourceEntry"/>
      </w:pPr>
      <w:r>
        <w:rPr>
          <w:b/>
        </w:rPr>
        <w:t>[S17]</w:t>
      </w:r>
      <w:r>
        <w:t xml:space="preserve"> INAMI, </w:t>
      </w:r>
      <w:hyperlink r:id="rId24">
        <w:r>
          <w:rPr>
            <w:color w:val="2E74B5"/>
            <w:u w:val="single"/>
          </w:rPr>
          <w:t>Incapacités de travail en 2025 : invalidités en raison d'une dépression ou d'un burnout</w:t>
        </w:r>
      </w:hyperlink>
      <w:r>
        <w:t>, 2026.</w:t>
      </w:r>
    </w:p>
    <w:p w14:paraId="4F3A3D4B" w14:textId="77777777" w:rsidR="00464943" w:rsidRDefault="00000000">
      <w:pPr>
        <w:pStyle w:val="SourceEntry"/>
      </w:pPr>
      <w:r>
        <w:rPr>
          <w:b/>
        </w:rPr>
        <w:t>[S18]</w:t>
      </w:r>
      <w:r>
        <w:t xml:space="preserve"> Bureau fédéral du Plan, </w:t>
      </w:r>
      <w:hyperlink r:id="rId25">
        <w:r>
          <w:rPr>
            <w:color w:val="2E74B5"/>
            <w:u w:val="single"/>
          </w:rPr>
          <w:t>Projection 2025-2035 des dépenses de soins de santé - modèle PROMES</w:t>
        </w:r>
      </w:hyperlink>
      <w:r>
        <w:t>, 28 avril 2026.</w:t>
      </w:r>
    </w:p>
    <w:p w14:paraId="084E33F3" w14:textId="77777777" w:rsidR="00464943" w:rsidRDefault="00000000">
      <w:pPr>
        <w:pStyle w:val="SourceEntry"/>
      </w:pPr>
      <w:r>
        <w:rPr>
          <w:b/>
        </w:rPr>
        <w:t>[S19]</w:t>
      </w:r>
      <w:r>
        <w:t xml:space="preserve"> Agence fédérale de la Dette, </w:t>
      </w:r>
      <w:hyperlink r:id="rId26">
        <w:r>
          <w:rPr>
            <w:color w:val="2E74B5"/>
            <w:u w:val="single"/>
          </w:rPr>
          <w:t>Données et indicateurs de dette</w:t>
        </w:r>
      </w:hyperlink>
      <w:r>
        <w:t>, consultés le 31 août 2026.</w:t>
      </w:r>
    </w:p>
    <w:p w14:paraId="3B2BB29E" w14:textId="77777777" w:rsidR="00464943" w:rsidRDefault="00000000">
      <w:pPr>
        <w:pStyle w:val="SourceEntry"/>
      </w:pPr>
      <w:r>
        <w:rPr>
          <w:b/>
        </w:rPr>
        <w:t>[S20]</w:t>
      </w:r>
      <w:r>
        <w:t xml:space="preserve"> Agence fédérale de la Dette, </w:t>
      </w:r>
      <w:hyperlink r:id="rId27">
        <w:r>
          <w:rPr>
            <w:color w:val="2E74B5"/>
            <w:u w:val="single"/>
          </w:rPr>
          <w:t>Federal State financing plan 2026</w:t>
        </w:r>
      </w:hyperlink>
      <w:r>
        <w:t>, 2026.</w:t>
      </w:r>
    </w:p>
    <w:p w14:paraId="167019DD" w14:textId="77777777" w:rsidR="00464943" w:rsidRDefault="00000000">
      <w:pPr>
        <w:pStyle w:val="SourceEntry"/>
      </w:pPr>
      <w:r>
        <w:rPr>
          <w:b/>
        </w:rPr>
        <w:t>[S21]</w:t>
      </w:r>
      <w:r>
        <w:t xml:space="preserve"> Agence fédérale de la Dette, </w:t>
      </w:r>
      <w:hyperlink r:id="rId28">
        <w:r>
          <w:rPr>
            <w:color w:val="2E74B5"/>
            <w:u w:val="single"/>
          </w:rPr>
          <w:t>Review - Outlook 2025-2026</w:t>
        </w:r>
      </w:hyperlink>
      <w:r>
        <w:t>, 2026.</w:t>
      </w:r>
    </w:p>
    <w:p w14:paraId="659CEB2E" w14:textId="77777777" w:rsidR="00464943" w:rsidRDefault="00000000">
      <w:pPr>
        <w:pStyle w:val="SourceEntry"/>
      </w:pPr>
      <w:r>
        <w:rPr>
          <w:b/>
        </w:rPr>
        <w:t>[S22]</w:t>
      </w:r>
      <w:r>
        <w:t xml:space="preserve"> SPF Finances, </w:t>
      </w:r>
      <w:hyperlink r:id="rId29">
        <w:r>
          <w:rPr>
            <w:color w:val="2E74B5"/>
            <w:u w:val="single"/>
          </w:rPr>
          <w:t>Budget - Recettes : inventaire des dépenses fiscales fédérales</w:t>
        </w:r>
      </w:hyperlink>
      <w:r>
        <w:t>, consulté le 31 août 2026.</w:t>
      </w:r>
    </w:p>
    <w:p w14:paraId="4FF730E1" w14:textId="77777777" w:rsidR="00464943" w:rsidRDefault="00000000">
      <w:pPr>
        <w:pStyle w:val="SourceEntry"/>
      </w:pPr>
      <w:r>
        <w:rPr>
          <w:b/>
        </w:rPr>
        <w:t>[S23]</w:t>
      </w:r>
      <w:r>
        <w:t xml:space="preserve"> Cour des comptes, </w:t>
      </w:r>
      <w:hyperlink r:id="rId30">
        <w:r>
          <w:rPr>
            <w:color w:val="2E74B5"/>
            <w:u w:val="single"/>
          </w:rPr>
          <w:t>179e Cahier - politique budgétaire de l'État fédéral</w:t>
        </w:r>
      </w:hyperlink>
      <w:r>
        <w:t>, 2022.</w:t>
      </w:r>
    </w:p>
    <w:p w14:paraId="591B1A87" w14:textId="77777777" w:rsidR="00464943" w:rsidRDefault="00000000">
      <w:pPr>
        <w:pStyle w:val="SourceEntry"/>
      </w:pPr>
      <w:r>
        <w:rPr>
          <w:b/>
        </w:rPr>
        <w:t>[S24]</w:t>
      </w:r>
      <w:r>
        <w:t xml:space="preserve"> Service public fédéral Santé publique, Sécurité de la Chaîne alimentaire et Environnement, </w:t>
      </w:r>
      <w:hyperlink r:id="rId31">
        <w:r>
          <w:rPr>
            <w:color w:val="2E74B5"/>
            <w:u w:val="single"/>
          </w:rPr>
          <w:t>Cinquième inventaire fédéral des subventions aux énergies fossiles</w:t>
        </w:r>
      </w:hyperlink>
      <w:r>
        <w:t>, 2026.</w:t>
      </w:r>
    </w:p>
    <w:p w14:paraId="7FD5915E" w14:textId="77777777" w:rsidR="00464943" w:rsidRDefault="00000000">
      <w:pPr>
        <w:pStyle w:val="SourceEntry"/>
      </w:pPr>
      <w:r>
        <w:rPr>
          <w:b/>
        </w:rPr>
        <w:t>[S25]</w:t>
      </w:r>
      <w:r>
        <w:t xml:space="preserve"> Commission européenne, </w:t>
      </w:r>
      <w:hyperlink r:id="rId32">
        <w:r>
          <w:rPr>
            <w:color w:val="2E74B5"/>
            <w:u w:val="single"/>
          </w:rPr>
          <w:t>Assessment of Belgium's final updated National Energy and Climate Plan, SWD(2026) 24</w:t>
        </w:r>
      </w:hyperlink>
      <w:r>
        <w:t>, 23 janvier 2026.</w:t>
      </w:r>
    </w:p>
    <w:p w14:paraId="3F36CBAB" w14:textId="77777777" w:rsidR="00464943" w:rsidRDefault="00000000">
      <w:pPr>
        <w:pStyle w:val="SourceEntry"/>
      </w:pPr>
      <w:r>
        <w:rPr>
          <w:b/>
        </w:rPr>
        <w:t>[S26]</w:t>
      </w:r>
      <w:r>
        <w:t xml:space="preserve"> Eurostat, </w:t>
      </w:r>
      <w:hyperlink r:id="rId33">
        <w:r>
          <w:rPr>
            <w:color w:val="2E74B5"/>
            <w:u w:val="single"/>
          </w:rPr>
          <w:t>Contingent liabilities and non-performing loans - statistics</w:t>
        </w:r>
      </w:hyperlink>
      <w:r>
        <w:t>, consulté le 31 août 2026.</w:t>
      </w:r>
    </w:p>
    <w:p w14:paraId="3430372A" w14:textId="77777777" w:rsidR="00464943" w:rsidRDefault="00000000">
      <w:r>
        <w:br w:type="page"/>
      </w:r>
    </w:p>
    <w:p w14:paraId="38C10A25" w14:textId="77777777" w:rsidR="00464943" w:rsidRDefault="00000000">
      <w:pPr>
        <w:pStyle w:val="Titre1"/>
      </w:pPr>
      <w:r>
        <w:lastRenderedPageBreak/>
        <w:t>Limites de l'analyse</w:t>
      </w:r>
    </w:p>
    <w:p w14:paraId="60AEF6A5" w14:textId="77777777" w:rsidR="00464943" w:rsidRDefault="00000000">
      <w:pPr>
        <w:numPr>
          <w:ilvl w:val="0"/>
          <w:numId w:val="1"/>
        </w:numPr>
      </w:pPr>
      <w:r>
        <w:t>La date d'arrêté précède le conclave : les décisions postérieures devront être requalifiées et intégrées.</w:t>
      </w:r>
    </w:p>
    <w:p w14:paraId="3339038A" w14:textId="77777777" w:rsidR="00464943" w:rsidRDefault="00000000">
      <w:pPr>
        <w:numPr>
          <w:ilvl w:val="0"/>
          <w:numId w:val="1"/>
        </w:numPr>
      </w:pPr>
      <w:r>
        <w:t>Certaines pages du Bureau fédéral du Plan étaient accessibles par leurs métadonnées et communiqués mais refusaient l'ouverture automatisée ; les chiffres retenus correspondent aux résultats officiels publiés et recoupés.</w:t>
      </w:r>
    </w:p>
    <w:p w14:paraId="2D4998AE" w14:textId="77777777" w:rsidR="00464943" w:rsidRDefault="00000000">
      <w:pPr>
        <w:numPr>
          <w:ilvl w:val="0"/>
          <w:numId w:val="1"/>
        </w:numPr>
      </w:pPr>
      <w:r>
        <w:t>Les montants en points de PIB convertis en euros sont des ordres de grandeur statiques et sont signalés comme tels.</w:t>
      </w:r>
    </w:p>
    <w:p w14:paraId="7B7312FD" w14:textId="77777777" w:rsidR="00464943" w:rsidRDefault="00000000">
      <w:pPr>
        <w:numPr>
          <w:ilvl w:val="0"/>
          <w:numId w:val="1"/>
        </w:numPr>
      </w:pPr>
      <w:r>
        <w:t>Le rapport n'effectue pas une microsimulation indépendante du paquet budgétaire, car le paquet final et ses paramètres ne sont pas encore connus.</w:t>
      </w:r>
    </w:p>
    <w:p w14:paraId="08AC7491" w14:textId="77777777" w:rsidR="00464943" w:rsidRDefault="00000000">
      <w:pPr>
        <w:numPr>
          <w:ilvl w:val="0"/>
          <w:numId w:val="1"/>
        </w:numPr>
      </w:pPr>
      <w:r>
        <w:t>Les passifs contingents ne sont pas totalisés faute d'un état consolidé actuel et homogène.</w:t>
      </w:r>
    </w:p>
    <w:sectPr w:rsidR="00464943" w:rsidSect="00034616">
      <w:headerReference w:type="default" r:id="rId34"/>
      <w:footerReference w:type="default" r:id="rId3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30552" w14:textId="77777777" w:rsidR="00C02FAD" w:rsidRDefault="00C02FAD">
      <w:pPr>
        <w:spacing w:after="0" w:line="240" w:lineRule="auto"/>
      </w:pPr>
      <w:r>
        <w:separator/>
      </w:r>
    </w:p>
  </w:endnote>
  <w:endnote w:type="continuationSeparator" w:id="0">
    <w:p w14:paraId="010B4A86" w14:textId="77777777" w:rsidR="00C02FAD" w:rsidRDefault="00C02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3651" w14:textId="77777777" w:rsidR="00464943" w:rsidRDefault="00000000">
    <w:pPr>
      <w:pStyle w:val="Pieddepage"/>
      <w:jc w:val="right"/>
    </w:pPr>
    <w:r>
      <w:rPr>
        <w:color w:val="5F6B78"/>
        <w:sz w:val="17"/>
      </w:rPr>
      <w:t xml:space="preserve">Page </w:t>
    </w:r>
    <w:r>
      <w:rPr>
        <w:color w:val="5F6B78"/>
        <w:sz w:val="17"/>
      </w:rPr>
      <w:fldChar w:fldCharType="begin"/>
    </w:r>
    <w:r>
      <w:rPr>
        <w:color w:val="5F6B78"/>
        <w:sz w:val="17"/>
      </w:rPr>
      <w:instrText xml:space="preserve"> PAGE </w:instrText>
    </w:r>
    <w:r w:rsidR="002D57ED">
      <w:rPr>
        <w:color w:val="5F6B78"/>
        <w:sz w:val="17"/>
      </w:rPr>
      <w:fldChar w:fldCharType="separate"/>
    </w:r>
    <w:r w:rsidR="002D57ED">
      <w:rPr>
        <w:noProof/>
        <w:color w:val="5F6B78"/>
        <w:sz w:val="17"/>
      </w:rPr>
      <w:t>2</w:t>
    </w:r>
    <w:r>
      <w:rPr>
        <w:color w:val="5F6B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18B8B" w14:textId="77777777" w:rsidR="00C02FAD" w:rsidRDefault="00C02FAD">
      <w:pPr>
        <w:spacing w:after="0" w:line="240" w:lineRule="auto"/>
      </w:pPr>
      <w:r>
        <w:separator/>
      </w:r>
    </w:p>
  </w:footnote>
  <w:footnote w:type="continuationSeparator" w:id="0">
    <w:p w14:paraId="195A680A" w14:textId="77777777" w:rsidR="00C02FAD" w:rsidRDefault="00C02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543E" w14:textId="77777777" w:rsidR="00464943" w:rsidRDefault="00000000">
    <w:pPr>
      <w:pStyle w:val="En-tte"/>
    </w:pPr>
    <w:r>
      <w:rPr>
        <w:b/>
        <w:color w:val="5F6B78"/>
        <w:sz w:val="17"/>
      </w:rPr>
      <w:t>RAPPORT COMPLÉMENTAIRE  |  CONCLAVE BUDGÉTAIRE BELGE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3BF5281"/>
    <w:multiLevelType w:val="singleLevel"/>
    <w:tmpl w:val="B5BA1D3E"/>
    <w:lvl w:ilvl="0">
      <w:start w:val="1"/>
      <w:numFmt w:val="decimal"/>
      <w:pStyle w:val="Listepuces"/>
      <w:lvlText w:val="%1."/>
      <w:lvlJc w:val="left"/>
      <w:pPr>
        <w:tabs>
          <w:tab w:val="num" w:pos="720"/>
        </w:tabs>
        <w:spacing w:after="160" w:line="280" w:lineRule="auto"/>
        <w:ind w:left="720" w:hanging="360"/>
      </w:pPr>
      <w:rPr>
        <w:rFonts w:ascii="Calibri" w:hAnsi="Calibri"/>
      </w:rPr>
    </w:lvl>
  </w:abstractNum>
  <w:abstractNum w:abstractNumId="10" w15:restartNumberingAfterBreak="0">
    <w:nsid w:val="64696EEE"/>
    <w:multiLevelType w:val="singleLevel"/>
    <w:tmpl w:val="CBE4985C"/>
    <w:lvl w:ilvl="0">
      <w:start w:val="1"/>
      <w:numFmt w:val="bullet"/>
      <w:lvlText w:val="•"/>
      <w:lvlJc w:val="left"/>
      <w:pPr>
        <w:tabs>
          <w:tab w:val="num" w:pos="720"/>
        </w:tabs>
        <w:spacing w:after="160" w:line="280" w:lineRule="auto"/>
        <w:ind w:left="720" w:hanging="360"/>
      </w:pPr>
      <w:rPr>
        <w:rFonts w:ascii="Calibri" w:hAnsi="Calibri"/>
      </w:rPr>
    </w:lvl>
  </w:abstractNum>
  <w:num w:numId="1" w16cid:durableId="551383634">
    <w:abstractNumId w:val="9"/>
  </w:num>
  <w:num w:numId="2" w16cid:durableId="482238495">
    <w:abstractNumId w:val="9"/>
    <w:lvlOverride w:ilvl="0">
      <w:startOverride w:val="1"/>
    </w:lvlOverride>
  </w:num>
  <w:num w:numId="3" w16cid:durableId="267662498">
    <w:abstractNumId w:val="9"/>
    <w:lvlOverride w:ilvl="0">
      <w:startOverride w:val="1"/>
    </w:lvlOverride>
  </w:num>
  <w:num w:numId="4" w16cid:durableId="546143406">
    <w:abstractNumId w:val="9"/>
    <w:lvlOverride w:ilvl="0">
      <w:startOverride w:val="1"/>
    </w:lvlOverride>
  </w:num>
  <w:num w:numId="5" w16cid:durableId="449202528">
    <w:abstractNumId w:val="9"/>
    <w:lvlOverride w:ilvl="0">
      <w:startOverride w:val="1"/>
    </w:lvlOverride>
  </w:num>
  <w:num w:numId="6" w16cid:durableId="1484656965">
    <w:abstractNumId w:val="9"/>
    <w:lvlOverride w:ilvl="0">
      <w:startOverride w:val="1"/>
    </w:lvlOverride>
  </w:num>
  <w:num w:numId="7" w16cid:durableId="678040588">
    <w:abstractNumId w:val="9"/>
    <w:lvlOverride w:ilvl="0">
      <w:startOverride w:val="1"/>
    </w:lvlOverride>
  </w:num>
  <w:num w:numId="8" w16cid:durableId="755057878">
    <w:abstractNumId w:val="9"/>
    <w:lvlOverride w:ilvl="0">
      <w:startOverride w:val="1"/>
    </w:lvlOverride>
  </w:num>
  <w:num w:numId="9" w16cid:durableId="811021695">
    <w:abstractNumId w:val="9"/>
    <w:lvlOverride w:ilvl="0">
      <w:startOverride w:val="1"/>
    </w:lvlOverride>
  </w:num>
  <w:num w:numId="10" w16cid:durableId="156178987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7ED"/>
    <w:rsid w:val="00326F90"/>
    <w:rsid w:val="00464943"/>
    <w:rsid w:val="00AA1D8D"/>
    <w:rsid w:val="00B47730"/>
    <w:rsid w:val="00C02FAD"/>
    <w:rsid w:val="00CB0664"/>
    <w:rsid w:val="00F84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CA8A8"/>
  <w14:defaultImageDpi w14:val="300"/>
  <w15:docId w15:val="{8BC57276-AB70-4443-AD39-1FC4F8C8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A1A1A"/>
      <w:lang w:val="fr-BE"/>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tabs>
        <w:tab w:val="num" w:pos="720"/>
      </w:tabs>
      <w:spacing w:after="160" w:line="280" w:lineRule="auto"/>
      <w:ind w:left="720" w:hanging="360"/>
      <w:contextualSpacing/>
    </w:pPr>
  </w:style>
  <w:style w:type="paragraph" w:styleId="Listepuces3">
    <w:name w:val="List Bullet 3"/>
    <w:basedOn w:val="Normal"/>
    <w:uiPriority w:val="99"/>
    <w:unhideWhenUsed/>
    <w:rsid w:val="00326F90"/>
    <w:pPr>
      <w:tabs>
        <w:tab w:val="num" w:pos="720"/>
      </w:tabs>
      <w:spacing w:after="160" w:line="280" w:lineRule="auto"/>
      <w:ind w:left="720" w:hanging="360"/>
      <w:contextualSpacing/>
    </w:pPr>
  </w:style>
  <w:style w:type="paragraph" w:styleId="Listenumros">
    <w:name w:val="List Number"/>
    <w:basedOn w:val="Normal"/>
    <w:uiPriority w:val="99"/>
    <w:unhideWhenUsed/>
    <w:rsid w:val="00326F90"/>
    <w:pPr>
      <w:tabs>
        <w:tab w:val="num" w:pos="720"/>
      </w:tabs>
      <w:spacing w:after="160" w:line="280" w:lineRule="auto"/>
      <w:ind w:left="720" w:hanging="360"/>
      <w:contextualSpacing/>
    </w:pPr>
  </w:style>
  <w:style w:type="paragraph" w:styleId="Listenumros2">
    <w:name w:val="List Number 2"/>
    <w:basedOn w:val="Normal"/>
    <w:uiPriority w:val="99"/>
    <w:unhideWhenUsed/>
    <w:rsid w:val="0029639D"/>
    <w:pPr>
      <w:tabs>
        <w:tab w:val="num" w:pos="720"/>
      </w:tabs>
      <w:spacing w:after="160" w:line="280" w:lineRule="auto"/>
      <w:ind w:left="720" w:hanging="360"/>
      <w:contextualSpacing/>
    </w:pPr>
  </w:style>
  <w:style w:type="paragraph" w:styleId="Listenumros3">
    <w:name w:val="List Number 3"/>
    <w:basedOn w:val="Normal"/>
    <w:uiPriority w:val="99"/>
    <w:unhideWhenUsed/>
    <w:rsid w:val="0029639D"/>
    <w:pPr>
      <w:tabs>
        <w:tab w:val="num" w:pos="720"/>
      </w:tabs>
      <w:spacing w:after="160" w:line="280" w:lineRule="auto"/>
      <w:ind w:left="720" w:hanging="360"/>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ntry">
    <w:name w:val="Source Entry"/>
    <w:pPr>
      <w:spacing w:after="100" w:line="252" w:lineRule="auto"/>
      <w:ind w:left="259" w:hanging="259"/>
    </w:pPr>
    <w:rPr>
      <w:rFonts w:ascii="Calibri" w:eastAsia="Calibri" w:hAnsi="Calibri"/>
      <w:color w:val="30343A"/>
      <w:sz w:val="18"/>
      <w:lang w:val="fr-BE"/>
    </w:rPr>
  </w:style>
  <w:style w:type="paragraph" w:customStyle="1" w:styleId="TOCManual">
    <w:name w:val="TOC Manual"/>
    <w:pPr>
      <w:spacing w:after="80" w:line="252" w:lineRule="auto"/>
    </w:pPr>
    <w:rPr>
      <w:rFonts w:ascii="Calibri" w:eastAsia="Calibri" w:hAnsi="Calibri"/>
      <w:color w:val="0B2545"/>
      <w:sz w:val="21"/>
      <w:lang w:val="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legal-content/EN/TXT/PDF/?uri=CELEX:52025DC0263" TargetMode="External"/><Relationship Id="rId18" Type="http://schemas.openxmlformats.org/officeDocument/2006/relationships/hyperlink" Target="https://www.plan.be/fr/publications/comite-detude-sur-le-vieillissement-rapport-annuel-0" TargetMode="External"/><Relationship Id="rId26" Type="http://schemas.openxmlformats.org/officeDocument/2006/relationships/hyperlink" Target="https://www.debtagency.be/en" TargetMode="External"/><Relationship Id="rId21" Type="http://schemas.openxmlformats.org/officeDocument/2006/relationships/hyperlink" Target="https://igvm-iefh.belgium.be/fr/themes/gender-mainstreaming/legislation"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economy-finance.ec.europa.eu/document/download/9aafb902-d754-4b8e-a202-1848cda5a4bb_en?filename=national_medium-term_fiscal-structural_plan_belgium_en.pdf" TargetMode="External"/><Relationship Id="rId17" Type="http://schemas.openxmlformats.org/officeDocument/2006/relationships/hyperlink" Target="https://www.nato.int/en/what-we-do/introduction-to-nato/defence-expenditures-and-natos-5-commitment" TargetMode="External"/><Relationship Id="rId25" Type="http://schemas.openxmlformats.org/officeDocument/2006/relationships/hyperlink" Target="https://www.plan.be/fr/publications/projection-sur-la-periode-2025-2035-des-depenses" TargetMode="External"/><Relationship Id="rId33" Type="http://schemas.openxmlformats.org/officeDocument/2006/relationships/hyperlink" Target="https://ec.europa.eu/eurostat/statistics-explained/index.php?title=Contingent_liabilities_and_non-performing_loans_-_statistics" TargetMode="External"/><Relationship Id="rId2" Type="http://schemas.openxmlformats.org/officeDocument/2006/relationships/numbering" Target="numbering.xml"/><Relationship Id="rId16" Type="http://schemas.openxmlformats.org/officeDocument/2006/relationships/hyperlink" Target="https://www.nato.int/en/about-us/official-texts-and-resources/official-texts/2025/06/25/the-hague-summit-declaration" TargetMode="External"/><Relationship Id="rId20" Type="http://schemas.openxmlformats.org/officeDocument/2006/relationships/hyperlink" Target="https://statbel.fgov.be/en/news/more-19-million-belgians-are-risk-poverty-or-social-exclusion" TargetMode="External"/><Relationship Id="rId29" Type="http://schemas.openxmlformats.org/officeDocument/2006/relationships/hyperlink" Target="https://finances.belgium.be/fr/statistiques_et_analyses/chiffres-statistiques/budget-recet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ur-lex.europa.eu/legal-content/EN/TXT/PDF/?uri=CELEX:52026DC0201" TargetMode="External"/><Relationship Id="rId24" Type="http://schemas.openxmlformats.org/officeDocument/2006/relationships/hyperlink" Target="https://www.inami.fgov.be/fr/statistiques/statistiques-indemnites/statistiques-sur-les-incapacites-de-travail-decoulant-d-un-burnout-ou-d-une-depression/incapacites-de-travail-en-2025-combien-d-invalidites-en-raison-d-une-depression-ou-d-un-burnout-quel-cout-pour-l-assurance-indemnites" TargetMode="External"/><Relationship Id="rId32" Type="http://schemas.openxmlformats.org/officeDocument/2006/relationships/hyperlink" Target="https://commission.europa.eu/document/download/0625cf3f-01b0-4777-9929-93883480618a_en?filename=BE_swd_2026_24_en.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mf.org/en/news/articles/2026/02/19/pr26057-belgium-imf-executive-board-concludes-2026-article-iv-consultation" TargetMode="External"/><Relationship Id="rId23" Type="http://schemas.openxmlformats.org/officeDocument/2006/relationships/hyperlink" Target="https://www.oecd.org/en/publications/taxing-wages-2026_3a5169ef-en/full-report/progressivity-of-labour-taxation-in-oecd-countries_80dc82f1.html" TargetMode="External"/><Relationship Id="rId28" Type="http://schemas.openxmlformats.org/officeDocument/2006/relationships/hyperlink" Target="https://www.debtagency.be/sites/default/files/content/download/files/review_outlook_2025_2026_0.pdf" TargetMode="External"/><Relationship Id="rId36" Type="http://schemas.openxmlformats.org/officeDocument/2006/relationships/fontTable" Target="fontTable.xml"/><Relationship Id="rId10" Type="http://schemas.openxmlformats.org/officeDocument/2006/relationships/hyperlink" Target="https://news.belgium.be/fr/amendement-cible-du-plan-de-relance-et-dinvestissement" TargetMode="External"/><Relationship Id="rId19" Type="http://schemas.openxmlformats.org/officeDocument/2006/relationships/hyperlink" Target="https://www.plan.be/fr/publications/effets-distributifs-de-la-reforme-des-pensions-du" TargetMode="External"/><Relationship Id="rId31" Type="http://schemas.openxmlformats.org/officeDocument/2006/relationships/hyperlink" Target="https://climat.be/actualites/2026/5e-inventaire-federal-des-subventions-aux-energies-fossiles" TargetMode="External"/><Relationship Id="rId4" Type="http://schemas.openxmlformats.org/officeDocument/2006/relationships/settings" Target="settings.xml"/><Relationship Id="rId9" Type="http://schemas.openxmlformats.org/officeDocument/2006/relationships/hyperlink" Target="https://bosa.belgium.be/sites/default/files/publications/documents/APR%202026%20report%20nl-fr_.pdf" TargetMode="External"/><Relationship Id="rId14" Type="http://schemas.openxmlformats.org/officeDocument/2006/relationships/hyperlink" Target="https://conseilsuperieurdesfinances.be/sites/default/files/downloads/samenwerkingsakkoord_13_december_2013.pdf" TargetMode="External"/><Relationship Id="rId22" Type="http://schemas.openxmlformats.org/officeDocument/2006/relationships/hyperlink" Target="https://statbel.fgov.be/en/themes/work-training/labour-market/employment-and-unemployment" TargetMode="External"/><Relationship Id="rId27" Type="http://schemas.openxmlformats.org/officeDocument/2006/relationships/hyperlink" Target="https://www.debtagency.be/en/datafederalstatefinancingplan" TargetMode="External"/><Relationship Id="rId30" Type="http://schemas.openxmlformats.org/officeDocument/2006/relationships/hyperlink" Target="https://www.ccrek.be/sites/default/files/Docs/179e_c_obs_fed_PartieIII_Synthese.pdf" TargetMode="External"/><Relationship Id="rId35" Type="http://schemas.openxmlformats.org/officeDocument/2006/relationships/footer" Target="footer1.xml"/><Relationship Id="rId8" Type="http://schemas.openxmlformats.org/officeDocument/2006/relationships/hyperlink" Target="https://bosa.belgium.be/fr/news/comite-de-monitoring-actualisation-2026-estimation-2027-et-estimation-pluriannuelle-2028-2031"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7103</Words>
  <Characters>39069</Characters>
  <Application>Microsoft Office Word</Application>
  <DocSecurity>0</DocSecurity>
  <Lines>325</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Angles morts du conclave budgétaire belge de l'automne 2026</dc:title>
  <dc:subject>Rapport complémentaire aux quatre annexes transmises</dc:subject>
  <dc:creator/>
  <cp:keywords>Belgique; budget 2027; conclave; finances publiques; angles morts</cp:keywords>
  <dc:description>Analyse arrêtée au 31 août 2026</dc:description>
  <cp:lastModifiedBy>yannic keepen</cp:lastModifiedBy>
  <cp:revision>2</cp:revision>
  <dcterms:created xsi:type="dcterms:W3CDTF">2013-12-23T23:15:00Z</dcterms:created>
  <dcterms:modified xsi:type="dcterms:W3CDTF">2026-08-31T04:19:00Z</dcterms:modified>
  <cp:category/>
</cp:coreProperties>
</file>