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L'Ingénierie de l'Austérité et ses Limites Constitutionnelles : Analyse de la Trajectoire Budgétaire de la Coalition Arizona et du Principe de Standstill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 L'Architecture Macro-Politique et Budgétaire du Gouvernement De Wever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formation du gouvernement fédéral belge sous la houlette de Bart De Wever, qui a prêté serment le 3 février 2025 après une période de négociations particulièrement longue de 237 jours, marque une rupture fondamentale dans la trajectoire des finances publiques et de la politique sociale de la Belgique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Réunissant une coalition complexe baptisée « Arizona » – composée de la N-VA, du Mouvement Réformateur (MR), des Engagés, de Vooruit et du CD&amp;V – cet exécutif s'est doté d'une feuille de route gouvernementale qualifiée de « bible » en raison de son volume et de sa précision programmatique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 cœur de cet accord réside un programme de consolidation budgétaire d'une ampleur inédite depuis la marche vers la monnaie unique européenne dans les années 1990, programmant un effort de plus de 23 milliards d'euros à l'horizon 2029</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L'approche conceptuelle de la coalition Arizona ne s'apparente nullement à un simple retrait de l'État, concept souvent erronément associé au néolibéralisme. Il s'agit au contraire d'une reconfiguration étatique puissante et interventionniste. L'État déploie son autorité pour restructurer la société autour des impératifs de la concurrence marchande, conditionner drastiquement l'accès aux droits sociaux, et réorienter massivement les deniers publics vers des secteurs régaliens tels que la Défense et la Sécurité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Face à cette vaste opération d'ingénierie budgétaire qui vise à redéfinir le modèle social belge, une résistance multiforme s'est structurée. Sur le plan juridique, cette résistance s'articule autour de l'article 23 de la Constitution belge, lequel consacre les droits économiques, sociaux et culturels. Par le biais du principe de non-régression, ou effet de </w:t>
      </w:r>
      <w:r w:rsidDel="00000000" w:rsidR="00000000" w:rsidRPr="00000000">
        <w:rPr>
          <w:rFonts w:ascii="Google Sans" w:cs="Google Sans" w:eastAsia="Google Sans" w:hAnsi="Google Sans"/>
          <w:i w:val="1"/>
          <w:iCs w:val="1"/>
          <w:color w:val="1f1f1f"/>
          <w:rtl w:val="0"/>
        </w:rPr>
        <w:t xml:space="preserve">standstill</w:t>
      </w:r>
      <w:r w:rsidDel="00000000" w:rsidR="00000000" w:rsidRPr="00000000">
        <w:rPr>
          <w:rFonts w:ascii="Google Sans" w:cs="Google Sans" w:eastAsia="Google Sans" w:hAnsi="Google Sans"/>
          <w:color w:val="1f1f1f"/>
          <w:rtl w:val="0"/>
        </w:rPr>
        <w:t xml:space="preserve">, les acteurs syndicaux et la société civile contestent la légalité de réformes qui démantèlent les protections acquises sans offrir de justification raisonnable et proportionnée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présent rapport d'expertise propose une analyse approfondie et exhaustive de l'affrontement entre les impératifs d'austérité budgétaire avancés par la coalition Arizona et les verrous constitutionnels protégeant l'État social belge. L'investigation déconstruit méthodiquement l'argumentaire gouvernemental, dissèque les données chiffrées de l'effort budgétaire, évalue les externalités socio-économiques des réformes engagées, et analyse les fondements théoriques et jurisprudentiels des recours introduits devant la Cour constitutionnelle.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L'Argumentaire de la Rigueur : Légitimation Politique et Contraintes Européennes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 Dramatisation des Finances Publiques et l'Injonction Européenne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légitimer une politique de contraction budgétaire d'une telle sévérité, l'accord de gouvernement déploie une rhétorique classique de dramatisation de la dette et du déficit, intrinsèque aux phases de restructuration néolibérale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 Premier ministre Bart De Wever a publiquement affirmé que, sans une intervention immédiate et radicale, la Belgique se dirigerait inexorablement vers « le pire budget de tous les pays industrialisés », justifiant ainsi des mesures présentées comme douloureuses mais salvatrices pour les générations futures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 argumentaire s'ancre dans un cadre institutionnel supranational coercitif. En juin 2024, la Commission européenne a formellement ouvert une procédure pour déficit excessif à l'encontre de la Belgique, la contraignant à ramener son déficit public (qui atteignait 4,6 % en 2024 et menaçait de dépasser les 5 % en 2025) sous la barre fatidique des 3 % du PIB</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Selon les nouvelles règles de gouvernance économique européenne adoptées en 2024, la Belgique s'est vu imposer une trajectoire de référence exigeante. La théorie économique sous-jacente à l'analyse de viabilité de la dette (Debt Sustainability Analysis - DSA) menée par les instances européennes postule que des déficits structurels excessifs génèrent un effet d'éviction sur les marchés de capitaux, augmentent les primes de risque, et entravent la croissance potentielle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Pour bénéficier d'un étalement de l'ajustement budgétaire sur sept ans au lieu de quatre, le gouvernement De Wever s'est engagé à mettre en œuvre un catalogue de réformes structurelles, justifiant ainsi l'accélération des transformations du marché du travail et du système des pensions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La Compétitivité et le Mythe de l'Ingénierie Fiscale Neutre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pilier fondamental de l'argumentaire de l'Arizona repose sur l'impératif de restaurer la compétitivité des entreprises belges tout en élargissant artificiellement l'écart entre les revenus du travail et les allocations sociales. La coalition soutient que la charge fiscale pesant sur le travail en Belgique est la plus élevée au monde, constituant un frein absolu à la mise à l'emploi et nécessitant d'urgence des mesures pour garantir un écart de 500 euros mensuels entre une personne active et une personne inactive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Plutôt que d'encourager la concertation sociale pour une augmentation généralisée des salaires bruts – démarche rejetée au nom de la sauvegarde de la compétitivité internationale – le gouvernement déploie une ingénierie fiscale complexe. La réforme de l'impôt des personnes physiques (IPP) relève la quotité exemptée de 10 910 euros à 14 200 euros (en valeur 2025) et renforce le bonus à l'emploi, générant un allégement fiscal d'environ 69 euros par mois pour les travailleurs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Ce choix idéologique de réduire la pression fiscale sur le travail, sans pour autant transférer massivement cette charge vers les revenus du capital, creuse intrinsèquement les recettes de l'État. De ce fait, l'argumentaire lie intimement la réforme fiscale à la nécessité de tailler dans les dépenses sociales pour compenser les pertes de recettes, créant un cycle auto-entretenu de consolidation budgétaire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Le Réarmement Régalien comme Exception à l'Austérité</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doctrine budgétaire du gouvernement Arizona révèle un paradoxe fondamental : l'austérité n'est pas appliquée de manière uniforme à l'appareil d'État. Si la rhétorique des caisses vides justifie la diminution des prestations sociales, elle s'efface face aux exigences des fonctions régaliennes. L'accord de gouvernement sanctuarise une augmentation spectaculaire du budget de la Défense, visant à atteindre la norme de 2 % du PIB exigée par l'OTAN d'ici 2029, voire 2034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refinancement militaire représente la seule ligne de dépense publique connaissant une expansion ciblée et massive. À court terme, il implique l'injection d'un milliard d'euros supplémentaires, et sur le long terme, les prévisions de l'opposition estiment l'engagement cumulé à plus de 21,4 milliards d'euros pour le renouvellement des équipements, des blindés et l'augmentation des effectifs militaires à 29 100 collaborateurs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Pour financer une partie de cet effort, l'exécutif a acté la création d'un "Fonds de défense" qui sera alimenté par la cession de participations publiques considérées comme non stratégiques, illustrant une financiarisation et une privatisation de l'action publique au service de l'appareil militaire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Les enquêtes d'opinion indépendantes montrent d'ailleurs un décalage avec la volonté populaire : si une minorité soutient l'augmentation des dépenses militaires, près de sept Belges sur dix refusent catégoriquement que ce réarmement se fasse au détriment des budgets de la protection sociale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Radioscopie Chiffrée de la Consolidation Budgétaire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du plan d'assainissement de la coalition Arizona vise un effort total chiffré à 23,3 milliards d'euros à l'horizon 2029. Ce montant faramineux se décompose en 18,1 milliards d'euros de mesures destinées à éponger le déficit public structurel pour satisfaire aux exigences de la Commission européenne, et 5,2 milliards d'euros d'économies additionnelles requises pour financer les nouvelles politiques discrétionnaires du gouvernement, incluant la réforme fiscale et le réarmement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L'Asymétrie de la Répartition de l'Effort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doctrine politique de l'exécutif impose que l'effort budgétaire se réalise sans augmenter la pression fiscale globale, définie comme le ratio des recettes par rapport au PIB. En conséquence, les recettes nouvelles sont strictement plafonnées à 11 % du plan total, faisant reposer l'immense majorité de l'effort sur la réduction des dépenses publiques et de la protection sociale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 tableau ci-dessous détaille la ventilation officielle des leviers mobilisés par le gouvernement.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Levier de Consolidation Budgétaire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Montant Ciblé (Milliards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 de l'Effort Total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Réformes structurelles (marché du travail, pensions, sécurité sociale)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Effet retour prévisionnel (lié à la hausse du taux d'emploi)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33,8 %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Rationalisation de l'administration publique fédérale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Contribution sur les patrimoines et capitaux ("épaules les plus larges")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Réduction des budgets liés à la politique migratoire et à l'asile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Diminution linéaire des subsides publics divers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Intensification de la lutte contre la fraude fiscale et sociale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Coupes directes dans les soins de santé (INAMI)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 et mesures résiduelles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Simplification institutionnelle et fusions de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 Total Projeté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100 %</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des données : Analyse consolidée de l'accord de coalition fédérale 2025-2029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Le Mirage Macroéconomique de l'Effet Retour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minutieuse de ce tableau budgétaire révèle la fragilité structurelle de la trajectoire gouvernementale, dont plus du tiers (7,9 milliards d'euros) repose sur un postulat purement prévisionnel : l'effet retour ou </w:t>
      </w:r>
      <w:r w:rsidDel="00000000" w:rsidR="00000000" w:rsidRPr="00000000">
        <w:rPr>
          <w:rFonts w:ascii="Google Sans" w:cs="Google Sans" w:eastAsia="Google Sans" w:hAnsi="Google Sans"/>
          <w:i w:val="1"/>
          <w:iCs w:val="1"/>
          <w:color w:val="1f1f1f"/>
          <w:rtl w:val="0"/>
        </w:rPr>
        <w:t xml:space="preserve">terugverdieneffect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 modèle macroéconomique du gouvernement postule que les politiques coercitives sur le marché du travail (sanctions, limitation du chômage) et les baisses d'impôts généreront un afflux massif de nouveaux travailleurs, induisant mécaniquement une hausse des recettes fiscales et une diminution des allocations versées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 la littérature académique et les analyses empiriques du Bureau fédéral du Plan et d'instituts indépendants pointent l'irréalisme de ce chiffrage, qui table sur un taux de récupération approchant les 50 %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À titre de comparaison historique, le gouvernement de Charles Michel en 2014 avait anticipé des effets retours massifs pour son propre </w:t>
      </w:r>
      <w:r w:rsidDel="00000000" w:rsidR="00000000" w:rsidRPr="00000000">
        <w:rPr>
          <w:rFonts w:ascii="Google Sans" w:cs="Google Sans" w:eastAsia="Google Sans" w:hAnsi="Google Sans"/>
          <w:i w:val="1"/>
          <w:iCs w:val="1"/>
          <w:color w:val="1f1f1f"/>
          <w:rtl w:val="0"/>
        </w:rPr>
        <w:t xml:space="preserve">tax shift</w:t>
      </w:r>
      <w:r w:rsidDel="00000000" w:rsidR="00000000" w:rsidRPr="00000000">
        <w:rPr>
          <w:rFonts w:ascii="Google Sans" w:cs="Google Sans" w:eastAsia="Google Sans" w:hAnsi="Google Sans"/>
          <w:color w:val="1f1f1f"/>
          <w:rtl w:val="0"/>
        </w:rPr>
        <w:t xml:space="preserve"> de 8 milliards d'euros. Les analyses rétrospectives de la KU Leuven ont démontré que le rendement réel de cet effet retour s'est situé entre 4 % et 15 % au maximum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Transposée au plan Arizona, une performance historique de 15 % ne générerait que 2 milliards d'euros de rentrées supplémentaires, creusant </w:t>
      </w:r>
      <w:r w:rsidDel="00000000" w:rsidR="00000000" w:rsidRPr="00000000">
        <w:rPr>
          <w:rFonts w:ascii="Google Sans" w:cs="Google Sans" w:eastAsia="Google Sans" w:hAnsi="Google Sans"/>
          <w:i w:val="1"/>
          <w:iCs w:val="1"/>
          <w:color w:val="1f1f1f"/>
          <w:rtl w:val="0"/>
        </w:rPr>
        <w:t xml:space="preserve">de facto</w:t>
      </w:r>
      <w:r w:rsidDel="00000000" w:rsidR="00000000" w:rsidRPr="00000000">
        <w:rPr>
          <w:rFonts w:ascii="Google Sans" w:cs="Google Sans" w:eastAsia="Google Sans" w:hAnsi="Google Sans"/>
          <w:color w:val="1f1f1f"/>
          <w:rtl w:val="0"/>
        </w:rPr>
        <w:t xml:space="preserve"> un trou budgétaire caché de près de 6 milliards d'euros qui nécessitera inévitablement des vagues d'austérité additionnelles au cours de la législature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surcroît, l'observation des réformes similaires en Europe, à l'instar des réformes Hartz en Allemagne, démontre que la coercition vers l'emploi aboutit fréquemment à la précarisation et à la division du temps de travail existant. Bien que le taux d'emploi allemand soit passé de 70 % à près de 80 %, le volume total d'heures prestées dans l'économie est resté virtuellement inchangé, l'emploi à temps plein ayant été substitué par des temps partiels et des emplois précaires peu générateurs de fiscalité</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L'Épargne du Capital et l'Ignorance des Alternatives Structurelles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faiblesse des recettes nouvelles dans le budget Arizona illustre un choix politique délibéré de protéger l'accumulation du capital. La mesure emblématique exigée par la composante de centre-gauche de la coalition, à savoir la taxation des plus-values mobilières (les "épaules les plus larges"), a été vidée de sa substance lors des négociations. L'accord prévoit un taux d'imposition de 10 %, mais exclut les plus-values historiques, autorise de vastes déductions annuelles, et instaure une exonération totale pour les portefeuilles inférieurs à un million d'euros ou détenus via des sociétés holdings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rendement réel de cette mesure est plafonné à 500 millions d'euros, une somme dérisoire face aux 23 milliards d'efforts requis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Pourtant, le Bureau fédéral du Plan et des instituts de recherche comme le groupe Minerva ont documenté l'existence d'alternatives viables. Les déficits structurels actuels sont en grande partie l'héritage direct des réductions de cotisations patronales non conditionnées opérées lors des législatures précédentes (représentant un manque à gagner de près de 8 milliards d'euros par 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L'architecture fiscale belge demeure hautement régressive aux extrêmes : le citoyen moyen subit un taux d'imposition effectif de 42 % sur ses revenus, tandis que le 1 % des patrimoines les plus élevés ne s'acquitte que d'un taux effectif de 24 %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Un modèle budgétaire alternatif modélisé par des économistes démontre qu'une globalisation des revenus du capital et du travail, couplée à un impôt progressif sur les hauts patrimoines (1 % à 3 %), pourrait dégager plus de 40 milliards d'euros d'ici 2029 sans aucune détérioration du niveau de vie de la majorité de la population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 refus d'explorer ces avenues souligne le caractère dogmatique de la rigueur appliquée exclusivement aux dépenses sociales.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La Machinerie du Démantèlement : Impacts et Externalités Socio-Économiques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8,2 milliards d'euros de réformes structurelles, représentant la plus large part de la consolidation discrétionnaire, s'attaquent frontalement à l'architecture de la sécurité sociale. Le gouvernement déploie une logique de conditionnalité punitive, altérant les droits fondamentaux des travailleurs, des malades et des chômeurs, avec de profondes externalités négatives.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L'Éradication du Chômage Illimité et le Basculement vers la Précarité</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réforme la plus spectaculaire concerne le marché du travail, avec la suppression programmée du modèle historique belge d'assurance chômage non limitée dans le temps. Le gouvernement impose une limitation stricte des allocations, structurée autour d'une période de base de douze mois, pouvant être prolongée d'un maximum de douze mois supplémentaires sous des conditions extrêmement strictes liées à l'historique de carrière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projections officielles anticipent l'exclusion pure et simple d'environ 184 000 demandeurs d'emploi du système fédéral d'ici juillet 2027</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Cette politique de vases communicants ne résout nullement la précarité mais la déplace vers l'échelon local. L'immense majorité des personnes exclues n'ayant pas la capacité d'intégrer un marché du travail atone, elles seront contraintes de solliciter le Revenu d'Intégration Sociale (RIS) auprès des Centres Publics d'Action Sociale (CPAS). La Fédération des CPAS wallons, alarmée, estime qu'entre un tiers et deux tiers des exclus demanderont l'aide sociale, provoquant un surcoût systémique estimé entre 493 et 631 millions d'euros pour la seule région wallonne sur la durée de la législature, menaçant les finances communales de faillite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Simultanément, le montant de l'allocation pour les personnes parvenant à prolonger leur droit au-delà de la première année subira une chute drastique. Remplaçant le pourcentage du salaire perdu, l'allocation deviendra forfaitaire. Pour un travailleur cohabitant, ce forfait s'effondrera aux alentours de 745 euros, un montant délibérément fixé en deçà du seuil de pauvreté européen, organisant méthodiquement la vulnérabilité économique des ménages concernés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La Réforme des Pensions : Malus Asymétrique et Pénalisation Genrée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système des retraites subit une restructuration visant à contraindre le maintien dans l'emploi des travailleurs vieillissants, par le biais d'un mécanisme coercitif : le "malus pension". Ce système, aboli en 1991 pour son iniquité, est réintroduit. Il impose une pénalité financière permanente et irréversible de 2 % à 5 % par année d'anticipation pour toute personne quittant le marché du travail avant l'âge légal fixé à 67 ans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échapper à cette amputation de leurs droits, les travailleurs doivent démontrer l'existence d'une « carrière modèle », définie selon trois critères restrictifs : justifier de quarante-deux années de carrière avec au moins 156 jours de prestations par an ; ou de trente-cinq années de travail effectif excluant une majorité des périodes assimilées ; ou accumuler un total de 7 020 jours de travail effectif tout au long de la vie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L'exigence de 156 jours prestés par an, contre 104 précédemment, modifie rétroactivement les règles du jeu pour des générations entières de travailleurs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L'impact de ce malus est violemment asymétrique et frappe de manière disproportionnée les femmes. En Belgique, la répartition du travail de soin non rémunéré contraint majoritairement les femmes à recourir au travail à temps partiel et à interrompre leur carrière (congés de maternité, soins aux proches)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Ces périodes, auparavant protectrices, ne suffiront plus à remplir les conditions draconiennes de la carrière modèle. Les analyses statistiques révèlent que 37 % des femmes sollicitant une pension anticipée subiront le malus de plein fouet, contre seulement 13 % des hommes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Avec une pension brute moyenne s'élevant à 1 777 euros pour ces profils, le malus frappera directement les pensions minimums garanties, plongeant des dizaines de milliers de retraitées sous le seuil de pauvreté absolu</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La Santé Publique sous Contrainte et l'Activation Coercitive des Malades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L'accord de l'Arizona refuse d'intégrer la santé dans une vision préventive globale et la réduit à une simple variable d'ajustement budgétaire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Le financement structurel des soins de santé subit une décélération drastique. La norme de croissance, qui détermine l'augmentation annuelle du budget alloué à l'INAMI au-delà de l'inflation, est abaissée à 2 % pour les années 2026 et 2027, s'établissant à une moyenne de 2,4 % sur l'ensemble de la législature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décision, en contradiction totale avec les évaluations du Bureau fédéral du Plan qui estiment les besoins réels à au moins 3,2 % voire 3,7 % pour faire face au vieillissement de la population et à l'innovation thérapeutique, génère mécaniquement un déficit de 2 milliards d'euros dans la sécurité sociale d'ici 2029</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Les conséquences cliniques se traduiront par une restriction de l'accès aux soins, le report de la charge financière sur les patients, et une pression insoutenable sur les infrastructures hospitalières et le personnel soignant déjà en pénurie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Parallèlement, le gouvernement entreprend d'activer coercitivement le vivier des malades de longue durée, dont le nombre dépasse les 500 000 individus. L'objectif budgétaire est de contraindre le retour à l'emploi de 100 000 malades pour extraire près de 2 milliards d'euros d'économies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Pour ce faire, les sanctions pesant sur les malades refusant de s'inscrire dans un parcours de réintégration, ou jugés inaptes à l'emploi, seront quadruplées, atteignant une retenue de 10 % sur leurs indemnités d'incapacité</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Le Conseil National du Travail a exprimé un avis unanimement défavorable, arguant de l'absence totale de preuves scientifiques démontrant que la sanction financière et la coercition favorisent la guérison ou la réintégration pérenne des travailleurs épuisés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La Remise en Cause Silencieuse du Pouvoir d'Achat : Le Saut d'Index Partiel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Afin de satisfaire les employeurs, le gouvernement s'attaque de nouveau au mécanisme séculaire de l'indexation automatique des salaires. Contrairement à la suppression totale opérée en 2015, la coalition Arizona introduit un « double saut d'index partiel », applicable à deux reprises durant la mandature (vraisemblablement fin 2026 et en 2028)</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mécanisme ampute de 2 % l'indexation sur la portion des salaires mensuels dépassant 4 000 euros brut, et sur la portion des allocations sociales excédant 2 000 euros brut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Bien que politiquement vendu comme un effort de solidarité ciblant les hauts revenus, le seuil de 4 000 euros brut (qui correspond à environ 2 600 euros net pour un isolé) englobe en réalité une immense part de la classe moyenne, y compris des fonctionnaires, des enseignants, et des ouvriers qualifiés du secteur technologique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Cette spoliation est permanente : la perte de pouvoir d'achat n'est jamais rattrapée au cours de la carrière, et elle diminue définitivement l'assiette sur laquelle sera ultérieurement calculée la pension de retraite du travailleur, constituant un transfert net de richesse du travail vers le capital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L'Asphyxie Démocratique et la Neutralisation des Contre-Pouvoirs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démantèlement socio-économique s'accompagne d'une stratégie de verrouillage démocratique visant à neutraliser les corps intermédiaires. Les mutuelles de santé, historiquement garantes de l'accès aux soins, se voient imposer une interdiction stricte de participer à des activités qualifiées de "propagande politique", limitant de fait leur capacité de plaidoyer et d'opposition aux réformes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L'exemple le plus prégnant de cette stratégie d'assèchement émane des entités fédérées alliées. Le gouvernement de la Fédération Wallonie-Bruxelles a imposé un moratoire strict sur le financement de l'éducation permanente, secteur associatif fondamental dans l'émancipation des publics précaires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décret-programme de décembre 2025 gèle pour plusieurs années la reconnaissance et le financement de nouvelles associations, sous couvert d'une économie marginale de 12,9 millions d'euros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 moratoire instaure un paradoxe cynique : alors que les lois sociales excluent de plus en plus de citoyens précaires des filets de sécurité de l'État, l'État neutralise simultanément les associations qui ont pour vocation de les accompagner et d'organiser leur représentation politique, organisant sciemment la vulnérabilité des plus faibles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Le Champ de Bataille Constitutionnel : Le Principe de Standstill et l'Article 23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au rouleau compresseur législatif, la contestation sociale se métamorphose en une guérilla juridique extrêmement organisée. L'arme principale des syndicats et de la société civile réside dans l'exploitation minutieuse de l'article 23 de la Constitution belge.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Genèse et Anatomie Théorique du Standstill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Introduit dans la norme fondamentale lors de la révision constitutionnelle de 1994, l'article 23 consacre solennellement le droit de chaque individu à « mener une vie conforme à la dignité humaine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 parapluie constitutionnel couvre les droits économiques, sociaux et culturels, incluant le droit au travail, à la sécurité sociale, à un logement décent et à un environnement sain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Bien que cet article ne confère pas un droit subjectif direct permettant à un justiciable d'exiger </w:t>
      </w:r>
      <w:r w:rsidDel="00000000" w:rsidR="00000000" w:rsidRPr="00000000">
        <w:rPr>
          <w:rFonts w:ascii="Google Sans" w:cs="Google Sans" w:eastAsia="Google Sans" w:hAnsi="Google Sans"/>
          <w:i w:val="1"/>
          <w:iCs w:val="1"/>
          <w:color w:val="1f1f1f"/>
          <w:rtl w:val="0"/>
        </w:rPr>
        <w:t xml:space="preserve">hic et nunc</w:t>
      </w:r>
      <w:r w:rsidDel="00000000" w:rsidR="00000000" w:rsidRPr="00000000">
        <w:rPr>
          <w:rFonts w:ascii="Google Sans" w:cs="Google Sans" w:eastAsia="Google Sans" w:hAnsi="Google Sans"/>
          <w:color w:val="1f1f1f"/>
          <w:rtl w:val="0"/>
        </w:rPr>
        <w:t xml:space="preserve"> une prestation matérielle d'un juge, il impose une obligation positive d'action aux législateurs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cette obligation positive découle logiquement un principe négatif de non-régression, communément appelé principe de </w:t>
      </w:r>
      <w:r w:rsidDel="00000000" w:rsidR="00000000" w:rsidRPr="00000000">
        <w:rPr>
          <w:rFonts w:ascii="Google Sans" w:cs="Google Sans" w:eastAsia="Google Sans" w:hAnsi="Google Sans"/>
          <w:i w:val="1"/>
          <w:iCs w:val="1"/>
          <w:color w:val="1f1f1f"/>
          <w:rtl w:val="0"/>
        </w:rPr>
        <w:t xml:space="preserve">standstill</w:t>
      </w:r>
      <w:r w:rsidDel="00000000" w:rsidR="00000000" w:rsidRPr="00000000">
        <w:rPr>
          <w:rFonts w:ascii="Google Sans" w:cs="Google Sans" w:eastAsia="Google Sans" w:hAnsi="Google Sans"/>
          <w:color w:val="1f1f1f"/>
          <w:rtl w:val="0"/>
        </w:rPr>
        <w:t xml:space="preserve"> ou effet cliquet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 principe interdit aux pouvoirs publics de réduire le degré de protection offert par la législation applicable, à moins de disposer d'une justification impérieuse. Sous l'impulsion de la doctrine, et notamment des travaux des juristes Isabelle Hachez et Daniel Dumont, la jurisprudence a consacré la théorie du « point mobile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Cette théorie stipule que le référentiel de protection ne se fige pas en 1994, date de l'adoption de l'article 23, mais correspond au niveau de protection acquis </w:t>
      </w:r>
      <w:r w:rsidDel="00000000" w:rsidR="00000000" w:rsidRPr="00000000">
        <w:rPr>
          <w:rFonts w:ascii="Google Sans" w:cs="Google Sans" w:eastAsia="Google Sans" w:hAnsi="Google Sans"/>
          <w:i w:val="1"/>
          <w:iCs w:val="1"/>
          <w:color w:val="1f1f1f"/>
          <w:rtl w:val="0"/>
        </w:rPr>
        <w:t xml:space="preserve">juste avant</w:t>
      </w:r>
      <w:r w:rsidDel="00000000" w:rsidR="00000000" w:rsidRPr="00000000">
        <w:rPr>
          <w:rFonts w:ascii="Google Sans" w:cs="Google Sans" w:eastAsia="Google Sans" w:hAnsi="Google Sans"/>
          <w:color w:val="1f1f1f"/>
          <w:rtl w:val="0"/>
        </w:rPr>
        <w:t xml:space="preserve"> l'adoption de la mesure régressive contestée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seuil de constitutionnalité évolue donc avec les progrès sociaux, rendant toute destruction des droits particulièrement difficile à justifier sur le plan juridique.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L'Arrêt 69/2023 et le Triple Test de Proportionnalité</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L'État n'étant pas contraint à une paralysie budgétaire totale, des reculs sociaux demeurent possibles, mais ils sont soumis à un contrôle juridictionnel d'une extrême rigueur. L'arrêt fondamental n° 69/2023 rendu le 27 avril 2023 par la Cour constitutionnelle a redessiné la grille d'évaluation du </w:t>
      </w:r>
      <w:r w:rsidDel="00000000" w:rsidR="00000000" w:rsidRPr="00000000">
        <w:rPr>
          <w:rFonts w:ascii="Google Sans" w:cs="Google Sans" w:eastAsia="Google Sans" w:hAnsi="Google Sans"/>
          <w:i w:val="1"/>
          <w:iCs w:val="1"/>
          <w:color w:val="1f1f1f"/>
          <w:rtl w:val="0"/>
        </w:rPr>
        <w:t xml:space="preserve">standstill</w:t>
      </w:r>
      <w:r w:rsidDel="00000000" w:rsidR="00000000" w:rsidRPr="00000000">
        <w:rPr>
          <w:rFonts w:ascii="Google Sans" w:cs="Google Sans" w:eastAsia="Google Sans" w:hAnsi="Google Sans"/>
          <w:color w:val="1f1f1f"/>
          <w:rtl w:val="0"/>
        </w:rPr>
        <w:t xml:space="preserve"> en imposant au législateur un triple test de proportionnalité pour valider une mesure constituant un recul significatif</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être déclarée conforme à la Constitution, la mesure d'austérité doit cumulativement satisfaire aux trois critères suivants :</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 test de Légitimité :</w:t>
      </w:r>
      <w:r w:rsidDel="00000000" w:rsidR="00000000" w:rsidRPr="00000000">
        <w:rPr>
          <w:rFonts w:ascii="Google Sans" w:cs="Google Sans" w:eastAsia="Google Sans" w:hAnsi="Google Sans"/>
          <w:color w:val="1f1f1f"/>
          <w:rtl w:val="0"/>
        </w:rPr>
        <w:t xml:space="preserve"> La mesure doit poursuivre un objectif d'intérêt général avéré. La jurisprudence reconnaît que l'assainissement des finances publiques et la garantie de la viabilité à long terme de la sécurité sociale constituent des motifs légitimes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 test de Nécessité :</w:t>
      </w:r>
      <w:r w:rsidDel="00000000" w:rsidR="00000000" w:rsidRPr="00000000">
        <w:rPr>
          <w:rFonts w:ascii="Google Sans" w:cs="Google Sans" w:eastAsia="Google Sans" w:hAnsi="Google Sans"/>
          <w:color w:val="1f1f1f"/>
          <w:rtl w:val="0"/>
        </w:rPr>
        <w:t xml:space="preserve"> La régression doit être strictement indispensable pour atteindre l'objectif fixé. Si une alternative moins destructrice pour les droits sociaux existe (par exemple, augmenter des recettes fiscales ciblées plutôt que de supprimer une aide vitale), la mesure échoue à ce stade et devient inconstitutionnelle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 test de Proportionnalité </w:t>
      </w:r>
      <w:r w:rsidDel="00000000" w:rsidR="00000000" w:rsidRPr="00000000">
        <w:rPr>
          <w:rFonts w:ascii="Google Sans" w:cs="Google Sans" w:eastAsia="Google Sans" w:hAnsi="Google Sans"/>
          <w:b w:val="1"/>
          <w:bCs w:val="1"/>
          <w:i w:val="1"/>
          <w:iCs w:val="1"/>
          <w:color w:val="1f1f1f"/>
          <w:rtl w:val="0"/>
        </w:rPr>
        <w:t xml:space="preserve">stricto sensu</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color w:val="1f1f1f"/>
          <w:rtl w:val="0"/>
        </w:rPr>
        <w:t xml:space="preserve"> La Cour opère une balance des intérêts. Les inconvénients et les souffrances imposés aux populations précarisées ne doivent pas être disproportionnés ni excessifs au regard du gain financier réalisé par l'État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Le Précédent Jurisprudentiel de la LEZ : La Force de l'Effet Cliquet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vigueur contemporaine du principe de </w:t>
      </w:r>
      <w:r w:rsidDel="00000000" w:rsidR="00000000" w:rsidRPr="00000000">
        <w:rPr>
          <w:rFonts w:ascii="Google Sans" w:cs="Google Sans" w:eastAsia="Google Sans" w:hAnsi="Google Sans"/>
          <w:i w:val="1"/>
          <w:iCs w:val="1"/>
          <w:color w:val="1f1f1f"/>
          <w:rtl w:val="0"/>
        </w:rPr>
        <w:t xml:space="preserve">standstill</w:t>
      </w:r>
      <w:r w:rsidDel="00000000" w:rsidR="00000000" w:rsidRPr="00000000">
        <w:rPr>
          <w:rFonts w:ascii="Google Sans" w:cs="Google Sans" w:eastAsia="Google Sans" w:hAnsi="Google Sans"/>
          <w:color w:val="1f1f1f"/>
          <w:rtl w:val="0"/>
        </w:rPr>
        <w:t xml:space="preserve"> a été brillamment illustrée par un événement récent. Par son arrêt n° 115/2025 du 11 septembre 2025, la Cour constitutionnelle a ordonné la suspension immédiate d'une ordonnance de la Région de Bruxelles-Capitale qui visait à reporter de deux ans (de 2025 à 2027) le durcissement des normes d'accès à la Zone de Basses Émissions (LEZ)</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Saisie par des citoyens et des associations environnementales, la Cour a estimé que ce report administratif constituait un recul significatif du droit à un environnement sain, garanti par l'article 23, exposant la population à un préjudice grave, irréparable et scientifiquement documenté en matière de santé publique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La justification économique avancée par le législateur régional (permettre aux usagers modestes de s'adapter financièrement à la transition) n'a pas résisté au contrôle de proportionnalité, l'autorité n'ayant prévu aucune mesure compensatoire pour protéger la qualité de l'air durant cette période de latence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Ce précédent résonne comme un sérieux avertissement pour le gouvernement fédéral : la seule invocation d'urgences économiques ou budgétaires ne saurait exonérer l'État de ses obligations constitutionnelles de maintien de la protection sociale et environnementale.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L'Offensive Juridique : Cartographie des Recours contre l'Arizona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L'appareil législatif du gouvernement De Wever subit un pilonnage procédural systématique. Les syndicats (FGTB, CSC), soutenus par de puissantes coalitions de la société civile (Ligue des droits humains, BAPN, Réseau wallon de lutte contre la pauvreté), ont enclenché une vague de recours en annulation ciblant les piliers de l'accord Arizona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Le Front du Chômage : La Violation des Droits Humains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loi-programme entérinant la limitation des allocations de chômage à vingt-quatre mois fait l'objet d'un recours collectif d'envergure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Ce recours s'appuie structurellement sur l'avis dévastateur émis en juillet 2025 par l'Institut Fédéral pour la Protection et la Promotion des Droits Humains (IFDH)</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L'IFDH, organe indépendant, a fustigé le déficit démocratique de la réforme, imposée via une procédure d'urgence qui a court-circuité la concertation sociale et réduit le délai d'examen du Conseil d'État de soixante à trente jours, empêchant une analyse minutieuse des risques anticonstitutionnels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Sur le fond, l'Institut établit que la loi ne survit pas au test de proportionnalité inhérent au </w:t>
      </w:r>
      <w:r w:rsidDel="00000000" w:rsidR="00000000" w:rsidRPr="00000000">
        <w:rPr>
          <w:rFonts w:ascii="Google Sans" w:cs="Google Sans" w:eastAsia="Google Sans" w:hAnsi="Google Sans"/>
          <w:i w:val="1"/>
          <w:iCs w:val="1"/>
          <w:color w:val="1f1f1f"/>
          <w:rtl w:val="0"/>
        </w:rPr>
        <w:t xml:space="preserve">standstill</w:t>
      </w:r>
      <w:r w:rsidDel="00000000" w:rsidR="00000000" w:rsidRPr="00000000">
        <w:rPr>
          <w:rFonts w:ascii="Google Sans" w:cs="Google Sans" w:eastAsia="Google Sans" w:hAnsi="Google Sans"/>
          <w:color w:val="1f1f1f"/>
          <w:rtl w:val="0"/>
        </w:rPr>
        <w:t xml:space="preserve">. L'exclusion du chômage opère de manière purement temporelle et aveugle : la radiation intervient sans qu'il soit vérifié si le demandeur d'emploi a réellement accès à un poste correspondant à son profil dans son bassin de vie. Cette automaticité génère une régression des droits manifeste et excessive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plus, l'IFDH met en exergue des violations flagrantes des articles 10 et 11 de la Constitution (principes d'égalité et de non-discrimination) en pointant le ciblage arbitraire des travailleurs de plus de 55 ans, pour lesquels les périodes de chômage ne sont plus assimilées dans le calcul de leur parcours professionnel, précipitant leur précarité</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Bien que le Tribunal du travail ne puisse annuler directement la loi, les recours individuels se multiplient pour soulever des questions préjudicielles et forcer la Cour constitutionnelle à statuer sur ce démantèlement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Le "Procès Pension" et l'Avis Cinglant du Conseil d'État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refonte des retraites, et singulièrement l'implémentation du malus pension, constitue le second front juridique majeur. Baptisée le "Procès pension" par le PTB qui coordonne une action en justice participative avec les syndicats, la procédure en annulation devant la Cour constitutionnelle, programmée pour l'automne 2026, s'appuie sur une invalidation préliminaire rédigée par la plus haute juridiction administrative du pays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Lors de l'examen de l'avant-projet de loi, la section de législation du Conseil d'État a sévèrement recadré le ministre compétent. L'organe a pointé la fragilité juridique extrême d'un mécanisme qui impose des conditions de carrière strictes (156 jours par an) avec un effet rétroactif, sanctionnant les citoyens pour des choix professionnels légaux opérés des décennies auparavant, violant ainsi le principe fondamental de confiance légitime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Plus grave encore, le Conseil d'État, corroboré par les analyses syndicales, soupçonne une discrimination indirecte patente fondée sur le sexe. Le système pénalisant structurellement le travail à temps partiel et les carrières hachées par la maternité, il frappe les femmes de manière disproportionnée. Cette iniquité, si elle est confirmée par la Cour constitutionnelle, pourrait entraîner l'annulation totale de la réforme du malus, à l'image des corrections déjà imposées en février 2026 sur les assimilations des périodes militaires et des emplois de fin de carrière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Le Front Associatif et Démocratique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L'ingénierie austéritaire est également combattue sur ses versants annexes. Le double saut d'index partiel, perçu comme une spoliation unilatérale et permanente du salaire des classes moyennes, est contesté devant les instances pour violation de l'autonomie des partenaires sociaux et de la liberté de négociation collective garantie par l'Organisation Internationale du Travail (OIT)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Enfin, la sphère associative réplique violemment au moratoire sur l'éducation permanente imposé par la composante francophone de la majorité gouvernementale. Sous l'égide de la Ligue des Droits Humains, plusieurs recours en annulation (rôles 8629, 8630, 8632) sont pendants devant la Cour constitutionnelle, avec des arrêts attendus pour fin 2026 ou début 2027</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S'inspirant de la doctrine du point mobile et des tests de l'arrêt 69/2023, les requérants démontrent que l'économie marginale espérée par la FWB est outrancièrement disproportionnée au regard de l'anéantissement de la liberté d'association et du droit à l'expression culturelle des populations les plus vulnérabilisées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Conseil d'État lui-même a qualifié d'« insuffisante » la justification budgétaire avancée pour réduire l'offre culturelle sans garantir de couverture territoriale équivalente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L'ambitieux projet gouvernemental de la coalition Arizona s'articule autour d'une équation macroéconomique extrêmement risquée : satisfaire aux exigences drastiques de la Commission européenne, relancer la compétitivité par la déflation fiscale, et financer le renouveau d'un État régalien et militaire, le tout sans altérer les recettes issues du capital. L'unique variable d'ajustement de cette équation réside dans la contraction brutale et sans précédent de l'État social belge.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Avec un plan de consolidation de 23,3 milliards d'euros qui s'appuie quasi exclusivement sur des coupes sombres dans la sécurité sociale (chômage, maladie, santé) et sur l'espoir hypothétique d'un retour massif à l'emploi par la coercition, le gouvernement De Wever déplace la précarité vers les pouvoirs locaux et organise l'appauvrissement structurel de la classe laborieuse, en particulier des femmes et des travailleurs âgés.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cette ingénierie de l'austérité heurte de plein fouet l'armature constitutionnelle du pays. En esquivant la concertation sociale et en bafouant les mises en garde répétées du Conseil d'État et de l'Institut Fédéral des Droits Humains, le gouvernement a généré un corpus législatif d'une grande fragilité. L'article 23 de la Constitution et son corollaire, le principe de </w:t>
      </w:r>
      <w:r w:rsidDel="00000000" w:rsidR="00000000" w:rsidRPr="00000000">
        <w:rPr>
          <w:rFonts w:ascii="Google Sans" w:cs="Google Sans" w:eastAsia="Google Sans" w:hAnsi="Google Sans"/>
          <w:i w:val="1"/>
          <w:iCs w:val="1"/>
          <w:color w:val="1f1f1f"/>
          <w:rtl w:val="0"/>
        </w:rPr>
        <w:t xml:space="preserve">standstill</w:t>
      </w:r>
      <w:r w:rsidDel="00000000" w:rsidR="00000000" w:rsidRPr="00000000">
        <w:rPr>
          <w:rFonts w:ascii="Google Sans" w:cs="Google Sans" w:eastAsia="Google Sans" w:hAnsi="Google Sans"/>
          <w:color w:val="1f1f1f"/>
          <w:rtl w:val="0"/>
        </w:rPr>
        <w:t xml:space="preserve">, constituent désormais le théâtre principal de l'affrontement politique. Si la souveraineté parlementaire autorise l'assainissement des finances publiques, la jurisprudence de la Cour constitutionnelle rappelle avec fermeté que l'urgence comptable ne permet pas de déroger au droit fondamental d'une vie conforme à la dignité humaine. Les arrêts attendus dans les mois et années à venir ne se contenteront pas de valider ou d'invalider le budget de la législature ; ils définiront la capacité juridique de l'État belge à sacrifier les acquis sociaux de ses citoyens sur l'autel de l'orthodoxie néolibérale.</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Décoder l'Arizona : l'accélération d'un néolibéralisme aux accents autoritaires - ORBi - ULiège, </w:t>
      </w:r>
      <w:hyperlink r:id="rId6">
        <w:r w:rsidDel="00000000" w:rsidR="00000000" w:rsidRPr="00000000">
          <w:rPr>
            <w:rFonts w:ascii="Google Sans" w:cs="Google Sans" w:eastAsia="Google Sans" w:hAnsi="Google Sans"/>
            <w:color w:val="0000ee"/>
            <w:sz w:val="24"/>
            <w:szCs w:val="24"/>
            <w:u w:val="single"/>
            <w:rtl w:val="0"/>
          </w:rPr>
          <w:t xml:space="preserve">https://orbi.uliege.be/bitstream/2268/329916/1/D%C3%A9coder%20l%27Arizona_Version%20consolid%C3%A9e_Finale.pdf</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Gouvernement De Wever - Wikipédia, </w:t>
      </w:r>
      <w:hyperlink r:id="rId7">
        <w:r w:rsidDel="00000000" w:rsidR="00000000" w:rsidRPr="00000000">
          <w:rPr>
            <w:rFonts w:ascii="Google Sans" w:cs="Google Sans" w:eastAsia="Google Sans" w:hAnsi="Google Sans"/>
            <w:color w:val="0000ee"/>
            <w:sz w:val="24"/>
            <w:szCs w:val="24"/>
            <w:u w:val="single"/>
            <w:rtl w:val="0"/>
          </w:rPr>
          <w:t xml:space="preserve">https://fr.wikipedia.org/wiki/Gouvernement_De_Wever</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formation du gouvernement De Wever (juin 2024 - février 2025) - CRISP, </w:t>
      </w:r>
      <w:hyperlink r:id="rId8">
        <w:r w:rsidDel="00000000" w:rsidR="00000000" w:rsidRPr="00000000">
          <w:rPr>
            <w:rFonts w:ascii="Google Sans" w:cs="Google Sans" w:eastAsia="Google Sans" w:hAnsi="Google Sans"/>
            <w:color w:val="0000ee"/>
            <w:sz w:val="24"/>
            <w:szCs w:val="24"/>
            <w:u w:val="single"/>
            <w:rtl w:val="0"/>
          </w:rPr>
          <w:t xml:space="preserve">https://www.crisp.be/fr/catalogue/2148-la-formation-du-gouvernement-de-wever-juin-2024-fevrier-2025.html</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L'Arizona démasqué | Un budget qui nous fait payer et qui va nous enfoncer dans la crise, </w:t>
      </w:r>
      <w:hyperlink r:id="rId9">
        <w:r w:rsidDel="00000000" w:rsidR="00000000" w:rsidRPr="00000000">
          <w:rPr>
            <w:rFonts w:ascii="Google Sans" w:cs="Google Sans" w:eastAsia="Google Sans" w:hAnsi="Google Sans"/>
            <w:color w:val="0000ee"/>
            <w:sz w:val="24"/>
            <w:szCs w:val="24"/>
            <w:u w:val="single"/>
            <w:rtl w:val="0"/>
          </w:rPr>
          <w:t xml:space="preserve">https://www.ptb.be/arizonademasque/budget-qui-nous-fait-payer</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Décoder l'Arizona (1/4) : austérité budgétaire et compétitivité - Revue Politique, </w:t>
      </w:r>
      <w:hyperlink r:id="rId10">
        <w:r w:rsidDel="00000000" w:rsidR="00000000" w:rsidRPr="00000000">
          <w:rPr>
            <w:rFonts w:ascii="Google Sans" w:cs="Google Sans" w:eastAsia="Google Sans" w:hAnsi="Google Sans"/>
            <w:color w:val="0000ee"/>
            <w:sz w:val="24"/>
            <w:szCs w:val="24"/>
            <w:u w:val="single"/>
            <w:rtl w:val="0"/>
          </w:rPr>
          <w:t xml:space="preserve">https://www.revuepolitique.be/decoder-larizona-1-4-austerite-budgetaire-et-competitivite/</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 Trouver 40 milliards sans faire payer ceux qui ont peu - Econosphères, </w:t>
      </w:r>
      <w:hyperlink r:id="rId11">
        <w:r w:rsidDel="00000000" w:rsidR="00000000" w:rsidRPr="00000000">
          <w:rPr>
            <w:rFonts w:ascii="Google Sans" w:cs="Google Sans" w:eastAsia="Google Sans" w:hAnsi="Google Sans"/>
            <w:color w:val="0000ee"/>
            <w:sz w:val="24"/>
            <w:szCs w:val="24"/>
            <w:u w:val="single"/>
            <w:rtl w:val="0"/>
          </w:rPr>
          <w:t xml:space="preserve">https://www.econospheres.be/Budget-Trouver-40-milliards-sans-faire-payer-ceux-qui-ont-peu</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DÉMANTÈLEMENT ORCHESTRÉ DE L'ÉTAT SOCIAL - ccplc, </w:t>
      </w:r>
      <w:hyperlink r:id="rId12">
        <w:r w:rsidDel="00000000" w:rsidR="00000000" w:rsidRPr="00000000">
          <w:rPr>
            <w:rFonts w:ascii="Google Sans" w:cs="Google Sans" w:eastAsia="Google Sans" w:hAnsi="Google Sans"/>
            <w:color w:val="0000ee"/>
            <w:sz w:val="24"/>
            <w:szCs w:val="24"/>
            <w:u w:val="single"/>
            <w:rtl w:val="0"/>
          </w:rPr>
          <w:t xml:space="preserve">https://ccplc.eu/le-demantelement-orchestre-de-letat-social-belge</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standstill, ou comment les juges ont permis de mieux protéger les droits fondamentaux en limitant les possibilités de recul - Justice-en-ligne, </w:t>
      </w:r>
      <w:hyperlink r:id="rId13">
        <w:r w:rsidDel="00000000" w:rsidR="00000000" w:rsidRPr="00000000">
          <w:rPr>
            <w:rFonts w:ascii="Google Sans" w:cs="Google Sans" w:eastAsia="Google Sans" w:hAnsi="Google Sans"/>
            <w:color w:val="0000ee"/>
            <w:sz w:val="24"/>
            <w:szCs w:val="24"/>
            <w:u w:val="single"/>
            <w:rtl w:val="0"/>
          </w:rPr>
          <w:t xml:space="preserve">https://www.justice-en-ligne.be/Le-standstill-ou-comment-les-juges</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 23 - Annotations | SenLex - Senate, </w:t>
      </w:r>
      <w:hyperlink r:id="rId14">
        <w:r w:rsidDel="00000000" w:rsidR="00000000" w:rsidRPr="00000000">
          <w:rPr>
            <w:rFonts w:ascii="Google Sans" w:cs="Google Sans" w:eastAsia="Google Sans" w:hAnsi="Google Sans"/>
            <w:color w:val="0000ee"/>
            <w:sz w:val="24"/>
            <w:szCs w:val="24"/>
            <w:u w:val="single"/>
            <w:rtl w:val="0"/>
          </w:rPr>
          <w:t xml:space="preserve">https://senlex.senate.be/fr/dia/structure/str_33/article/art_80_fr_2014-01-06/element/el_254/annotation</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Décoder l'Arizona (1/4). Budget : austérité budgétaire et compétitivité - Éconosphères, </w:t>
      </w:r>
      <w:hyperlink r:id="rId15">
        <w:r w:rsidDel="00000000" w:rsidR="00000000" w:rsidRPr="00000000">
          <w:rPr>
            <w:rFonts w:ascii="Google Sans" w:cs="Google Sans" w:eastAsia="Google Sans" w:hAnsi="Google Sans"/>
            <w:color w:val="0000ee"/>
            <w:sz w:val="24"/>
            <w:szCs w:val="24"/>
            <w:u w:val="single"/>
            <w:rtl w:val="0"/>
          </w:rPr>
          <w:t xml:space="preserve">https://www.econospheres.be/Decoder-l-Arizona-1-4-Budget-austerite-budgetaire-et-competitivite</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DE COALITION FÉDÉRALE 2025-2029 - Belgium.be, </w:t>
      </w:r>
      <w:hyperlink r:id="rId16">
        <w:r w:rsidDel="00000000" w:rsidR="00000000" w:rsidRPr="00000000">
          <w:rPr>
            <w:rFonts w:ascii="Google Sans" w:cs="Google Sans" w:eastAsia="Google Sans" w:hAnsi="Google Sans"/>
            <w:color w:val="0000ee"/>
            <w:sz w:val="24"/>
            <w:szCs w:val="24"/>
            <w:u w:val="single"/>
            <w:rtl w:val="0"/>
          </w:rPr>
          <w:t xml:space="preserve">https://www.belgium.be/sites/default/files/resources/publication/files/Accord_gouvernemental-Bart_De_Wever_fr.pdf</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Présentation de la Belgique - France Diplomatie, </w:t>
      </w:r>
      <w:hyperlink r:id="rId17">
        <w:r w:rsidDel="00000000" w:rsidR="00000000" w:rsidRPr="00000000">
          <w:rPr>
            <w:rFonts w:ascii="Google Sans" w:cs="Google Sans" w:eastAsia="Google Sans" w:hAnsi="Google Sans"/>
            <w:color w:val="0000ee"/>
            <w:sz w:val="24"/>
            <w:szCs w:val="24"/>
            <w:u w:val="single"/>
            <w:rtl w:val="0"/>
          </w:rPr>
          <w:t xml:space="preserve">https://www.diplomatie.gouv.fr/fr/information-par-pays/belgique/presentation-de-la-belgique</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Construire l'austérité : Le modèle DSA de la Commission européenne - Éconosphères, </w:t>
      </w:r>
      <w:hyperlink r:id="rId18">
        <w:r w:rsidDel="00000000" w:rsidR="00000000" w:rsidRPr="00000000">
          <w:rPr>
            <w:rFonts w:ascii="Google Sans" w:cs="Google Sans" w:eastAsia="Google Sans" w:hAnsi="Google Sans"/>
            <w:color w:val="0000ee"/>
            <w:sz w:val="24"/>
            <w:szCs w:val="24"/>
            <w:u w:val="single"/>
            <w:rtl w:val="0"/>
          </w:rPr>
          <w:t xml:space="preserve">https://www.econospheres.be/Construire-l-austerite-Le-modele-DSA-de-la-Commission-europeenne</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Analyse de la supernota De Wever, devenue accord de Gouvernement Arizona 2025-2030, </w:t>
      </w:r>
      <w:hyperlink r:id="rId19">
        <w:r w:rsidDel="00000000" w:rsidR="00000000" w:rsidRPr="00000000">
          <w:rPr>
            <w:rFonts w:ascii="Google Sans" w:cs="Google Sans" w:eastAsia="Google Sans" w:hAnsi="Google Sans"/>
            <w:color w:val="0000ee"/>
            <w:sz w:val="24"/>
            <w:szCs w:val="24"/>
            <w:u w:val="single"/>
            <w:rtl w:val="0"/>
          </w:rPr>
          <w:t xml:space="preserve">https://blog.forumforthefuture.be/fr/article/analyse-de-la-supernota-de-wever-devenue-accord-de-gouvernement-arizona-2025-2030/25886</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fiscale belge 2026-2030: ce que change la réforme IPP pour le travailleur, la famille et l'indépendant! - OECCBB, </w:t>
      </w:r>
      <w:hyperlink r:id="rId20">
        <w:r w:rsidDel="00000000" w:rsidR="00000000" w:rsidRPr="00000000">
          <w:rPr>
            <w:rFonts w:ascii="Google Sans" w:cs="Google Sans" w:eastAsia="Google Sans" w:hAnsi="Google Sans"/>
            <w:color w:val="0000ee"/>
            <w:sz w:val="24"/>
            <w:szCs w:val="24"/>
            <w:u w:val="single"/>
            <w:rtl w:val="0"/>
          </w:rPr>
          <w:t xml:space="preserve">https://blog.oeccbb.be/fr/article/reforme-fiscale-belge-2026-2030-ce-que-change-la-reforme-ipp-pour-le-travailleur-la-famille-et-lindependant/31257</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 trouver 40 milliards d'euros sans faire payer ceux qui ont peu - Denktank Minerva, </w:t>
      </w:r>
      <w:hyperlink r:id="rId21">
        <w:r w:rsidDel="00000000" w:rsidR="00000000" w:rsidRPr="00000000">
          <w:rPr>
            <w:rFonts w:ascii="Google Sans" w:cs="Google Sans" w:eastAsia="Google Sans" w:hAnsi="Google Sans"/>
            <w:color w:val="0000ee"/>
            <w:sz w:val="24"/>
            <w:szCs w:val="24"/>
            <w:u w:val="single"/>
            <w:rtl w:val="0"/>
          </w:rPr>
          <w:t xml:space="preserve">https://www.denktankminerva.be/analyse/budgetalternatif</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du Gouvernement Arizona | Les Engagés, </w:t>
      </w:r>
      <w:hyperlink r:id="rId22">
        <w:r w:rsidDel="00000000" w:rsidR="00000000" w:rsidRPr="00000000">
          <w:rPr>
            <w:rFonts w:ascii="Google Sans" w:cs="Google Sans" w:eastAsia="Google Sans" w:hAnsi="Google Sans"/>
            <w:color w:val="0000ee"/>
            <w:sz w:val="24"/>
            <w:szCs w:val="24"/>
            <w:u w:val="single"/>
            <w:rtl w:val="0"/>
          </w:rPr>
          <w:t xml:space="preserve">https://www.lesengages.be/actualite/accord-du-gouvernement-arizona/</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gouvernement De Wever coule le budget de la Belgique - Parti Socialiste, </w:t>
      </w:r>
      <w:hyperlink r:id="rId23">
        <w:r w:rsidDel="00000000" w:rsidR="00000000" w:rsidRPr="00000000">
          <w:rPr>
            <w:rFonts w:ascii="Google Sans" w:cs="Google Sans" w:eastAsia="Google Sans" w:hAnsi="Google Sans"/>
            <w:color w:val="0000ee"/>
            <w:sz w:val="24"/>
            <w:szCs w:val="24"/>
            <w:u w:val="single"/>
            <w:rtl w:val="0"/>
          </w:rPr>
          <w:t xml:space="preserve">https://www.ps.be/gouvernement_de_wever_coule_le_budget_de_la_belgique</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Baromètre de la solidarité internationale - CNCD-11.11.11, </w:t>
      </w:r>
      <w:hyperlink r:id="rId24">
        <w:r w:rsidDel="00000000" w:rsidR="00000000" w:rsidRPr="00000000">
          <w:rPr>
            <w:rFonts w:ascii="Google Sans" w:cs="Google Sans" w:eastAsia="Google Sans" w:hAnsi="Google Sans"/>
            <w:color w:val="0000ee"/>
            <w:sz w:val="24"/>
            <w:szCs w:val="24"/>
            <w:u w:val="single"/>
            <w:rtl w:val="0"/>
          </w:rPr>
          <w:t xml:space="preserve">https://www.cncd.be/-barometre-de-la-solidarite-internationale-</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Analyse de l'accord du gouvernement ARIZONA - Coalition Santé, </w:t>
      </w:r>
      <w:hyperlink r:id="rId25">
        <w:r w:rsidDel="00000000" w:rsidR="00000000" w:rsidRPr="00000000">
          <w:rPr>
            <w:rFonts w:ascii="Google Sans" w:cs="Google Sans" w:eastAsia="Google Sans" w:hAnsi="Google Sans"/>
            <w:color w:val="0000ee"/>
            <w:sz w:val="24"/>
            <w:szCs w:val="24"/>
            <w:u w:val="single"/>
            <w:rtl w:val="0"/>
          </w:rPr>
          <w:t xml:space="preserve">https://coalitionsante.be/analyse-de-laccord-du-gouvernement-arizona/</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Données empiriques actualisées sur le budget Arizona belge (2025-2042) | Ouaisfi·eu, </w:t>
      </w:r>
      <w:hyperlink r:id="rId26">
        <w:r w:rsidDel="00000000" w:rsidR="00000000" w:rsidRPr="00000000">
          <w:rPr>
            <w:rFonts w:ascii="Google Sans" w:cs="Google Sans" w:eastAsia="Google Sans" w:hAnsi="Google Sans"/>
            <w:color w:val="0000ee"/>
            <w:sz w:val="24"/>
            <w:szCs w:val="24"/>
            <w:u w:val="single"/>
            <w:rtl w:val="0"/>
          </w:rPr>
          <w:t xml:space="preserve">https://ouaisfi.eu/petition/donnees-empiriques-actualisees-sur-le-budget-arizona-belge-2025-2042</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Projet de loi-programme (n° 909) - Institut fédéral des droits humains, </w:t>
      </w:r>
      <w:hyperlink r:id="rId27">
        <w:r w:rsidDel="00000000" w:rsidR="00000000" w:rsidRPr="00000000">
          <w:rPr>
            <w:rFonts w:ascii="Google Sans" w:cs="Google Sans" w:eastAsia="Google Sans" w:hAnsi="Google Sans"/>
            <w:color w:val="0000ee"/>
            <w:sz w:val="24"/>
            <w:szCs w:val="24"/>
            <w:u w:val="single"/>
            <w:rtl w:val="0"/>
          </w:rPr>
          <w:t xml:space="preserve">https://www.institutfederaldroitshumains.be/sites/default/files/2025-07/Avis-IFDH-Reforme-du-chomage-04-2025.pdf</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des pensions de l'Arizona : la double peine - Syndicats Magazine, </w:t>
      </w:r>
      <w:hyperlink r:id="rId28">
        <w:r w:rsidDel="00000000" w:rsidR="00000000" w:rsidRPr="00000000">
          <w:rPr>
            <w:rFonts w:ascii="Google Sans" w:cs="Google Sans" w:eastAsia="Google Sans" w:hAnsi="Google Sans"/>
            <w:color w:val="0000ee"/>
            <w:sz w:val="24"/>
            <w:szCs w:val="24"/>
            <w:u w:val="single"/>
            <w:rtl w:val="0"/>
          </w:rPr>
          <w:t xml:space="preserve">https://syndicatsmagazine.be/reforme-pensions-double-peine/</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malus pension touche aussi les pensions minimums - PTB, </w:t>
      </w:r>
      <w:hyperlink r:id="rId29">
        <w:r w:rsidDel="00000000" w:rsidR="00000000" w:rsidRPr="00000000">
          <w:rPr>
            <w:rFonts w:ascii="Google Sans" w:cs="Google Sans" w:eastAsia="Google Sans" w:hAnsi="Google Sans"/>
            <w:color w:val="0000ee"/>
            <w:sz w:val="24"/>
            <w:szCs w:val="24"/>
            <w:u w:val="single"/>
            <w:rtl w:val="0"/>
          </w:rPr>
          <w:t xml:space="preserve">https://www.ptb.be/etudes/le-malus-pension-touche-aussi-les-pensions-minimums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Dossier | Le malus pension touchera toujours 1 femme sur 3 - PTB, </w:t>
      </w:r>
      <w:hyperlink r:id="rId30">
        <w:r w:rsidDel="00000000" w:rsidR="00000000" w:rsidRPr="00000000">
          <w:rPr>
            <w:rFonts w:ascii="Google Sans" w:cs="Google Sans" w:eastAsia="Google Sans" w:hAnsi="Google Sans"/>
            <w:color w:val="0000ee"/>
            <w:sz w:val="24"/>
            <w:szCs w:val="24"/>
            <w:u w:val="single"/>
            <w:rtl w:val="0"/>
          </w:rPr>
          <w:t xml:space="preserve">https://www.ptb.be/etudes/dossier-le-malus-pension-touchera-toujours-1-femme-sur-3</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Conseil d'État, Cour des comptes, syndicats, travailleurs… tous tirent la sonnette d'alarme. Le gouvernement Arizona, lui, continue, </w:t>
      </w:r>
      <w:hyperlink r:id="rId31">
        <w:r w:rsidDel="00000000" w:rsidR="00000000" w:rsidRPr="00000000">
          <w:rPr>
            <w:rFonts w:ascii="Google Sans" w:cs="Google Sans" w:eastAsia="Google Sans" w:hAnsi="Google Sans"/>
            <w:color w:val="0000ee"/>
            <w:sz w:val="24"/>
            <w:szCs w:val="24"/>
            <w:u w:val="single"/>
            <w:rtl w:val="0"/>
          </w:rPr>
          <w:t xml:space="preserve">https://www.unsp-finances.be/conseil-detat-cour-des-comptes-syndicats-travailleurs-tous-tirent-la-sonnette-dalarme-le-gouvernement-arizona-lui-continue/</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 saut d'index: le GBO /Cartel met en garde contre une remise en cause de l'accord médico-mutualiste - Medi-Sphere, </w:t>
      </w:r>
      <w:hyperlink r:id="rId32">
        <w:r w:rsidDel="00000000" w:rsidR="00000000" w:rsidRPr="00000000">
          <w:rPr>
            <w:rFonts w:ascii="Google Sans" w:cs="Google Sans" w:eastAsia="Google Sans" w:hAnsi="Google Sans"/>
            <w:color w:val="0000ee"/>
            <w:sz w:val="24"/>
            <w:szCs w:val="24"/>
            <w:u w:val="single"/>
            <w:rtl w:val="0"/>
          </w:rPr>
          <w:t xml:space="preserve">https://www.medi-sphere.be/fr/actualites/double-saut-d-index-le-gbo-met-en-garde-contre-une-remise-en-cause-de-l-accord-medico-mutualiste.html</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de croissance réelle contre 3,7% nécessaires : l'Arizona asphyxie la santé - Politique, </w:t>
      </w:r>
      <w:hyperlink r:id="rId33">
        <w:r w:rsidDel="00000000" w:rsidR="00000000" w:rsidRPr="00000000">
          <w:rPr>
            <w:rFonts w:ascii="Google Sans" w:cs="Google Sans" w:eastAsia="Google Sans" w:hAnsi="Google Sans"/>
            <w:color w:val="0000ee"/>
            <w:sz w:val="24"/>
            <w:szCs w:val="24"/>
            <w:u w:val="single"/>
            <w:rtl w:val="0"/>
          </w:rPr>
          <w:t xml:space="preserve">https://www.revuepolitique.be/1-de-croissance-reelle-contre-37-necessaires-larizona-asphyxie-la-sante/</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Saut d'index partiel: le gouvernement récompense le travail en l'attaquant - L'Info CSC |, </w:t>
      </w:r>
      <w:hyperlink r:id="rId34">
        <w:r w:rsidDel="00000000" w:rsidR="00000000" w:rsidRPr="00000000">
          <w:rPr>
            <w:rFonts w:ascii="Google Sans" w:cs="Google Sans" w:eastAsia="Google Sans" w:hAnsi="Google Sans"/>
            <w:color w:val="0000ee"/>
            <w:sz w:val="24"/>
            <w:szCs w:val="24"/>
            <w:u w:val="single"/>
            <w:rtl w:val="0"/>
          </w:rPr>
          <w:t xml:space="preserve">https://linfo-csc.be/magazine/le-gouvernement-recompense-le-travail-en-lattaquant/saut-dindex-partiel-le-gouvernement-recompense-le-travail-en-lattaquant/</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Pourquoi l'enseignement doit se mobiliser massivement ce jeudi 12 mars à Bruxelles ? - CSC, </w:t>
      </w:r>
      <w:hyperlink r:id="rId35">
        <w:r w:rsidDel="00000000" w:rsidR="00000000" w:rsidRPr="00000000">
          <w:rPr>
            <w:rFonts w:ascii="Google Sans" w:cs="Google Sans" w:eastAsia="Google Sans" w:hAnsi="Google Sans"/>
            <w:color w:val="0000ee"/>
            <w:sz w:val="24"/>
            <w:szCs w:val="24"/>
            <w:u w:val="single"/>
            <w:rtl w:val="0"/>
          </w:rPr>
          <w:t xml:space="preserve">https://www.lacsc.be/docs/default-source/acv-csc-docsitemap/6000-centrales/6660-csc-enseignement/6680-actualites/260312-manifestation-presentation-vf.pdf?sfvrsn=3c7880bb_1</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Saut d'index partiel : une grave erreur qui va nous coûter cher - FGTB, </w:t>
      </w:r>
      <w:hyperlink r:id="rId36">
        <w:r w:rsidDel="00000000" w:rsidR="00000000" w:rsidRPr="00000000">
          <w:rPr>
            <w:rFonts w:ascii="Google Sans" w:cs="Google Sans" w:eastAsia="Google Sans" w:hAnsi="Google Sans"/>
            <w:color w:val="0000ee"/>
            <w:sz w:val="24"/>
            <w:szCs w:val="24"/>
            <w:u w:val="single"/>
            <w:rtl w:val="0"/>
          </w:rPr>
          <w:t xml:space="preserve">https://fgtb.be/presse/saut-dindex-partiel-une-grave-erreur-qui-va-nous-couter-cher</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L'effet de Standstill consacré par l'article 23, alinéa 1er, 2° de la constitution - Jubel, </w:t>
      </w:r>
      <w:hyperlink r:id="rId37">
        <w:r w:rsidDel="00000000" w:rsidR="00000000" w:rsidRPr="00000000">
          <w:rPr>
            <w:rFonts w:ascii="Google Sans" w:cs="Google Sans" w:eastAsia="Google Sans" w:hAnsi="Google Sans"/>
            <w:color w:val="0000ee"/>
            <w:sz w:val="24"/>
            <w:szCs w:val="24"/>
            <w:u w:val="single"/>
            <w:rtl w:val="0"/>
          </w:rPr>
          <w:t xml:space="preserve">https://www.jubel.be/fr/leffet-de-standstill-consacre-par-larticle-23-alinea-1er-2-de-la-constitution/</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Mise en œuvre du principe de standstill dans le droit de l'assurance chômage : quelques observations en marge de l'arrêt - Terralaboris, </w:t>
      </w:r>
      <w:hyperlink r:id="rId38">
        <w:r w:rsidDel="00000000" w:rsidR="00000000" w:rsidRPr="00000000">
          <w:rPr>
            <w:rFonts w:ascii="Google Sans" w:cs="Google Sans" w:eastAsia="Google Sans" w:hAnsi="Google Sans"/>
            <w:color w:val="0000ee"/>
            <w:sz w:val="24"/>
            <w:szCs w:val="24"/>
            <w:u w:val="single"/>
            <w:rtl w:val="0"/>
          </w:rPr>
          <w:t xml:space="preserve">https://www.terralaboris.be/IMG/pdf/lb_061_standstill_cho_mage_terra_laboris_18iv07.pdf</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Arrêt n° 174/2025 du 11 décembre 2025 - Cour constitutionnelle, </w:t>
      </w:r>
      <w:hyperlink r:id="rId39">
        <w:r w:rsidDel="00000000" w:rsidR="00000000" w:rsidRPr="00000000">
          <w:rPr>
            <w:rFonts w:ascii="Google Sans" w:cs="Google Sans" w:eastAsia="Google Sans" w:hAnsi="Google Sans"/>
            <w:color w:val="0000ee"/>
            <w:sz w:val="24"/>
            <w:szCs w:val="24"/>
            <w:u w:val="single"/>
            <w:rtl w:val="0"/>
          </w:rPr>
          <w:t xml:space="preserve">https://fr.const-court.be/public/f/2025/2025-174f.pdf</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Arrêt n° 115/2025 du 11 septembre 2025 - Cour constitutionnelle, </w:t>
      </w:r>
      <w:hyperlink r:id="rId40">
        <w:r w:rsidDel="00000000" w:rsidR="00000000" w:rsidRPr="00000000">
          <w:rPr>
            <w:rFonts w:ascii="Google Sans" w:cs="Google Sans" w:eastAsia="Google Sans" w:hAnsi="Google Sans"/>
            <w:color w:val="0000ee"/>
            <w:sz w:val="24"/>
            <w:szCs w:val="24"/>
            <w:u w:val="single"/>
            <w:rtl w:val="0"/>
          </w:rPr>
          <w:t xml:space="preserve">https://fr.const-court.be/public/f/2025/2025-115f.pdf</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Cour constitutionnelle suspend le report de la zone de basses émissions à Bruxelles, </w:t>
      </w:r>
      <w:hyperlink r:id="rId41">
        <w:r w:rsidDel="00000000" w:rsidR="00000000" w:rsidRPr="00000000">
          <w:rPr>
            <w:rFonts w:ascii="Google Sans" w:cs="Google Sans" w:eastAsia="Google Sans" w:hAnsi="Google Sans"/>
            <w:color w:val="0000ee"/>
            <w:sz w:val="24"/>
            <w:szCs w:val="24"/>
            <w:u w:val="single"/>
            <w:rtl w:val="0"/>
          </w:rPr>
          <w:t xml:space="preserve">https://www.moniteurautomobile.be/actu-auto/juridique/la-cour-constitutionnelle-suspend-le-report-de-la-zone-de-basses-emissions-a-bruxelles.html</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chômage de l'Arizona : pas de suspension par la Cour mais un examen de l'annulation suivra - FGTB, </w:t>
      </w:r>
      <w:hyperlink r:id="rId42">
        <w:r w:rsidDel="00000000" w:rsidR="00000000" w:rsidRPr="00000000">
          <w:rPr>
            <w:rFonts w:ascii="Google Sans" w:cs="Google Sans" w:eastAsia="Google Sans" w:hAnsi="Google Sans"/>
            <w:color w:val="0000ee"/>
            <w:sz w:val="24"/>
            <w:szCs w:val="24"/>
            <w:u w:val="single"/>
            <w:rtl w:val="0"/>
          </w:rPr>
          <w:t xml:space="preserve">https://fgtb.be/presse/reforme-chomage-pas-de-suspension</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Plaidoyer-STOP-Arizona - CCPLC - Obsidian Publish, </w:t>
      </w:r>
      <w:hyperlink r:id="rId43">
        <w:r w:rsidDel="00000000" w:rsidR="00000000" w:rsidRPr="00000000">
          <w:rPr>
            <w:rFonts w:ascii="Google Sans" w:cs="Google Sans" w:eastAsia="Google Sans" w:hAnsi="Google Sans"/>
            <w:color w:val="0000ee"/>
            <w:sz w:val="24"/>
            <w:szCs w:val="24"/>
            <w:u w:val="single"/>
            <w:rtl w:val="0"/>
          </w:rPr>
          <w:t xml:space="preserve">https://publish.obsidian.md/ccplc/70-PLAIDOYERS/Plaidoyer-STOP-Arizona</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Syndicats et société civile contestent la réforme du chômage devant la Cour constitutionnelle - CSC, </w:t>
      </w:r>
      <w:hyperlink r:id="rId44">
        <w:r w:rsidDel="00000000" w:rsidR="00000000" w:rsidRPr="00000000">
          <w:rPr>
            <w:rFonts w:ascii="Google Sans" w:cs="Google Sans" w:eastAsia="Google Sans" w:hAnsi="Google Sans"/>
            <w:color w:val="0000ee"/>
            <w:sz w:val="24"/>
            <w:szCs w:val="24"/>
            <w:u w:val="single"/>
            <w:rtl w:val="0"/>
          </w:rPr>
          <w:t xml:space="preserve">https://www.lacsc.be/page-dactualites/2025/10/29/syndicats-et-societe-civile-contestent-la-reforme-du-chomage-devant-la-cour-constitutionnelle</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recours et soutiens - Exclusion du chômage, </w:t>
      </w:r>
      <w:hyperlink r:id="rId45">
        <w:r w:rsidDel="00000000" w:rsidR="00000000" w:rsidRPr="00000000">
          <w:rPr>
            <w:rFonts w:ascii="Google Sans" w:cs="Google Sans" w:eastAsia="Google Sans" w:hAnsi="Google Sans"/>
            <w:color w:val="0000ee"/>
            <w:sz w:val="24"/>
            <w:szCs w:val="24"/>
            <w:u w:val="single"/>
            <w:rtl w:val="0"/>
          </w:rPr>
          <w:t xml:space="preserve">https://www.exclusionduchomage.be/recours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L'injuste réforme des pensions de l'Arizona a été adoptée. La Cour constitutionnelle aura désormais le dernier mot - FGTB, </w:t>
      </w:r>
      <w:hyperlink r:id="rId46">
        <w:r w:rsidDel="00000000" w:rsidR="00000000" w:rsidRPr="00000000">
          <w:rPr>
            <w:rFonts w:ascii="Google Sans" w:cs="Google Sans" w:eastAsia="Google Sans" w:hAnsi="Google Sans"/>
            <w:color w:val="0000ee"/>
            <w:sz w:val="24"/>
            <w:szCs w:val="24"/>
            <w:u w:val="single"/>
            <w:rtl w:val="0"/>
          </w:rPr>
          <w:t xml:space="preserve">https://fgtb.be/presse/linjuste-reforme-des-pensions-de-larizona-ete-adoptee-la-cour-constitutionnelle-aura</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PTB lance le « Procès pension » avec un recours collectif contre la loi pension devant la Cour constitutionnelle, </w:t>
      </w:r>
      <w:hyperlink r:id="rId47">
        <w:r w:rsidDel="00000000" w:rsidR="00000000" w:rsidRPr="00000000">
          <w:rPr>
            <w:rFonts w:ascii="Google Sans" w:cs="Google Sans" w:eastAsia="Google Sans" w:hAnsi="Google Sans"/>
            <w:color w:val="0000ee"/>
            <w:sz w:val="24"/>
            <w:szCs w:val="24"/>
            <w:u w:val="single"/>
            <w:rtl w:val="0"/>
          </w:rPr>
          <w:t xml:space="preserve">https://www.ptb.be/presse/le-ptb-lance-le-proces-pension-avec-un-recours-collectif-contre-la-loi-pension-devant-la</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 réforme des pensions discriminante? Le Conseil d'Etat rappelle l'Arizona à l'ordre, </w:t>
      </w:r>
      <w:hyperlink r:id="rId48">
        <w:r w:rsidDel="00000000" w:rsidR="00000000" w:rsidRPr="00000000">
          <w:rPr>
            <w:rFonts w:ascii="Google Sans" w:cs="Google Sans" w:eastAsia="Google Sans" w:hAnsi="Google Sans"/>
            <w:color w:val="0000ee"/>
            <w:sz w:val="24"/>
            <w:szCs w:val="24"/>
            <w:u w:val="single"/>
            <w:rtl w:val="0"/>
          </w:rPr>
          <w:t xml:space="preserve">https://www.levif.be/economie/mon-argent/pensions/une-reforme-des-pensions-discriminante-le-conseil-detat-rappelle-larizona-a-lordre/</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Réduction des périodes assimilées: l'Arizona mis en garde - L'Info CSC |, </w:t>
      </w:r>
      <w:hyperlink r:id="rId49">
        <w:r w:rsidDel="00000000" w:rsidR="00000000" w:rsidRPr="00000000">
          <w:rPr>
            <w:rFonts w:ascii="Google Sans" w:cs="Google Sans" w:eastAsia="Google Sans" w:hAnsi="Google Sans"/>
            <w:color w:val="0000ee"/>
            <w:sz w:val="24"/>
            <w:szCs w:val="24"/>
            <w:u w:val="single"/>
            <w:rtl w:val="0"/>
          </w:rPr>
          <w:t xml:space="preserve">https://linfo-csc.be/magazine/manifestation-nationale-la-reforme-des-pensions-a-tout-faux/reduction-des-periodes-assimilees-larizona-mis-en-garde/</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Réduction des périodes assimilées: La Cour constitutionnelle met l'Arizona en garde - CSC, </w:t>
      </w:r>
      <w:hyperlink r:id="rId50">
        <w:r w:rsidDel="00000000" w:rsidR="00000000" w:rsidRPr="00000000">
          <w:rPr>
            <w:rFonts w:ascii="Google Sans" w:cs="Google Sans" w:eastAsia="Google Sans" w:hAnsi="Google Sans"/>
            <w:color w:val="0000ee"/>
            <w:sz w:val="24"/>
            <w:szCs w:val="24"/>
            <w:u w:val="single"/>
            <w:rtl w:val="0"/>
          </w:rPr>
          <w:t xml:space="preserve">https://www.lacsc.be/page-dactualites/2026/02/13/reduction-des-periodes-assimilees---la-cour-constitutionnelle-met-l-arizona-en-garde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r.const-court.be/public/f/2025/2025-115f.pdf" TargetMode="External"/><Relationship Id="rId42" Type="http://schemas.openxmlformats.org/officeDocument/2006/relationships/hyperlink" Target="https://fgtb.be/presse/reforme-chomage-pas-de-suspension" TargetMode="External"/><Relationship Id="rId41" Type="http://schemas.openxmlformats.org/officeDocument/2006/relationships/hyperlink" Target="https://www.moniteurautomobile.be/actu-auto/juridique/la-cour-constitutionnelle-suspend-le-report-de-la-zone-de-basses-emissions-a-bruxelles.html" TargetMode="External"/><Relationship Id="rId44" Type="http://schemas.openxmlformats.org/officeDocument/2006/relationships/hyperlink" Target="https://www.lacsc.be/page-dactualites/2025/10/29/syndicats-et-societe-civile-contestent-la-reforme-du-chomage-devant-la-cour-constitutionnelle" TargetMode="External"/><Relationship Id="rId43" Type="http://schemas.openxmlformats.org/officeDocument/2006/relationships/hyperlink" Target="https://publish.obsidian.md/ccplc/70-PLAIDOYERS/Plaidoyer-STOP-Arizona" TargetMode="External"/><Relationship Id="rId46" Type="http://schemas.openxmlformats.org/officeDocument/2006/relationships/hyperlink" Target="https://fgtb.be/presse/linjuste-reforme-des-pensions-de-larizona-ete-adoptee-la-cour-constitutionnelle-aura" TargetMode="External"/><Relationship Id="rId45" Type="http://schemas.openxmlformats.org/officeDocument/2006/relationships/hyperlink" Target="https://www.exclusionduchomage.be/recou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tb.be/arizonademasque/budget-qui-nous-fait-payer" TargetMode="External"/><Relationship Id="rId48" Type="http://schemas.openxmlformats.org/officeDocument/2006/relationships/hyperlink" Target="https://www.levif.be/economie/mon-argent/pensions/une-reforme-des-pensions-discriminante-le-conseil-detat-rappelle-larizona-a-lordre/" TargetMode="External"/><Relationship Id="rId47" Type="http://schemas.openxmlformats.org/officeDocument/2006/relationships/hyperlink" Target="https://www.ptb.be/presse/le-ptb-lance-le-proces-pension-avec-un-recours-collectif-contre-la-loi-pension-devant-la" TargetMode="External"/><Relationship Id="rId49" Type="http://schemas.openxmlformats.org/officeDocument/2006/relationships/hyperlink" Target="https://linfo-csc.be/magazine/manifestation-nationale-la-reforme-des-pensions-a-tout-faux/reduction-des-periodes-assimilees-larizona-mis-en-garde/" TargetMode="External"/><Relationship Id="rId5" Type="http://schemas.openxmlformats.org/officeDocument/2006/relationships/styles" Target="styles.xml"/><Relationship Id="rId6" Type="http://schemas.openxmlformats.org/officeDocument/2006/relationships/hyperlink" Target="https://orbi.uliege.be/bitstream/2268/329916/1/D%C3%A9coder%20l%27Arizona_Version%20consolid%C3%A9e_Finale.pdf" TargetMode="External"/><Relationship Id="rId7" Type="http://schemas.openxmlformats.org/officeDocument/2006/relationships/hyperlink" Target="https://fr.wikipedia.org/wiki/Gouvernement_De_Wever" TargetMode="External"/><Relationship Id="rId8" Type="http://schemas.openxmlformats.org/officeDocument/2006/relationships/hyperlink" Target="https://www.crisp.be/fr/catalogue/2148-la-formation-du-gouvernement-de-wever-juin-2024-fevrier-2025.html" TargetMode="External"/><Relationship Id="rId31" Type="http://schemas.openxmlformats.org/officeDocument/2006/relationships/hyperlink" Target="https://www.unsp-finances.be/conseil-detat-cour-des-comptes-syndicats-travailleurs-tous-tirent-la-sonnette-dalarme-le-gouvernement-arizona-lui-continue/" TargetMode="External"/><Relationship Id="rId30" Type="http://schemas.openxmlformats.org/officeDocument/2006/relationships/hyperlink" Target="https://www.ptb.be/etudes/dossier-le-malus-pension-touchera-toujours-1-femme-sur-3" TargetMode="External"/><Relationship Id="rId33" Type="http://schemas.openxmlformats.org/officeDocument/2006/relationships/hyperlink" Target="https://www.revuepolitique.be/1-de-croissance-reelle-contre-37-necessaires-larizona-asphyxie-la-sante/" TargetMode="External"/><Relationship Id="rId32" Type="http://schemas.openxmlformats.org/officeDocument/2006/relationships/hyperlink" Target="https://www.medi-sphere.be/fr/actualites/double-saut-d-index-le-gbo-met-en-garde-contre-une-remise-en-cause-de-l-accord-medico-mutualiste.html" TargetMode="External"/><Relationship Id="rId35" Type="http://schemas.openxmlformats.org/officeDocument/2006/relationships/hyperlink" Target="https://www.lacsc.be/docs/default-source/acv-csc-docsitemap/6000-centrales/6660-csc-enseignement/6680-actualites/260312-manifestation-presentation-vf.pdf?sfvrsn=3c7880bb_1" TargetMode="External"/><Relationship Id="rId34" Type="http://schemas.openxmlformats.org/officeDocument/2006/relationships/hyperlink" Target="https://linfo-csc.be/magazine/le-gouvernement-recompense-le-travail-en-lattaquant/saut-dindex-partiel-le-gouvernement-recompense-le-travail-en-lattaquant/" TargetMode="External"/><Relationship Id="rId37" Type="http://schemas.openxmlformats.org/officeDocument/2006/relationships/hyperlink" Target="https://www.jubel.be/fr/leffet-de-standstill-consacre-par-larticle-23-alinea-1er-2-de-la-constitution/" TargetMode="External"/><Relationship Id="rId36" Type="http://schemas.openxmlformats.org/officeDocument/2006/relationships/hyperlink" Target="https://fgtb.be/presse/saut-dindex-partiel-une-grave-erreur-qui-va-nous-couter-cher" TargetMode="External"/><Relationship Id="rId39" Type="http://schemas.openxmlformats.org/officeDocument/2006/relationships/hyperlink" Target="https://fr.const-court.be/public/f/2025/2025-174f.pdf" TargetMode="External"/><Relationship Id="rId38" Type="http://schemas.openxmlformats.org/officeDocument/2006/relationships/hyperlink" Target="https://www.terralaboris.be/IMG/pdf/lb_061_standstill_cho_mage_terra_laboris_18iv07.pdf" TargetMode="External"/><Relationship Id="rId20" Type="http://schemas.openxmlformats.org/officeDocument/2006/relationships/hyperlink" Target="https://blog.oeccbb.be/fr/article/reforme-fiscale-belge-2026-2030-ce-que-change-la-reforme-ipp-pour-le-travailleur-la-famille-et-lindependant/31257" TargetMode="External"/><Relationship Id="rId22" Type="http://schemas.openxmlformats.org/officeDocument/2006/relationships/hyperlink" Target="https://www.lesengages.be/actualite/accord-du-gouvernement-arizona/" TargetMode="External"/><Relationship Id="rId21" Type="http://schemas.openxmlformats.org/officeDocument/2006/relationships/hyperlink" Target="https://www.denktankminerva.be/analyse/budgetalternatif" TargetMode="External"/><Relationship Id="rId24" Type="http://schemas.openxmlformats.org/officeDocument/2006/relationships/hyperlink" Target="https://www.cncd.be/-barometre-de-la-solidarite-internationale-" TargetMode="External"/><Relationship Id="rId23" Type="http://schemas.openxmlformats.org/officeDocument/2006/relationships/hyperlink" Target="https://www.ps.be/gouvernement_de_wever_coule_le_budget_de_la_belgique" TargetMode="External"/><Relationship Id="rId26" Type="http://schemas.openxmlformats.org/officeDocument/2006/relationships/hyperlink" Target="https://ouaisfi.eu/petition/donnees-empiriques-actualisees-sur-le-budget-arizona-belge-2025-2042" TargetMode="External"/><Relationship Id="rId25" Type="http://schemas.openxmlformats.org/officeDocument/2006/relationships/hyperlink" Target="https://coalitionsante.be/analyse-de-laccord-du-gouvernement-arizona/" TargetMode="External"/><Relationship Id="rId28" Type="http://schemas.openxmlformats.org/officeDocument/2006/relationships/hyperlink" Target="https://syndicatsmagazine.be/reforme-pensions-double-peine/" TargetMode="External"/><Relationship Id="rId27" Type="http://schemas.openxmlformats.org/officeDocument/2006/relationships/hyperlink" Target="https://www.institutfederaldroitshumains.be/sites/default/files/2025-07/Avis-IFDH-Reforme-du-chomage-04-2025.pdf" TargetMode="External"/><Relationship Id="rId29" Type="http://schemas.openxmlformats.org/officeDocument/2006/relationships/hyperlink" Target="https://www.ptb.be/etudes/le-malus-pension-touche-aussi-les-pensions-minimums" TargetMode="External"/><Relationship Id="rId50" Type="http://schemas.openxmlformats.org/officeDocument/2006/relationships/hyperlink" Target="https://www.lacsc.be/page-dactualites/2026/02/13/reduction-des-periodes-assimilees---la-cour-constitutionnelle-met-l-arizona-en-garde" TargetMode="External"/><Relationship Id="rId11" Type="http://schemas.openxmlformats.org/officeDocument/2006/relationships/hyperlink" Target="https://www.econospheres.be/Budget-Trouver-40-milliards-sans-faire-payer-ceux-qui-ont-peu" TargetMode="External"/><Relationship Id="rId10" Type="http://schemas.openxmlformats.org/officeDocument/2006/relationships/hyperlink" Target="https://www.revuepolitique.be/decoder-larizona-1-4-austerite-budgetaire-et-competitivite/" TargetMode="External"/><Relationship Id="rId13" Type="http://schemas.openxmlformats.org/officeDocument/2006/relationships/hyperlink" Target="https://www.justice-en-ligne.be/Le-standstill-ou-comment-les-juges" TargetMode="External"/><Relationship Id="rId12" Type="http://schemas.openxmlformats.org/officeDocument/2006/relationships/hyperlink" Target="https://ccplc.eu/le-demantelement-orchestre-de-letat-social-belge" TargetMode="External"/><Relationship Id="rId15" Type="http://schemas.openxmlformats.org/officeDocument/2006/relationships/hyperlink" Target="https://www.econospheres.be/Decoder-l-Arizona-1-4-Budget-austerite-budgetaire-et-competitivite" TargetMode="External"/><Relationship Id="rId14" Type="http://schemas.openxmlformats.org/officeDocument/2006/relationships/hyperlink" Target="https://senlex.senate.be/fr/dia/structure/str_33/article/art_80_fr_2014-01-06/element/el_254/annotation" TargetMode="External"/><Relationship Id="rId17" Type="http://schemas.openxmlformats.org/officeDocument/2006/relationships/hyperlink" Target="https://www.diplomatie.gouv.fr/fr/information-par-pays/belgique/presentation-de-la-belgique" TargetMode="External"/><Relationship Id="rId16" Type="http://schemas.openxmlformats.org/officeDocument/2006/relationships/hyperlink" Target="https://www.belgium.be/sites/default/files/resources/publication/files/Accord_gouvernemental-Bart_De_Wever_fr.pdf" TargetMode="External"/><Relationship Id="rId19" Type="http://schemas.openxmlformats.org/officeDocument/2006/relationships/hyperlink" Target="https://blog.forumforthefuture.be/fr/article/analyse-de-la-supernota-de-wever-devenue-accord-de-gouvernement-arizona-2025-2030/25886" TargetMode="External"/><Relationship Id="rId18" Type="http://schemas.openxmlformats.org/officeDocument/2006/relationships/hyperlink" Target="https://www.econospheres.be/Construire-l-austerite-Le-modele-DSA-de-la-Commission-europeen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