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L'État social belge à la croisée des chemins : Baromètre social augmenté (2024-2026)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basculement de paradigme : de la sécurité d'existence à l'activation contrainte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Belgique traverse, entre 2024 et 2026, une phase de reconfiguration profonde de ses équilibres socioéconomiques, marquant la transition d'un modèle d'État-providence protecteur vers un modèle d'activation contrainte et de responsabilisation individuelle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Pacte social du 28 décembre 1944 avait érigé la « sécurité d'existence » en un droit inconditionnel, géré de manière paritaire afin de stabiliser le pays après la Seconde Guerre mondiale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Cette logique de protection universelle est aujourd'hui supplantée par des impératifs d'orthodoxie budgétaire sous l'impulsion de la coalition fédérale menée par le Premier ministre Bart De Wever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Confronté à un déficit public préoccupant et à la perspective d'une procédure européenne pour déficits excessifs, l'exécutif s'est engagé dans une trajectoire d'assainissement visant </w:t>
      </w:r>
      <w:r w:rsidDel="00000000" w:rsidR="00000000" w:rsidRPr="00000000">
        <w:rPr>
          <w:rFonts w:ascii="Google Sans" w:cs="Google Sans" w:eastAsia="Google Sans" w:hAnsi="Google Sans"/>
          <w:color w:val="1f1f1f"/>
        </w:rPr>
        <w:drawing>
          <wp:inline distB="19050" distT="19050" distL="19050" distR="19050">
            <wp:extent cx="555328" cy="236174"/>
            <wp:effectExtent b="0" l="0" r="0" t="0"/>
            <wp:docPr id="9"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55328" cy="236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milliards d'euros d'économies d'ici 2029</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dynamique se traduit par des réformes structurelles majeures de l'assurance-chômage et des pensions, présentées comme des nécessités économiques pour garantir la viabilité financière à long terme face au vieillissement de la population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Pour la coalition au pouvoir, composée de la N-VA, du MR, des Engagés, du CD&amp;V et de Vooruit, l'activation des allocataires sociaux est le principal levier pour atteindre un taux d'emploi cible de </w:t>
      </w:r>
      <w:r w:rsidDel="00000000" w:rsidR="00000000" w:rsidRPr="00000000">
        <w:rPr>
          <w:rFonts w:ascii="Google Sans" w:cs="Google Sans" w:eastAsia="Google Sans" w:hAnsi="Google Sans"/>
          <w:color w:val="1f1f1f"/>
        </w:rPr>
        <w:drawing>
          <wp:inline distB="19050" distT="19050" distL="19050" distR="19050">
            <wp:extent cx="316904" cy="213425"/>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6904" cy="21342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président de la N-VA conçoit cette offensive sociale sans la participation du Parti Socialiste (PS) au niveau fédéral comme une forme de réforme de l'État par la régionalisation de fait des allocations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parallèle, Pieter Timmermans, représentant de la Fédération des Entreprises de Belgique (FEB), souligne que le Premier ministre doit désormais agir en véritable gestionnaire de crise face aux incertitudes mondiales et aux contraintes budgétaires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Paramètres du modèle social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Compromis historique (1944)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Réformes de la Coalition Arizona (2025-2026)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Philosophie directrice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Droit protecteur inconditionnel et sécurité d'existence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Responsabilité individuelle et employabilité contrainte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Gestion du chômage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Indemnisation non limitée dans le temps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Limitation temporelle stricte et dégressivité accélérée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Objectif budgétaire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Redistribution et soutien à la demande globale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Assainissement public de </w:t>
            </w:r>
            <w:r w:rsidDel="00000000" w:rsidR="00000000" w:rsidRPr="00000000">
              <w:rPr>
                <w:rFonts w:ascii="Google Sans" w:cs="Google Sans" w:eastAsia="Google Sans" w:hAnsi="Google Sans"/>
                <w:color w:val="1f1f1f"/>
                <w:shd w:fill="auto" w:val="clear"/>
              </w:rPr>
              <w:drawing>
                <wp:inline distB="19050" distT="19050" distL="19050" distR="19050">
                  <wp:extent cx="307578" cy="211460"/>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07578" cy="21146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milliards d'euros d'ici 2029</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Taux d'emploi cible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Stabilisation du marché du travail après-guerre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Objectif de </w:t>
            </w:r>
            <w:r w:rsidDel="00000000" w:rsidR="00000000" w:rsidRPr="00000000">
              <w:rPr>
                <w:rFonts w:ascii="Google Sans" w:cs="Google Sans" w:eastAsia="Google Sans" w:hAnsi="Google Sans"/>
                <w:color w:val="1f1f1f"/>
                <w:shd w:fill="auto" w:val="clear"/>
              </w:rPr>
              <w:drawing>
                <wp:inline distB="19050" distT="19050" distL="19050" distR="19050">
                  <wp:extent cx="316904" cy="213425"/>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6904" cy="2134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d'emploi par l'activation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baromètre des précaires : l'onde de choc de l'exclusion de masse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fin de l'exception historique de l'assurance-chômage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réforme de l'assurance-chômage, issue de l'accord de coalition du 31 janvier 2025 et formalisée dans le projet de loi-programme du 27 mai 2025, met un terme à la spécificité belge d'une indemnisation illimitée dans le temps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Depuis le 1er mars 2026, la perception des allocations de chômage complet est limitée à une durée maximale de 24 mois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Cette mesure introduit un barème d'éligibilité strict : une année d'activité professionnelle au cours des trois années précédant la demande ouvre le droit à un an d'allocations, chaque tranche supplémentaire de quatre mois prestés ajoutant un mois d'indemnisation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Le plafond de 24 mois requiert ainsi de justifier de cinq années de travail antérieur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De plus, le stage d'attente est uniformisé à un an pour l'ensemble des demandeurs d'emploi, sans distinction de tranche d'âge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L'impact social de ce tournant normatif s'annonce massif à partir de la mi-2026, période où les premières vagues d'exclusions automatiques menacent de priver d'allocations plus de </w:t>
      </w:r>
      <w:r w:rsidDel="00000000" w:rsidR="00000000" w:rsidRPr="00000000">
        <w:rPr>
          <w:rFonts w:ascii="Google Sans" w:cs="Google Sans" w:eastAsia="Google Sans" w:hAnsi="Google Sans"/>
          <w:color w:val="1f1f1f"/>
        </w:rPr>
        <w:drawing>
          <wp:inline distB="19050" distT="19050" distL="19050" distR="19050">
            <wp:extent cx="620415" cy="236653"/>
            <wp:effectExtent b="0" l="0" r="0" t="0"/>
            <wp:docPr id="1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20415" cy="236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personnes. Pour un demandeur d'emploi en situation de précarité, la perte des allocations s'accompagne du retrait des attestations de l'Office National de l'Emploi (ONEM)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Ce retrait compromet gravement l'accès à la couverture de soins de santé de base ainsi qu'aux indemnités de maladie et d'invalidité</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Les travailleurs de plus de 55 ans sont particulièrement vulnérables : environ </w:t>
      </w:r>
      <w:r w:rsidDel="00000000" w:rsidR="00000000" w:rsidRPr="00000000">
        <w:rPr>
          <w:rFonts w:ascii="Google Sans" w:cs="Google Sans" w:eastAsia="Google Sans" w:hAnsi="Google Sans"/>
          <w:color w:val="1f1f1f"/>
        </w:rPr>
        <w:drawing>
          <wp:inline distB="19050" distT="19050" distL="19050" distR="19050">
            <wp:extent cx="522486" cy="235756"/>
            <wp:effectExtent b="0" l="0" r="0" t="0"/>
            <wp:docPr id="1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22486" cy="2357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seniors se trouvent pris au piège, incapables de justifier des critères de carrière durcis et exclus des anciens dispositifs de chômage avec complément d'entreprise (RCC) désormais abrogés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L'asymétrie de genre et la précarité féminine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réforme des pensions promulguée le 1er juin 2026 aggrave ces dynamiques d'exclusion en introduisant de nouvelles exigences de travail effectif</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Pour prétendre à la pension minimum garantie ou accéder à la pension anticipée dès 60 ans, les travailleurs doivent justifier de carrières continues de 42 ans, chaque année devant compter au moins 234 jours de travail effectif</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règle pénalise directement les femmes, largement surreprésentées dans le travail à temps partiel subi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Les syndicats estiment que </w:t>
      </w:r>
      <w:r w:rsidDel="00000000" w:rsidR="00000000" w:rsidRPr="00000000">
        <w:rPr>
          <w:rFonts w:ascii="Google Sans" w:cs="Google Sans" w:eastAsia="Google Sans" w:hAnsi="Google Sans"/>
          <w:color w:val="1f1f1f"/>
        </w:rPr>
        <w:drawing>
          <wp:inline distB="19050" distT="19050" distL="19050" distR="19050">
            <wp:extent cx="620415" cy="236653"/>
            <wp:effectExtent b="0" l="0" r="0" t="0"/>
            <wp:docPr id="1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620415" cy="236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travailleuses à temps partiel ne pourront jamais atteindre ce seuil de 234 jours par an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Cette disposition risque de précipiter une part significative d'entre elles sous le seuil de pauvreté, alors que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des pensionnées belges y sont déjà confrontées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L'impact est d'autant plus lourd que la réforme réduit rétroactivement la prise en compte des périodes assimilées, comme le chômage de longue durée et les interruptions de carrière, calculées sur la base d'un salaire fictif limité au plafond salarial minimum à compter du 1er février 2025</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L'Institut Fédéral des Droits Humains (IFDH) a émis de vives réserves sur la conformité de ces réformes avec le principe de </w:t>
      </w:r>
      <w:r w:rsidDel="00000000" w:rsidR="00000000" w:rsidRPr="00000000">
        <w:rPr>
          <w:rFonts w:ascii="Google Sans" w:cs="Google Sans" w:eastAsia="Google Sans" w:hAnsi="Google Sans"/>
          <w:i w:val="1"/>
          <w:iCs w:val="1"/>
          <w:color w:val="1f1f1f"/>
          <w:rtl w:val="0"/>
        </w:rPr>
        <w:t xml:space="preserve">standstill</w:t>
      </w:r>
      <w:r w:rsidDel="00000000" w:rsidR="00000000" w:rsidRPr="00000000">
        <w:rPr>
          <w:rFonts w:ascii="Google Sans" w:cs="Google Sans" w:eastAsia="Google Sans" w:hAnsi="Google Sans"/>
          <w:color w:val="1f1f1f"/>
          <w:rtl w:val="0"/>
        </w:rPr>
        <w:t xml:space="preserve"> (non-régression social) garanti par l'article 23 de la Constitution belge, signalant un recul injustifié du niveau de protection sociale existant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baromètre du citoyen moyen : blocage salarial, déclassement et rationnement des soins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gel de la marge salariale et l'application de la Centenindex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citoyen moyen inséré dans l'emploi fait face à un sentiment de déclassement face à l'érosion continue de son pouvoir d'achat. Pour la période 2025-2026, la marge maximale de négociation salariale réelle a été fixée par arrêté royal à </w:t>
      </w:r>
      <w:r w:rsidDel="00000000" w:rsidR="00000000" w:rsidRPr="00000000">
        <w:rPr>
          <w:rFonts w:ascii="Google Sans" w:cs="Google Sans" w:eastAsia="Google Sans" w:hAnsi="Google Sans"/>
          <w:color w:val="1f1f1f"/>
        </w:rPr>
        <w:drawing>
          <wp:inline distB="19050" distT="19050" distL="19050" distR="19050">
            <wp:extent cx="261144" cy="241558"/>
            <wp:effectExtent b="0" l="0" r="0" t="0"/>
            <wp:docPr id="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1144" cy="241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vertu de la loi de 1996 relative à la promotion de l'emploi et à la sauvegarde préventive de la compétitivité</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En dehors de l'indexation automatique et des augmentations barémiques, aucune revalorisation n'est possible, à l'exception d'une mesure transitoire autorisant une augmentation maximale de </w:t>
      </w:r>
      <w:r w:rsidDel="00000000" w:rsidR="00000000" w:rsidRPr="00000000">
        <w:rPr>
          <w:rFonts w:ascii="Google Sans" w:cs="Google Sans" w:eastAsia="Google Sans" w:hAnsi="Google Sans"/>
          <w:color w:val="1f1f1f"/>
        </w:rPr>
        <w:drawing>
          <wp:inline distB="19050" distT="19050" distL="19050" distR="19050">
            <wp:extent cx="98028" cy="241804"/>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98028" cy="241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de l'intervention de l'employeur dans les chèques-repas pour l'année 2026</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blocage est accentué par l'introduction de la "Centenindex" (ou indexation en centimes), adoptée le 28 mai 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Ce mécanisme plafonne temporairement l'indexation automatique pour la tranche des salaires supérieure à </w:t>
      </w:r>
      <w:r w:rsidDel="00000000" w:rsidR="00000000" w:rsidRPr="00000000">
        <w:rPr>
          <w:rFonts w:ascii="Google Sans" w:cs="Google Sans" w:eastAsia="Google Sans" w:hAnsi="Google Sans"/>
          <w:color w:val="1f1f1f"/>
        </w:rPr>
        <w:drawing>
          <wp:inline distB="19050" distT="19050" distL="19050" distR="19050">
            <wp:extent cx="424557" cy="234457"/>
            <wp:effectExtent b="0" l="0" r="0" t="0"/>
            <wp:docPr id="1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24557" cy="234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bruts par mois et des allocations supérieures à </w:t>
      </w:r>
      <w:r w:rsidDel="00000000" w:rsidR="00000000" w:rsidRPr="00000000">
        <w:rPr>
          <w:rFonts w:ascii="Google Sans" w:cs="Google Sans" w:eastAsia="Google Sans" w:hAnsi="Google Sans"/>
          <w:color w:val="1f1f1f"/>
        </w:rPr>
        <w:drawing>
          <wp:inline distB="19050" distT="19050" distL="19050" distR="19050">
            <wp:extent cx="424557" cy="234457"/>
            <wp:effectExtent b="0" l="0" r="0" t="0"/>
            <wp:docPr id="1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24557" cy="234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bruts par mois, en organisant un gel de l'indexation sur la partie excédentaire jusqu'à concurrence de </w:t>
      </w:r>
      <w:r w:rsidDel="00000000" w:rsidR="00000000" w:rsidRPr="00000000">
        <w:rPr>
          <w:rFonts w:ascii="Google Sans" w:cs="Google Sans" w:eastAsia="Google Sans" w:hAnsi="Google Sans"/>
          <w:color w:val="1f1f1f"/>
        </w:rPr>
        <w:drawing>
          <wp:inline distB="19050" distT="19050" distL="19050" distR="19050">
            <wp:extent cx="261144" cy="241558"/>
            <wp:effectExtent b="0" l="0" r="0" t="0"/>
            <wp:docPr id="2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61144" cy="2415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La mesure s'articule en deux phases : la première débute le 1er juin 2026, tandis que la seconde phase d'indexation plafonnée est programmée à partir du 1er janvier 2028</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employeurs réalisant une économie sur la masse salariale grâce à ce plafonnement sont tenus de reverser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22"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l'avantage financier à l'État sous la forme d'une nouvelle cotisation sociale spéciale de modération salariale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Pour la classe moyenne supérieure et les profils qualifiés, cette perte de pouvoir d'achat est perçue comme une punition fiscale asymétrique, d'autant plus que l'accord de coalition favorise parallèlement les hauts patrimoines et renforce l'attractivité du statut fiscal des impatriés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Mécanisme de la Centenindex (Indexation plafonnée) :</w:t>
        <w:br w:type="textWrapping"/>
        <w:t xml:space="preserve">├── Salaire brut ≤ 4 000 € (Allocations ≤ 2 000 €) : Indexation appliquée à 100 %</w:t>
        <w:br w:type="textWrapping"/>
        <w:t xml:space="preserve">└── Salaire brut &gt; 4 000 € (Allocations &gt; 2 000 €) : Plafonnement de l'indexation à 2 % sur la part excédentaire</w:t>
        <w:br w:type="textWrapping"/>
        <w:t xml:space="preserve">     └── Redistribution : 50 % de l'économie patronale reversée à l'État via la cotisation spéciale</w:t>
        <w:br w:type="textWrapping"/>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réduction du budget de la santé et la remise en cause des statuts de protection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budget national de la santé subit une contrainte sans précédent, sa norme de croissance réelle ayant été limitée à </w:t>
      </w:r>
      <w:r w:rsidDel="00000000" w:rsidR="00000000" w:rsidRPr="00000000">
        <w:rPr>
          <w:rFonts w:ascii="Google Sans" w:cs="Google Sans" w:eastAsia="Google Sans" w:hAnsi="Google Sans"/>
          <w:color w:val="1f1f1f"/>
        </w:rPr>
        <w:drawing>
          <wp:inline distB="19050" distT="19050" distL="19050" distR="19050">
            <wp:extent cx="261144" cy="241558"/>
            <wp:effectExtent b="0" l="0" r="0" t="0"/>
            <wp:docPr id="2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261144" cy="241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pour l'exercice 2026 par rapport à la trajectoire de </w:t>
      </w:r>
      <w:r w:rsidDel="00000000" w:rsidR="00000000" w:rsidRPr="00000000">
        <w:rPr>
          <w:rFonts w:ascii="Google Sans" w:cs="Google Sans" w:eastAsia="Google Sans" w:hAnsi="Google Sans"/>
          <w:color w:val="1f1f1f"/>
        </w:rPr>
        <w:drawing>
          <wp:inline distB="19050" distT="19050" distL="19050" distR="19050">
            <wp:extent cx="413643" cy="239137"/>
            <wp:effectExtent b="0" l="0" r="0" t="0"/>
            <wp:docPr id="24"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413643" cy="239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initialement requise pour absorber le vieillissement de la population et les coûts des thérapies innovantes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Ce sous-financement, qui représente un écart de près de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2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millions d'euros, se traduit concrètement pour les ménages par une hausse significative des tickets modérateurs et des suppléments d'honoraires pratiqués par les prestataires de soins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outre, la volonté politique affichée par la N-VA de réduire de moitié le nombre de bénéficiaires de l'intervention majorée (statut BIM), qui protège actuellement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26"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 population contre le risque de pauvreté en leur offrant des tarifs préférentiels pour l'énergie, les transports et les visites médicales, menace directement le reste à charge des classes moyennes inférieures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Cette logique comptable marque la fin du compromis fordiste des Trente Glorieuses (1950-1970), caractérisé par une redistribution équitable des gains de productivité et une hausse immédiate de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2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 salaire réel à la Libération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baromètre de la société civile et des pouvoirs locaux : l'asphyxie financière et institutionnelle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L'engorgement structurel des CPAS et le dilemme de l'article 60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institutions locales et le tissu associatif font office de amortisseurs et de lanceurs d'alerte face à la saturation des structures d'aide sociale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L'exclusion des chômeurs au niveau fédéral provoque un report massif de charges financières estimé à </w:t>
      </w:r>
      <w:r w:rsidDel="00000000" w:rsidR="00000000" w:rsidRPr="00000000">
        <w:rPr>
          <w:rFonts w:ascii="Google Sans" w:cs="Google Sans" w:eastAsia="Google Sans" w:hAnsi="Google Sans"/>
          <w:color w:val="1f1f1f"/>
        </w:rPr>
        <w:drawing>
          <wp:inline distB="19050" distT="19050" distL="19050" distR="19050">
            <wp:extent cx="259358" cy="213970"/>
            <wp:effectExtent b="0" l="0" r="0" t="0"/>
            <wp:docPr id="2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259358" cy="213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millions d'euros vers le Revenu d'Intégration Sociale (RIS) géré par les communes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Les présidents de CPAS anticipent une situation ingérable, les délais de traitement des nouveaux dossiers d'aide sociale s'allongeant à un horizon de 10 à 12 mois dans les grandes agglomérations urbaines, période durant laquelle les personnes exclues se retrouvent privées de toutes ressources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 afflux déstabilise le dispositif d'insertion professionnelle de l'article 60, §7, de la loi organique des CPAS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Traditionnellement, les CPAS engagent des bénéficiaires du RIS sous ce statut pour la durée nécessaire à l'obtention du bénéfice complet des allocations de chômage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Or, les nouvelles règles fédérales limitant le chômage à deux ans imposent désormais de justifier d'un passé professionnel de cinq ans pour ouvrir ce droit maximal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Les CPAS font face à un dilemme insoluble : soit prolonger les contrats d'insertion jusqu'à cinq ans, ce qui asphyxie leurs budgets et limite leur capacité d'accueil de nouveaux demandeurs, soit limiter les contrats à un an, ce qui n'ouvre droit qu'à une seule année de chômage, enfermant les bénéficiaires dans un cycle répétitif d'exclusion et de réintégration précaire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Métrique d'impact territorial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Flandre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Wallonie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Région de Bruxelles-Capitale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Proportion de chômeurs de longue durée (&gt; 2 ans)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16904" cy="213425"/>
                  <wp:effectExtent b="0" l="0" r="0" t="0"/>
                  <wp:docPr id="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16904" cy="2134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16904" cy="213425"/>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16904" cy="2134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16904" cy="213425"/>
                  <wp:effectExtent b="0" l="0" r="0" t="0"/>
                  <wp:docPr id="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16904" cy="2134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Pression de transfert financier vers les CPAS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Modérée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Élevée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Critique (</w:t>
            </w:r>
            <w:r w:rsidDel="00000000" w:rsidR="00000000" w:rsidRPr="00000000">
              <w:rPr>
                <w:rFonts w:ascii="Google Sans" w:cs="Google Sans" w:eastAsia="Google Sans" w:hAnsi="Google Sans"/>
                <w:color w:val="1f1f1f"/>
                <w:shd w:fill="auto" w:val="clear"/>
              </w:rPr>
              <w:drawing>
                <wp:inline distB="19050" distT="19050" distL="19050" distR="19050">
                  <wp:extent cx="259358" cy="213970"/>
                  <wp:effectExtent b="0" l="0" r="0" t="0"/>
                  <wp:docPr id="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259358" cy="21397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 d'afflux estimé)</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Délai moyen de traitement des dossiers RIS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à 3 mois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à 8 mois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à 12 mois</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L'austérité budgétaire en Région bruxelloise et l'asphyxie associative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l'échelon régional, la formation particulièrement tardive du gouvernement de Boris Dilliès (MR) le 14 février 2026, après un blocage politique de 615 jours, s'est accompagnée d'un tournant d'austérité budgétaire particulièrement rigoureux</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Le budget 2026 de la Région bruxelloise, adopté le 23 mars 2026 après plusieurs mois de douzièmes provisoires, affiche un déficit structurel de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millions d'euros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L'exécutif régional a annoncé un plan de restructuration administrative prévoyant la fusion de 25 organismes régionaux en 4 grands piliers transversaux afin de générer entre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millions d'euros d'économies d'ici 2029</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politique de rigueur frappe de plein fouet le secteur associatif de terrain ainsi que l'enseignement de promotion sociale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Au printemps 2026, le gouvernement a temporairement gelé les subventions de fonctionnement de plusieurs associations environnementales et de mobilité, à l'instar du BRAL et d'Inter-Environnement Bruxelles (IEB), sous prétexte que ces structures menaient des recours juridiques répétés contre les projets d'aménagement de la Région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Bien que ces subsides aient été débloqués en juin 2026 à la suite d'un accord politique au sein de la majorité, cet épisode a illustré la volonté du pouvoir exécutif de mettre au pas les contre-pouvoirs associatifs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mobilisation juridique contre la Loi Quintin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tension entre l'exécutif et la société civile s'est également cristallisée autour du projet de la « Loi Quintin », porté par le ministre de l'Intérieur Bernard Quintin (MR) depuis l'accord gouvernemental de l'été 2025</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Dans sa version initiale, cet avant-projet de loi visait à octroyer au Conseil des ministres le pouvoir d'interdire et de dissoudre, par simple décision administrative extrajudiciaire, des associations qualifiées d'« organisations radicales et dangereuses pour l'ordre public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syndicats, les juristes constitutionnalistes et les organisations de défense des droits humains se sont mobilisés en masse, dénonçant un risque d'arbitraire gouvernemental et une criminalisation directe de la protestation sociale et de la désobéissance civile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L'Institut fédéral pour la protection et la promotion des droits humains (IFDH) ainsi que le Conseil d'État ont émis des avis extrêmement critiques, soulignant que le texte violait la liberté d'association garantie par l'article 27 de la Constitution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Face à ce revers juridique, le gouvernement a été contraint d'annoncer, le 8 janvier 2026, l'abandon du pouvoir de dissolution administrative directe, déléguant cette prérogative exclusive à un juge du siège, bien que le projet maintienne des possibilités de suspension temporaire d'activité particulièrement contestées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baromètre de la contestation sociale : polarisation et radicalisation des luttes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L'intensification des conflits sectoriels et la riposte syndicale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contestation sociale s'est fortement radicalisée au cours du premier semestre 2026 en réponse à la déconstruction des protections du Code du travail. Le conflit s'est engagé dès la fin de l'année 2025 à la suite de treize jours de blocages structurels menés par les secteurs des transports et de la santé</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Le début de l'année 2026 a vu une escalade des conflits industriels et de la grève générale nationale du 31 mars 2026, paralysant une grande partie des secteurs public et privé</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Cette journée a été suivie par d'autres mobilisations majeures le 29 avril 2026 et le 22 mai 2026, réunissant des dizaines de milliers de manifestants à Bruxelles sous la bannière commune de la défense du non-marchand, de l'accès aux soins de santé et du maintien du pouvoir d'achat face à l'inflation rampante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Chronologie de la mobilisation sociale en 2026 :</w:t>
        <w:br w:type="textWrapping"/>
        <w:t xml:space="preserve">├── Fin 2025 : Treize jours de blocages sectoriels (rail, santé, services publics)</w:t>
        <w:br w:type="textWrapping"/>
        <w:t xml:space="preserve">├── 8 Janvier 2026 : Recul partiel du ministre Bernard Quintin sur la Loi Quintin [cite: 30, 41]</w:t>
        <w:br w:type="textWrapping"/>
        <w:t xml:space="preserve">├── 12 Mars 2026 : Manifestation nationale d'envergure à Bruxelles [cite: 37, 42]</w:t>
        <w:br w:type="textWrapping"/>
        <w:t xml:space="preserve">├── 31 Mars 2026 : Grève générale nationale interprofessionnelle (public et privé)</w:t>
        <w:br w:type="textWrapping"/>
        <w:t xml:space="preserve">├── 29 Avril 2026 : Journée nationale d'actions décentralisées et piquets de grève [cite: 38]</w:t>
        <w:br w:type="textWrapping"/>
        <w:t xml:space="preserve">└── 22 Mai 2026 : Grande manifestation nationale du secteur de la santé et du non-marchand [cite: 40]</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tension aiguë rappelle la « Grève du Siècle » de l'hiver 1960-1961 menée contre la Loi Unique du gouvernement de Gaston Eyskens, plan d'austérité globale qui avait poussé </w:t>
      </w:r>
      <w:r w:rsidDel="00000000" w:rsidR="00000000" w:rsidRPr="00000000">
        <w:rPr>
          <w:rFonts w:ascii="Google Sans" w:cs="Google Sans" w:eastAsia="Google Sans" w:hAnsi="Google Sans"/>
          <w:color w:val="1f1f1f"/>
        </w:rPr>
        <w:drawing>
          <wp:inline distB="19050" distT="19050" distL="19050" distR="19050">
            <wp:extent cx="620415" cy="236653"/>
            <wp:effectExtent b="0" l="0" r="0" t="0"/>
            <wp:docPr id="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620415" cy="236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travailleurs à paralyser le pays pendant 34 jours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Toutefois, alors que la crise de 1961 avait débouché sur des divisions communautaires Nord-Sud et favorisé l'émergence du fédéralisme régionaliste (le renardisme), le mouvement social de 2026 se caractérise par un front syndical interprofessionnel uni à l'échelle nationale pour préserver le modèle redistributif fédéral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restriction du droit de grève et la bataille devant la Cour constitutionnelle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riposte de la coalition de Bart De Wever face à cette contestation prend un tournant coercitif</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L'accord de gouvernement Arizona affiche une volonté ferme d'encadrer et de limiter l'exercice du droit d'action collective sous prétexte d'éviter les « dommages économiques » pour les entreprises et de préserver l'ordre public</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L'exécutif a tenté d'introduire des sanctions administratives communales accrues pour les manifestants ainsi que des mécanismes d'interdiction judiciaire de manifester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Le front commun syndical (CSC-FGTB-CGSLB) a mené une opposition frontale, parvenant à faire voter à la Chambre un amendement retirant du projet de loi de réforme de la justice pénale les dispositions relatives à la sanction complémentaire d'interdiction judiciaire de manifester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Parallèlement à la rue, la contestation s'est déplacée devant la Cour constitutionnelle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Les syndicats ont introduit plusieurs recours en annulation et requêtes en suspension contre la rétroactivité des réformes des pensions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Ils attaquent notamment la modification rétroactive du calcul des années de carrière à 156 jours minimum par an, applicable y compris pour les années travaillées bien avant l'adoption de la loi, dénonçant une rupture disproportionnée de la confiance légitime des assurés sociaux et une discrimination indirecte majeure à l'égard des femmes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 Vers une polarisation durable de la démocratie sociale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de ce baromètre social augmenté pour la période 2024-2026 met en lumière une fracture structurelle au sein du modèle belge d'organisation collective. D'un côté, le pouvoir politique fédéral s'est installé dans une gestion comptable et d'orthodoxie budgétaire européenne, visant à flexibiliser le marché du travail et à réduire les dépenses publiques de protection sociale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 l'autre, la base citoyenne, les précaires et le tissu associatif partagent le sentiment d'une rupture unilatérale et brutale du contrat historique de solidarité hérité de l'après-guerre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confrontation directe déplace le traditionnel modèle de concertation sociale belge, fondé sur la recherche systématique du compromis et de la pacification, vers une arène de haute tension politique et juridique, où la rue et les tribunaux constitutionnels sont devenus les ultimes espaces de régulation démocratique.</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Bart De Wever, un an plus tard : des réformes sous contrainte budgétaire | Forbes Belgique, </w:t>
      </w:r>
      <w:hyperlink r:id="rId32">
        <w:r w:rsidDel="00000000" w:rsidR="00000000" w:rsidRPr="00000000">
          <w:rPr>
            <w:rFonts w:ascii="Google Sans" w:cs="Google Sans" w:eastAsia="Google Sans" w:hAnsi="Google Sans"/>
            <w:color w:val="0000ee"/>
            <w:sz w:val="24"/>
            <w:szCs w:val="24"/>
            <w:u w:val="single"/>
            <w:rtl w:val="0"/>
          </w:rPr>
          <w:t xml:space="preserve">https://www.forbes.be/fr/bart-de-wever-un-an-plus-tard-des-reformes-sous-contrainte-budgetaire/</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Projet de loi-programme (n° 909) - Institut fédéral des droits humains, </w:t>
      </w:r>
      <w:hyperlink r:id="rId33">
        <w:r w:rsidDel="00000000" w:rsidR="00000000" w:rsidRPr="00000000">
          <w:rPr>
            <w:rFonts w:ascii="Google Sans" w:cs="Google Sans" w:eastAsia="Google Sans" w:hAnsi="Google Sans"/>
            <w:color w:val="0000ee"/>
            <w:sz w:val="24"/>
            <w:szCs w:val="24"/>
            <w:u w:val="single"/>
            <w:rtl w:val="0"/>
          </w:rPr>
          <w:t xml:space="preserve">https://www.institutfederaldroitshumains.be/sites/default/files/2025-07/Avis-IFDH-Reforme-du-chomage-04-2025.pdf</w:t>
        </w:r>
      </w:hyperlink>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Mesures de l'accord de coalition fédérale 2025-2029 ayant un impact sur le statut social, </w:t>
      </w:r>
      <w:hyperlink r:id="rId34">
        <w:r w:rsidDel="00000000" w:rsidR="00000000" w:rsidRPr="00000000">
          <w:rPr>
            <w:rFonts w:ascii="Google Sans" w:cs="Google Sans" w:eastAsia="Google Sans" w:hAnsi="Google Sans"/>
            <w:color w:val="0000ee"/>
            <w:sz w:val="24"/>
            <w:szCs w:val="24"/>
            <w:u w:val="single"/>
            <w:rtl w:val="0"/>
          </w:rPr>
          <w:t xml:space="preserve">https://www.abc-cgg.be/fr/mesures-de-laccord-de-coalition-federale-2025-2029-ayant-un-impact-sur-le-statut-social</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DE COALITION FÉDÉRALE 2025-2029 - Belgium.be, </w:t>
      </w:r>
      <w:hyperlink r:id="rId35">
        <w:r w:rsidDel="00000000" w:rsidR="00000000" w:rsidRPr="00000000">
          <w:rPr>
            <w:rFonts w:ascii="Google Sans" w:cs="Google Sans" w:eastAsia="Google Sans" w:hAnsi="Google Sans"/>
            <w:color w:val="0000ee"/>
            <w:sz w:val="24"/>
            <w:szCs w:val="24"/>
            <w:u w:val="single"/>
            <w:rtl w:val="0"/>
          </w:rPr>
          <w:t xml:space="preserve">https://www.belgium.be/sites/default/files/resources/publication/files/Accord_gouvernemental-Bart_De_Wever_fr.pdf</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 pensioenhervorming - PROJET DE LOI WETSONTWERP, </w:t>
      </w:r>
      <w:hyperlink r:id="rId36">
        <w:r w:rsidDel="00000000" w:rsidR="00000000" w:rsidRPr="00000000">
          <w:rPr>
            <w:rFonts w:ascii="Google Sans" w:cs="Google Sans" w:eastAsia="Google Sans" w:hAnsi="Google Sans"/>
            <w:color w:val="0000ee"/>
            <w:sz w:val="24"/>
            <w:szCs w:val="24"/>
            <w:u w:val="single"/>
            <w:rtl w:val="0"/>
          </w:rPr>
          <w:t xml:space="preserve">https://www.lachambre.be/FLWB/PDF/56/1405/56K1405001.pdf</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 ce qui passe, ce qui casse pour les cinq partis de l'Arizona : r/Wallonia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https://www.reddit.com/r/Wallonia/comments/1uwxn2e/budget_ce_qui_passe_ce_qui_casse_pour_les_cinq/</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Moins de chômage, plus de travailleurs pauvres - Ensemble, </w:t>
      </w:r>
      <w:hyperlink r:id="rId38">
        <w:r w:rsidDel="00000000" w:rsidR="00000000" w:rsidRPr="00000000">
          <w:rPr>
            <w:rFonts w:ascii="Google Sans" w:cs="Google Sans" w:eastAsia="Google Sans" w:hAnsi="Google Sans"/>
            <w:color w:val="0000ee"/>
            <w:sz w:val="24"/>
            <w:szCs w:val="24"/>
            <w:u w:val="single"/>
            <w:rtl w:val="0"/>
          </w:rPr>
          <w:t xml:space="preserve">https://www.ensemble.be/wp-content/uploads/2025/02/Ensemble-115_en-ligne.pdf?fbclid=IwY2xjawJQ_SxleHRuA2FlbQIxMAABHZIUCpQIjHw_ytF48teVLwJ4rsSYVEzWKZTpG-PveXDE2lCryvUx__bsyg_aem_rX-sLmLPPd608IDDZmpJWA</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Décoder l'Arizona (2/4) : la marchandisation accélérée de la Sécurité sociale - Politique, </w:t>
      </w:r>
      <w:hyperlink r:id="rId39">
        <w:r w:rsidDel="00000000" w:rsidR="00000000" w:rsidRPr="00000000">
          <w:rPr>
            <w:rFonts w:ascii="Google Sans" w:cs="Google Sans" w:eastAsia="Google Sans" w:hAnsi="Google Sans"/>
            <w:color w:val="0000ee"/>
            <w:sz w:val="24"/>
            <w:szCs w:val="24"/>
            <w:u w:val="single"/>
            <w:rtl w:val="0"/>
          </w:rPr>
          <w:t xml:space="preserve">https://www.revuepolitique.be/decoder-larizona-2-4-la-marchandisation-acceleree-de-la-securite-sociale/</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Belgique serre la vis aux chômeurs longue durée - Les Frontaliers, </w:t>
      </w:r>
      <w:hyperlink r:id="rId40">
        <w:r w:rsidDel="00000000" w:rsidR="00000000" w:rsidRPr="00000000">
          <w:rPr>
            <w:rFonts w:ascii="Google Sans" w:cs="Google Sans" w:eastAsia="Google Sans" w:hAnsi="Google Sans"/>
            <w:color w:val="0000ee"/>
            <w:sz w:val="24"/>
            <w:szCs w:val="24"/>
            <w:u w:val="single"/>
            <w:rtl w:val="0"/>
          </w:rPr>
          <w:t xml:space="preserve">https://www.lesfrontaliers.lu/emploi/la-belgique-serre-la-vis-aux-chomeurs-longue-duree/</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de coalition fédérale 2025-2029 | Impôt des personnes physiques - Baker Tilly, </w:t>
      </w:r>
      <w:hyperlink r:id="rId41">
        <w:r w:rsidDel="00000000" w:rsidR="00000000" w:rsidRPr="00000000">
          <w:rPr>
            <w:rFonts w:ascii="Google Sans" w:cs="Google Sans" w:eastAsia="Google Sans" w:hAnsi="Google Sans"/>
            <w:color w:val="0000ee"/>
            <w:sz w:val="24"/>
            <w:szCs w:val="24"/>
            <w:u w:val="single"/>
            <w:rtl w:val="0"/>
          </w:rPr>
          <w:t xml:space="preserve">https://bakertilly.be/fr/news/accord-de-coalition-federale-2025-2029-impot-des-personnes-physiques/</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Effets de la limitation des allocations de chômage sur l'article 60, §7 de la Loi organique (« Emploi d'insertion - Brulocalis, </w:t>
      </w:r>
      <w:hyperlink r:id="rId42">
        <w:r w:rsidDel="00000000" w:rsidR="00000000" w:rsidRPr="00000000">
          <w:rPr>
            <w:rFonts w:ascii="Google Sans" w:cs="Google Sans" w:eastAsia="Google Sans" w:hAnsi="Google Sans"/>
            <w:color w:val="0000ee"/>
            <w:sz w:val="24"/>
            <w:szCs w:val="24"/>
            <w:u w:val="single"/>
            <w:rtl w:val="0"/>
          </w:rPr>
          <w:t xml:space="preserve">https://brulocalis.brussels/sites/default/files/2025-05/C.%20Caldarini_Effets%20de%20la%20limitation%20des%20allocations%20de%20ch%C3%B4mage.pdf</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Réforme des pensions 2025–2029 | Service fédéral des Pensions, </w:t>
      </w:r>
      <w:hyperlink r:id="rId43">
        <w:r w:rsidDel="00000000" w:rsidR="00000000" w:rsidRPr="00000000">
          <w:rPr>
            <w:rFonts w:ascii="Google Sans" w:cs="Google Sans" w:eastAsia="Google Sans" w:hAnsi="Google Sans"/>
            <w:color w:val="0000ee"/>
            <w:sz w:val="24"/>
            <w:szCs w:val="24"/>
            <w:u w:val="single"/>
            <w:rtl w:val="0"/>
          </w:rPr>
          <w:t xml:space="preserve">https://www.sfpd.fgov.be/fr/changements/reforme-des-pensions/</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Réforme des pensions : la loi a été publiée - Group S, </w:t>
      </w:r>
      <w:hyperlink r:id="rId44">
        <w:r w:rsidDel="00000000" w:rsidR="00000000" w:rsidRPr="00000000">
          <w:rPr>
            <w:rFonts w:ascii="Google Sans" w:cs="Google Sans" w:eastAsia="Google Sans" w:hAnsi="Google Sans"/>
            <w:color w:val="0000ee"/>
            <w:sz w:val="24"/>
            <w:szCs w:val="24"/>
            <w:u w:val="single"/>
            <w:rtl w:val="0"/>
          </w:rPr>
          <w:t xml:space="preserve">https://www.groups.be/fr/hr-news/reforme-des-pensions-la-loi-a-ete-publiee</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CEPRé de chez vous - FGTB - Centre, </w:t>
      </w:r>
      <w:hyperlink r:id="rId45">
        <w:r w:rsidDel="00000000" w:rsidR="00000000" w:rsidRPr="00000000">
          <w:rPr>
            <w:rFonts w:ascii="Google Sans" w:cs="Google Sans" w:eastAsia="Google Sans" w:hAnsi="Google Sans"/>
            <w:color w:val="0000ee"/>
            <w:sz w:val="24"/>
            <w:szCs w:val="24"/>
            <w:u w:val="single"/>
            <w:rtl w:val="0"/>
          </w:rPr>
          <w:t xml:space="preserve">https://www.fgtbcentre.be/wp-content/uploads/2024/09/AVRIL.pdf</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Réforme des pensions - CSC, </w:t>
      </w:r>
      <w:hyperlink r:id="rId46">
        <w:r w:rsidDel="00000000" w:rsidR="00000000" w:rsidRPr="00000000">
          <w:rPr>
            <w:rFonts w:ascii="Google Sans" w:cs="Google Sans" w:eastAsia="Google Sans" w:hAnsi="Google Sans"/>
            <w:color w:val="0000ee"/>
            <w:sz w:val="24"/>
            <w:szCs w:val="24"/>
            <w:u w:val="single"/>
            <w:rtl w:val="0"/>
          </w:rPr>
          <w:t xml:space="preserve">https://www.lacsc.be/vos-droits/travailler-dans-le-secteur-prive/pension/reforme-des-pensions</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Réforme des pensions: info ou intox ? - Les Engagés, </w:t>
      </w:r>
      <w:hyperlink r:id="rId47">
        <w:r w:rsidDel="00000000" w:rsidR="00000000" w:rsidRPr="00000000">
          <w:rPr>
            <w:rFonts w:ascii="Google Sans" w:cs="Google Sans" w:eastAsia="Google Sans" w:hAnsi="Google Sans"/>
            <w:color w:val="0000ee"/>
            <w:sz w:val="24"/>
            <w:szCs w:val="24"/>
            <w:u w:val="single"/>
            <w:rtl w:val="0"/>
          </w:rPr>
          <w:t xml:space="preserve">https://www.lesengages.be/actualite/reforme-des-pensions-info-ou-intox/</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Norme salariale 2025-2026 : confirmation par arrêté royal | Group S, </w:t>
      </w:r>
      <w:hyperlink r:id="rId48">
        <w:r w:rsidDel="00000000" w:rsidR="00000000" w:rsidRPr="00000000">
          <w:rPr>
            <w:rFonts w:ascii="Google Sans" w:cs="Google Sans" w:eastAsia="Google Sans" w:hAnsi="Google Sans"/>
            <w:color w:val="0000ee"/>
            <w:sz w:val="24"/>
            <w:szCs w:val="24"/>
            <w:u w:val="single"/>
            <w:rtl w:val="0"/>
          </w:rPr>
          <w:t xml:space="preserve">https://www.groups.be/fr/hr-news/norme-salariale-2025-2026-confirmation-par-arrete-royal</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marge maximale pour l'évolution du coût salarial pour la période 2025-2026 est fixée à 0%. Les indexations et les augmentations barémiques restent toujours garanties. | Claeys &amp; Engels, </w:t>
      </w:r>
      <w:hyperlink r:id="rId49">
        <w:r w:rsidDel="00000000" w:rsidR="00000000" w:rsidRPr="00000000">
          <w:rPr>
            <w:rFonts w:ascii="Google Sans" w:cs="Google Sans" w:eastAsia="Google Sans" w:hAnsi="Google Sans"/>
            <w:color w:val="0000ee"/>
            <w:sz w:val="24"/>
            <w:szCs w:val="24"/>
            <w:u w:val="single"/>
            <w:rtl w:val="0"/>
          </w:rPr>
          <w:t xml:space="preserve">https://www.claeysengels.be/fr-be/nouvelles-evenements/la-marge-maximale-pour-levolution-du-cout-salarial-pour-la-periode-2025-2026</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Norme salariale | SPF Emploi - Travail et Concertation sociale, </w:t>
      </w:r>
      <w:hyperlink r:id="rId50">
        <w:r w:rsidDel="00000000" w:rsidR="00000000" w:rsidRPr="00000000">
          <w:rPr>
            <w:rFonts w:ascii="Google Sans" w:cs="Google Sans" w:eastAsia="Google Sans" w:hAnsi="Google Sans"/>
            <w:color w:val="0000ee"/>
            <w:sz w:val="24"/>
            <w:szCs w:val="24"/>
            <w:u w:val="single"/>
            <w:rtl w:val="0"/>
          </w:rPr>
          <w:t xml:space="preserve">https://emploi.belgique.be/fr/themes/remuneration/norme-salariale</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Qu'en est-il de l'indexation en centimes ? - Acerta, </w:t>
      </w:r>
      <w:hyperlink r:id="rId51">
        <w:r w:rsidDel="00000000" w:rsidR="00000000" w:rsidRPr="00000000">
          <w:rPr>
            <w:rFonts w:ascii="Google Sans" w:cs="Google Sans" w:eastAsia="Google Sans" w:hAnsi="Google Sans"/>
            <w:color w:val="0000ee"/>
            <w:sz w:val="24"/>
            <w:szCs w:val="24"/>
            <w:u w:val="single"/>
            <w:rtl w:val="0"/>
          </w:rPr>
          <w:t xml:space="preserve">https://www.acerta.be/fr/inspiration/quen-est-il-de-lindexation-en-centimes</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Modération salariale dès juin 2026 : la loi est votée ! | UCM, </w:t>
      </w:r>
      <w:hyperlink r:id="rId52">
        <w:r w:rsidDel="00000000" w:rsidR="00000000" w:rsidRPr="00000000">
          <w:rPr>
            <w:rFonts w:ascii="Google Sans" w:cs="Google Sans" w:eastAsia="Google Sans" w:hAnsi="Google Sans"/>
            <w:color w:val="0000ee"/>
            <w:sz w:val="24"/>
            <w:szCs w:val="24"/>
            <w:u w:val="single"/>
            <w:rtl w:val="0"/>
          </w:rPr>
          <w:t xml:space="preserve">https://www.ucm.be/actualites/moderation-salariale-des-juin-2026-la-loi-est-votee</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 Salaire - CSC, </w:t>
      </w:r>
      <w:hyperlink r:id="rId53">
        <w:r w:rsidDel="00000000" w:rsidR="00000000" w:rsidRPr="00000000">
          <w:rPr>
            <w:rFonts w:ascii="Google Sans" w:cs="Google Sans" w:eastAsia="Google Sans" w:hAnsi="Google Sans"/>
            <w:color w:val="0000ee"/>
            <w:sz w:val="24"/>
            <w:szCs w:val="24"/>
            <w:u w:val="single"/>
            <w:rtl w:val="0"/>
          </w:rPr>
          <w:t xml:space="preserve">https://www.lacsc.be/vos-droits/travailler-dans-le-secteur-prive/salaire/index-salaire</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Indexation en centimes : focus sur la cotisation de modération salariale | Group S, </w:t>
      </w:r>
      <w:hyperlink r:id="rId54">
        <w:r w:rsidDel="00000000" w:rsidR="00000000" w:rsidRPr="00000000">
          <w:rPr>
            <w:rFonts w:ascii="Google Sans" w:cs="Google Sans" w:eastAsia="Google Sans" w:hAnsi="Google Sans"/>
            <w:color w:val="0000ee"/>
            <w:sz w:val="24"/>
            <w:szCs w:val="24"/>
            <w:u w:val="single"/>
            <w:rtl w:val="0"/>
          </w:rPr>
          <w:t xml:space="preserve">https://www.groups.be/fr/hr-news/centenindex-de-loonmatigingsbijdrage-uitgelicht</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de croissance réelle contre 3,7% nécessaires : l'Arizona asphyxie la santé - Politique, </w:t>
      </w:r>
      <w:hyperlink r:id="rId55">
        <w:r w:rsidDel="00000000" w:rsidR="00000000" w:rsidRPr="00000000">
          <w:rPr>
            <w:rFonts w:ascii="Google Sans" w:cs="Google Sans" w:eastAsia="Google Sans" w:hAnsi="Google Sans"/>
            <w:color w:val="0000ee"/>
            <w:sz w:val="24"/>
            <w:szCs w:val="24"/>
            <w:u w:val="single"/>
            <w:rtl w:val="0"/>
          </w:rPr>
          <w:t xml:space="preserve">https://www.revuepolitique.be/1-de-croissance-reelle-contre-37-necessaires-larizona-asphyxie-la-sante/</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Réforme institutionnelle : fusion de 25 structures en 4 piliers - governance.brussels, </w:t>
      </w:r>
      <w:hyperlink r:id="rId56">
        <w:r w:rsidDel="00000000" w:rsidR="00000000" w:rsidRPr="00000000">
          <w:rPr>
            <w:rFonts w:ascii="Google Sans" w:cs="Google Sans" w:eastAsia="Google Sans" w:hAnsi="Google Sans"/>
            <w:color w:val="0000ee"/>
            <w:sz w:val="24"/>
            <w:szCs w:val="24"/>
            <w:u w:val="single"/>
            <w:rtl w:val="0"/>
          </w:rPr>
          <w:t xml:space="preserve">https://governance.brussels/fr/domaines/institutional</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Gouvernement Dilliès - Wikipédia, </w:t>
      </w:r>
      <w:hyperlink r:id="rId57">
        <w:r w:rsidDel="00000000" w:rsidR="00000000" w:rsidRPr="00000000">
          <w:rPr>
            <w:rFonts w:ascii="Google Sans" w:cs="Google Sans" w:eastAsia="Google Sans" w:hAnsi="Google Sans"/>
            <w:color w:val="0000ee"/>
            <w:sz w:val="24"/>
            <w:szCs w:val="24"/>
            <w:u w:val="single"/>
            <w:rtl w:val="0"/>
          </w:rPr>
          <w:t xml:space="preserve">https://fr.wikipedia.org/wiki/Gouvernement_Dilli%C3%A8s</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gouvernements de la Région de Bruxelles-Capitale (1989-2026) - CRISP, </w:t>
      </w:r>
      <w:hyperlink r:id="rId58">
        <w:r w:rsidDel="00000000" w:rsidR="00000000" w:rsidRPr="00000000">
          <w:rPr>
            <w:rFonts w:ascii="Google Sans" w:cs="Google Sans" w:eastAsia="Google Sans" w:hAnsi="Google Sans"/>
            <w:color w:val="0000ee"/>
            <w:sz w:val="24"/>
            <w:szCs w:val="24"/>
            <w:u w:val="single"/>
            <w:rtl w:val="0"/>
          </w:rPr>
          <w:t xml:space="preserve">https://www.crisp.be/fr/catalogue/2838-les-gouvernements-de-la-region-de-bruxellescapitale-19892026.html</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projet de budget 2026 du nouveau gouvernement bruxellois présenté par Dirk De Smedt en commission des Finances - BX1, </w:t>
      </w:r>
      <w:hyperlink r:id="rId59">
        <w:r w:rsidDel="00000000" w:rsidR="00000000" w:rsidRPr="00000000">
          <w:rPr>
            <w:rFonts w:ascii="Google Sans" w:cs="Google Sans" w:eastAsia="Google Sans" w:hAnsi="Google Sans"/>
            <w:color w:val="0000ee"/>
            <w:sz w:val="24"/>
            <w:szCs w:val="24"/>
            <w:u w:val="single"/>
            <w:rtl w:val="0"/>
          </w:rPr>
          <w:t xml:space="preserve">https://bx1.be/categories/news/le-projet-de-budget-2026-du-nouveau-gouvernement-bruxellois-presente-par-dirk-de-smedt-en-commission-des-finances/</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Loi Quintin : comment le gouvernement Arizona veut casser notre droit d'association - PTB, </w:t>
      </w:r>
      <w:hyperlink r:id="rId60">
        <w:r w:rsidDel="00000000" w:rsidR="00000000" w:rsidRPr="00000000">
          <w:rPr>
            <w:rFonts w:ascii="Google Sans" w:cs="Google Sans" w:eastAsia="Google Sans" w:hAnsi="Google Sans"/>
            <w:color w:val="0000ee"/>
            <w:sz w:val="24"/>
            <w:szCs w:val="24"/>
            <w:u w:val="single"/>
            <w:rtl w:val="0"/>
          </w:rPr>
          <w:t xml:space="preserve">https://www.ptb.be/actualites/loi-quintin-comment-le-gouvernement-arizona-veut-casser-notre-droit-dassociation</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Dossier : l'impact de la résistance sociale - PTB, </w:t>
      </w:r>
      <w:hyperlink r:id="rId61">
        <w:r w:rsidDel="00000000" w:rsidR="00000000" w:rsidRPr="00000000">
          <w:rPr>
            <w:rFonts w:ascii="Google Sans" w:cs="Google Sans" w:eastAsia="Google Sans" w:hAnsi="Google Sans"/>
            <w:color w:val="0000ee"/>
            <w:sz w:val="24"/>
            <w:szCs w:val="24"/>
            <w:u w:val="single"/>
            <w:rtl w:val="0"/>
          </w:rPr>
          <w:t xml:space="preserve">https://www.ptb.be/etudes/dossier-limpact-de-la-resistance-sociale</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Loi Quintin : le gouvernement pourrait-il bientôt fermer une ASBL sans juge - Monasbl.be, </w:t>
      </w:r>
      <w:hyperlink r:id="rId62">
        <w:r w:rsidDel="00000000" w:rsidR="00000000" w:rsidRPr="00000000">
          <w:rPr>
            <w:rFonts w:ascii="Google Sans" w:cs="Google Sans" w:eastAsia="Google Sans" w:hAnsi="Google Sans"/>
            <w:color w:val="0000ee"/>
            <w:sz w:val="24"/>
            <w:szCs w:val="24"/>
            <w:u w:val="single"/>
            <w:rtl w:val="0"/>
          </w:rPr>
          <w:t xml:space="preserve">https://www.monasbl.be/nouvelles/droit/loi-quintin-le-gouvernement-pourrait-il-bientot-fermer-une-asbl-sans-juge</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Comprendre la Loi Quintin : retour sur la soirée citoyenne organisée par la CSC Bruxelles, </w:t>
      </w:r>
      <w:hyperlink r:id="rId63">
        <w:r w:rsidDel="00000000" w:rsidR="00000000" w:rsidRPr="00000000">
          <w:rPr>
            <w:rFonts w:ascii="Google Sans" w:cs="Google Sans" w:eastAsia="Google Sans" w:hAnsi="Google Sans"/>
            <w:color w:val="0000ee"/>
            <w:sz w:val="24"/>
            <w:szCs w:val="24"/>
            <w:u w:val="single"/>
            <w:rtl w:val="0"/>
          </w:rPr>
          <w:t xml:space="preserve">https://www.lacsc.be/page-dactualites/2025/11/28/comprendre-la-loi-quintin---retour-sur-la-soiree-citoyenne-organisee-par-la-csc-bruxelles</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Dissoudre une association sur décision du gouvernement ? Notre liberté d'association est menacée - Amnesty International Belgique, </w:t>
      </w:r>
      <w:hyperlink r:id="rId64">
        <w:r w:rsidDel="00000000" w:rsidR="00000000" w:rsidRPr="00000000">
          <w:rPr>
            <w:rFonts w:ascii="Google Sans" w:cs="Google Sans" w:eastAsia="Google Sans" w:hAnsi="Google Sans"/>
            <w:color w:val="0000ee"/>
            <w:sz w:val="24"/>
            <w:szCs w:val="24"/>
            <w:u w:val="single"/>
            <w:rtl w:val="0"/>
          </w:rPr>
          <w:t xml:space="preserve">https://www.amnesty.be/infos/blogs/blog-paroles-chercheurs-defenseurs-victimes/carte-blanche-loi-quintin</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Loi Quintin : l'Arizona rappelé à l'ordre par le Conseil d'État pour atteinte aux droits démocratiques | PTB, </w:t>
      </w:r>
      <w:hyperlink r:id="rId65">
        <w:r w:rsidDel="00000000" w:rsidR="00000000" w:rsidRPr="00000000">
          <w:rPr>
            <w:rFonts w:ascii="Google Sans" w:cs="Google Sans" w:eastAsia="Google Sans" w:hAnsi="Google Sans"/>
            <w:color w:val="0000ee"/>
            <w:sz w:val="24"/>
            <w:szCs w:val="24"/>
            <w:u w:val="single"/>
            <w:rtl w:val="0"/>
          </w:rPr>
          <w:t xml:space="preserve">https://www.ptb.be/presse/loi-quintin-larizona-rappele-lordre-par-le-conseil-detat-pour-atteinte-aux-droits</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Loi Quintin en Belgique : Dissolution des Associations et Menace sur les Libertés - Ouaisfi, </w:t>
      </w:r>
      <w:hyperlink r:id="rId66">
        <w:r w:rsidDel="00000000" w:rsidR="00000000" w:rsidRPr="00000000">
          <w:rPr>
            <w:rFonts w:ascii="Google Sans" w:cs="Google Sans" w:eastAsia="Google Sans" w:hAnsi="Google Sans"/>
            <w:color w:val="0000ee"/>
            <w:sz w:val="24"/>
            <w:szCs w:val="24"/>
            <w:u w:val="single"/>
            <w:rtl w:val="0"/>
          </w:rPr>
          <w:t xml:space="preserve">https://ouaisfi.eu/loi-quintin-belgique</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projet de Loi Quintin menace-t-il la liberté d'association? - L'Info CSC |, </w:t>
      </w:r>
      <w:hyperlink r:id="rId67">
        <w:r w:rsidDel="00000000" w:rsidR="00000000" w:rsidRPr="00000000">
          <w:rPr>
            <w:rFonts w:ascii="Google Sans" w:cs="Google Sans" w:eastAsia="Google Sans" w:hAnsi="Google Sans"/>
            <w:color w:val="0000ee"/>
            <w:sz w:val="24"/>
            <w:szCs w:val="24"/>
            <w:u w:val="single"/>
            <w:rtl w:val="0"/>
          </w:rPr>
          <w:t xml:space="preserve">https://linfo-csc.be/magazine/la-solidarite-notre-meilleure-recette-bonne-annee-2026/le-projet-de-loi-quintin-menace-t-il-la-liberte-dassociation/</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Manifestation nationale du 12 mai 2026 - Acerta, </w:t>
      </w:r>
      <w:hyperlink r:id="rId68">
        <w:r w:rsidDel="00000000" w:rsidR="00000000" w:rsidRPr="00000000">
          <w:rPr>
            <w:rFonts w:ascii="Google Sans" w:cs="Google Sans" w:eastAsia="Google Sans" w:hAnsi="Google Sans"/>
            <w:color w:val="0000ee"/>
            <w:sz w:val="24"/>
            <w:szCs w:val="24"/>
            <w:u w:val="single"/>
            <w:rtl w:val="0"/>
          </w:rPr>
          <w:t xml:space="preserve">https://www.acerta.be/fr/inspiration/manifestation-nationale-du-12-mai-2026</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FGTB-ABVV || 29 avril, journée d'actions : maintenir la pression !, </w:t>
      </w:r>
      <w:hyperlink r:id="rId69">
        <w:r w:rsidDel="00000000" w:rsidR="00000000" w:rsidRPr="00000000">
          <w:rPr>
            <w:rFonts w:ascii="Google Sans" w:cs="Google Sans" w:eastAsia="Google Sans" w:hAnsi="Google Sans"/>
            <w:color w:val="0000ee"/>
            <w:sz w:val="24"/>
            <w:szCs w:val="24"/>
            <w:u w:val="single"/>
            <w:rtl w:val="0"/>
          </w:rPr>
          <w:t xml:space="preserve">https://fgtb.be/actualite/29-avril-journee-dactions-maintenir-la-pression</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FGTB-ABVV || 31 mars : grève générale, </w:t>
      </w:r>
      <w:hyperlink r:id="rId70">
        <w:r w:rsidDel="00000000" w:rsidR="00000000" w:rsidRPr="00000000">
          <w:rPr>
            <w:rFonts w:ascii="Google Sans" w:cs="Google Sans" w:eastAsia="Google Sans" w:hAnsi="Google Sans"/>
            <w:color w:val="0000ee"/>
            <w:sz w:val="24"/>
            <w:szCs w:val="24"/>
            <w:u w:val="single"/>
            <w:rtl w:val="0"/>
          </w:rPr>
          <w:t xml:space="preserve">https://fgtb.be/31-mars-2025-greve-generale</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29 avril en grève, le 22 mai dans la rue, pour nos droits et notre santé, </w:t>
      </w:r>
      <w:hyperlink r:id="rId71">
        <w:r w:rsidDel="00000000" w:rsidR="00000000" w:rsidRPr="00000000">
          <w:rPr>
            <w:rFonts w:ascii="Google Sans" w:cs="Google Sans" w:eastAsia="Google Sans" w:hAnsi="Google Sans"/>
            <w:color w:val="0000ee"/>
            <w:sz w:val="24"/>
            <w:szCs w:val="24"/>
            <w:u w:val="single"/>
            <w:rtl w:val="0"/>
          </w:rPr>
          <w:t xml:space="preserve">https://www.maisonmedicale.org/actualites/le-29-avril-en-greve-le-22-mai-dans-la-rue-mobilise-e-s-pour-nos-droits-et-notre-sante/</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L'interdiction judiciaire de manifester définitivement abandonnée : le droit de protester est préservé - FGTB, </w:t>
      </w:r>
      <w:hyperlink r:id="rId72">
        <w:r w:rsidDel="00000000" w:rsidR="00000000" w:rsidRPr="00000000">
          <w:rPr>
            <w:rFonts w:ascii="Google Sans" w:cs="Google Sans" w:eastAsia="Google Sans" w:hAnsi="Google Sans"/>
            <w:color w:val="0000ee"/>
            <w:sz w:val="24"/>
            <w:szCs w:val="24"/>
            <w:u w:val="single"/>
            <w:rtl w:val="0"/>
          </w:rPr>
          <w:t xml:space="preserve">https://fgtb.be/presse/linterdiction-judiciaire-de-manifester-definitivement-abandonnee-le-droit-de-protester-est</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le gouvernement De Wever-Bouchez lance l'offensive contre nos droits démocratiques | PTB, </w:t>
      </w:r>
      <w:hyperlink r:id="rId73">
        <w:r w:rsidDel="00000000" w:rsidR="00000000" w:rsidRPr="00000000">
          <w:rPr>
            <w:rFonts w:ascii="Google Sans" w:cs="Google Sans" w:eastAsia="Google Sans" w:hAnsi="Google Sans"/>
            <w:color w:val="0000ee"/>
            <w:sz w:val="24"/>
            <w:szCs w:val="24"/>
            <w:u w:val="single"/>
            <w:rtl w:val="0"/>
          </w:rPr>
          <w:t xml:space="preserve">https://www.ptb.be/actualites/comment-le-gouvernement-de-wever-bouchez-lance-loffensive-contre-nos-droits</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L'Arizona démasqué | Nos droits démocratiques menacés - PTB, </w:t>
      </w:r>
      <w:hyperlink r:id="rId74">
        <w:r w:rsidDel="00000000" w:rsidR="00000000" w:rsidRPr="00000000">
          <w:rPr>
            <w:rFonts w:ascii="Google Sans" w:cs="Google Sans" w:eastAsia="Google Sans" w:hAnsi="Google Sans"/>
            <w:color w:val="0000ee"/>
            <w:sz w:val="24"/>
            <w:szCs w:val="24"/>
            <w:u w:val="single"/>
            <w:rtl w:val="0"/>
          </w:rPr>
          <w:t xml:space="preserve">https://www.ptb.be/arizonademasque/nos-droits-democratiques-menaces</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du gouvernement fédéral : les mesures prévues par l'Arizona impactant les employeurs | UCM, </w:t>
      </w:r>
      <w:hyperlink r:id="rId75">
        <w:r w:rsidDel="00000000" w:rsidR="00000000" w:rsidRPr="00000000">
          <w:rPr>
            <w:rFonts w:ascii="Google Sans" w:cs="Google Sans" w:eastAsia="Google Sans" w:hAnsi="Google Sans"/>
            <w:color w:val="0000ee"/>
            <w:sz w:val="24"/>
            <w:szCs w:val="24"/>
            <w:u w:val="single"/>
            <w:rtl w:val="0"/>
          </w:rPr>
          <w:t xml:space="preserve">https://www.ucm.be/actualites/accord-du-gouvernement-federal-les-mesures-prevues-par-larizona-impactant-les-employeurs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Décoder l'Arizona : l'accélération d'un néolibéralisme aux accents autoritaires - Politique, </w:t>
      </w:r>
      <w:hyperlink r:id="rId76">
        <w:r w:rsidDel="00000000" w:rsidR="00000000" w:rsidRPr="00000000">
          <w:rPr>
            <w:rFonts w:ascii="Google Sans" w:cs="Google Sans" w:eastAsia="Google Sans" w:hAnsi="Google Sans"/>
            <w:color w:val="0000ee"/>
            <w:sz w:val="24"/>
            <w:szCs w:val="24"/>
            <w:u w:val="single"/>
            <w:rtl w:val="0"/>
          </w:rPr>
          <w:t xml:space="preserve">https://www.revuepolitique.be/decoder-larizona-lacceleration-dun-neoliberalisme-aux-accents-autoritaires/</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Réduction des périodes assimilées: La Cour constitutionnelle met l'Arizona en garde - FGTB, </w:t>
      </w:r>
      <w:hyperlink r:id="rId77">
        <w:r w:rsidDel="00000000" w:rsidR="00000000" w:rsidRPr="00000000">
          <w:rPr>
            <w:rFonts w:ascii="Google Sans" w:cs="Google Sans" w:eastAsia="Google Sans" w:hAnsi="Google Sans"/>
            <w:color w:val="0000ee"/>
            <w:sz w:val="24"/>
            <w:szCs w:val="24"/>
            <w:u w:val="single"/>
            <w:rtl w:val="0"/>
          </w:rPr>
          <w:t xml:space="preserve">https://fgtb.be/presse/reduction-des-periodes-assimilees-la-cour-constitutionnelle-met-larizona-en-garde</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L'injuste réforme des pensions de l'Arizona a été adoptée. La Cour constitutionnelle aura désormais le dernier mot - FGTB, </w:t>
      </w:r>
      <w:hyperlink r:id="rId78">
        <w:r w:rsidDel="00000000" w:rsidR="00000000" w:rsidRPr="00000000">
          <w:rPr>
            <w:rFonts w:ascii="Google Sans" w:cs="Google Sans" w:eastAsia="Google Sans" w:hAnsi="Google Sans"/>
            <w:color w:val="0000ee"/>
            <w:sz w:val="24"/>
            <w:szCs w:val="24"/>
            <w:u w:val="single"/>
            <w:rtl w:val="0"/>
          </w:rPr>
          <w:t xml:space="preserve">https://fgtb.be/presse/linjuste-reforme-des-pensions-de-larizona-ete-adoptee-la-cour-constitutionnelle-aura</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Affaires pendantes - Cour constitutionnelle, </w:t>
      </w:r>
      <w:hyperlink r:id="rId79">
        <w:r w:rsidDel="00000000" w:rsidR="00000000" w:rsidRPr="00000000">
          <w:rPr>
            <w:rFonts w:ascii="Google Sans" w:cs="Google Sans" w:eastAsia="Google Sans" w:hAnsi="Google Sans"/>
            <w:color w:val="0000ee"/>
            <w:sz w:val="24"/>
            <w:szCs w:val="24"/>
            <w:u w:val="single"/>
            <w:rtl w:val="0"/>
          </w:rPr>
          <w:t xml:space="preserve">https://fr.const-court.be/judgments/pending-cases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esfrontaliers.lu/emploi/la-belgique-serre-la-vis-aux-chomeurs-longue-duree/" TargetMode="External"/><Relationship Id="rId42" Type="http://schemas.openxmlformats.org/officeDocument/2006/relationships/hyperlink" Target="https://brulocalis.brussels/sites/default/files/2025-05/C.%20Caldarini_Effets%20de%20la%20limitation%20des%20allocations%20de%20ch%C3%B4mage.pdf" TargetMode="External"/><Relationship Id="rId41" Type="http://schemas.openxmlformats.org/officeDocument/2006/relationships/hyperlink" Target="https://bakertilly.be/fr/news/accord-de-coalition-federale-2025-2029-impot-des-personnes-physiques/" TargetMode="External"/><Relationship Id="rId44" Type="http://schemas.openxmlformats.org/officeDocument/2006/relationships/hyperlink" Target="https://www.groups.be/fr/hr-news/reforme-des-pensions-la-loi-a-ete-publiee" TargetMode="External"/><Relationship Id="rId43" Type="http://schemas.openxmlformats.org/officeDocument/2006/relationships/hyperlink" Target="https://www.sfpd.fgov.be/fr/changements/reforme-des-pensions/" TargetMode="External"/><Relationship Id="rId46" Type="http://schemas.openxmlformats.org/officeDocument/2006/relationships/hyperlink" Target="https://www.lacsc.be/vos-droits/travailler-dans-le-secteur-prive/pension/reforme-des-pensions" TargetMode="External"/><Relationship Id="rId45" Type="http://schemas.openxmlformats.org/officeDocument/2006/relationships/hyperlink" Target="https://www.fgtbcentre.be/wp-content/uploads/2024/09/AVRIL.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hyperlink" Target="https://www.groups.be/fr/hr-news/norme-salariale-2025-2026-confirmation-par-arrete-royal" TargetMode="External"/><Relationship Id="rId47" Type="http://schemas.openxmlformats.org/officeDocument/2006/relationships/hyperlink" Target="https://www.lesengages.be/actualite/reforme-des-pensions-info-ou-intox/" TargetMode="External"/><Relationship Id="rId49" Type="http://schemas.openxmlformats.org/officeDocument/2006/relationships/hyperlink" Target="https://www.claeysengels.be/fr-be/nouvelles-evenements/la-marge-maximale-pour-levolution-du-cout-salarial-pour-la-periode-2025-2026" TargetMode="Externa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4.png"/><Relationship Id="rId8" Type="http://schemas.openxmlformats.org/officeDocument/2006/relationships/image" Target="media/image13.png"/><Relationship Id="rId73" Type="http://schemas.openxmlformats.org/officeDocument/2006/relationships/hyperlink" Target="https://www.ptb.be/actualites/comment-le-gouvernement-de-wever-bouchez-lance-loffensive-contre-nos-droits" TargetMode="External"/><Relationship Id="rId72" Type="http://schemas.openxmlformats.org/officeDocument/2006/relationships/hyperlink" Target="https://fgtb.be/presse/linterdiction-judiciaire-de-manifester-definitivement-abandonnee-le-droit-de-protester-est" TargetMode="External"/><Relationship Id="rId31" Type="http://schemas.openxmlformats.org/officeDocument/2006/relationships/image" Target="media/image14.png"/><Relationship Id="rId75" Type="http://schemas.openxmlformats.org/officeDocument/2006/relationships/hyperlink" Target="https://www.ucm.be/actualites/accord-du-gouvernement-federal-les-mesures-prevues-par-larizona-impactant-les-employeurs" TargetMode="External"/><Relationship Id="rId30" Type="http://schemas.openxmlformats.org/officeDocument/2006/relationships/image" Target="media/image6.png"/><Relationship Id="rId74" Type="http://schemas.openxmlformats.org/officeDocument/2006/relationships/hyperlink" Target="https://www.ptb.be/arizonademasque/nos-droits-democratiques-menaces" TargetMode="External"/><Relationship Id="rId33" Type="http://schemas.openxmlformats.org/officeDocument/2006/relationships/hyperlink" Target="https://www.institutfederaldroitshumains.be/sites/default/files/2025-07/Avis-IFDH-Reforme-du-chomage-04-2025.pdf" TargetMode="External"/><Relationship Id="rId77" Type="http://schemas.openxmlformats.org/officeDocument/2006/relationships/hyperlink" Target="https://fgtb.be/presse/reduction-des-periodes-assimilees-la-cour-constitutionnelle-met-larizona-en-garde" TargetMode="External"/><Relationship Id="rId32" Type="http://schemas.openxmlformats.org/officeDocument/2006/relationships/hyperlink" Target="https://www.forbes.be/fr/bart-de-wever-un-an-plus-tard-des-reformes-sous-contrainte-budgetaire/" TargetMode="External"/><Relationship Id="rId76" Type="http://schemas.openxmlformats.org/officeDocument/2006/relationships/hyperlink" Target="https://www.revuepolitique.be/decoder-larizona-lacceleration-dun-neoliberalisme-aux-accents-autoritaires/" TargetMode="External"/><Relationship Id="rId35" Type="http://schemas.openxmlformats.org/officeDocument/2006/relationships/hyperlink" Target="https://www.belgium.be/sites/default/files/resources/publication/files/Accord_gouvernemental-Bart_De_Wever_fr.pdf" TargetMode="External"/><Relationship Id="rId79" Type="http://schemas.openxmlformats.org/officeDocument/2006/relationships/hyperlink" Target="https://fr.const-court.be/judgments/pending-cases" TargetMode="External"/><Relationship Id="rId34" Type="http://schemas.openxmlformats.org/officeDocument/2006/relationships/hyperlink" Target="https://www.abc-cgg.be/fr/mesures-de-laccord-de-coalition-federale-2025-2029-ayant-un-impact-sur-le-statut-social" TargetMode="External"/><Relationship Id="rId78" Type="http://schemas.openxmlformats.org/officeDocument/2006/relationships/hyperlink" Target="https://fgtb.be/presse/linjuste-reforme-des-pensions-de-larizona-ete-adoptee-la-cour-constitutionnelle-aura" TargetMode="External"/><Relationship Id="rId71" Type="http://schemas.openxmlformats.org/officeDocument/2006/relationships/hyperlink" Target="https://www.maisonmedicale.org/actualites/le-29-avril-en-greve-le-22-mai-dans-la-rue-mobilise-e-s-pour-nos-droits-et-notre-sante/" TargetMode="External"/><Relationship Id="rId70" Type="http://schemas.openxmlformats.org/officeDocument/2006/relationships/hyperlink" Target="https://fgtb.be/31-mars-2025-greve-generale" TargetMode="External"/><Relationship Id="rId37" Type="http://schemas.openxmlformats.org/officeDocument/2006/relationships/hyperlink" Target="https://www.reddit.com/r/Wallonia/comments/1uwxn2e/budget_ce_qui_passe_ce_qui_casse_pour_les_cinq/" TargetMode="External"/><Relationship Id="rId36" Type="http://schemas.openxmlformats.org/officeDocument/2006/relationships/hyperlink" Target="https://www.lachambre.be/FLWB/PDF/56/1405/56K1405001.pdf" TargetMode="External"/><Relationship Id="rId39" Type="http://schemas.openxmlformats.org/officeDocument/2006/relationships/hyperlink" Target="https://www.revuepolitique.be/decoder-larizona-2-4-la-marchandisation-acceleree-de-la-securite-sociale/" TargetMode="External"/><Relationship Id="rId38" Type="http://schemas.openxmlformats.org/officeDocument/2006/relationships/hyperlink" Target="https://www.ensemble.be/wp-content/uploads/2025/02/Ensemble-115_en-ligne.pdf?fbclid=IwY2xjawJQ_SxleHRuA2FlbQIxMAABHZIUCpQIjHw_ytF48teVLwJ4rsSYVEzWKZTpG-PveXDE2lCryvUx__bsyg_aem_rX-sLmLPPd608IDDZmpJWA" TargetMode="External"/><Relationship Id="rId62" Type="http://schemas.openxmlformats.org/officeDocument/2006/relationships/hyperlink" Target="https://www.monasbl.be/nouvelles/droit/loi-quintin-le-gouvernement-pourrait-il-bientot-fermer-une-asbl-sans-juge" TargetMode="External"/><Relationship Id="rId61" Type="http://schemas.openxmlformats.org/officeDocument/2006/relationships/hyperlink" Target="https://www.ptb.be/etudes/dossier-limpact-de-la-resistance-sociale" TargetMode="External"/><Relationship Id="rId20" Type="http://schemas.openxmlformats.org/officeDocument/2006/relationships/image" Target="media/image25.png"/><Relationship Id="rId64" Type="http://schemas.openxmlformats.org/officeDocument/2006/relationships/hyperlink" Target="https://www.amnesty.be/infos/blogs/blog-paroles-chercheurs-defenseurs-victimes/carte-blanche-loi-quintin" TargetMode="External"/><Relationship Id="rId63" Type="http://schemas.openxmlformats.org/officeDocument/2006/relationships/hyperlink" Target="https://www.lacsc.be/page-dactualites/2025/11/28/comprendre-la-loi-quintin---retour-sur-la-soiree-citoyenne-organisee-par-la-csc-bruxelles" TargetMode="External"/><Relationship Id="rId22" Type="http://schemas.openxmlformats.org/officeDocument/2006/relationships/image" Target="media/image20.png"/><Relationship Id="rId66" Type="http://schemas.openxmlformats.org/officeDocument/2006/relationships/hyperlink" Target="https://ouaisfi.eu/loi-quintin-belgique" TargetMode="External"/><Relationship Id="rId21" Type="http://schemas.openxmlformats.org/officeDocument/2006/relationships/image" Target="media/image22.png"/><Relationship Id="rId65" Type="http://schemas.openxmlformats.org/officeDocument/2006/relationships/hyperlink" Target="https://www.ptb.be/presse/loi-quintin-larizona-rappele-lordre-par-le-conseil-detat-pour-atteinte-aux-droits" TargetMode="External"/><Relationship Id="rId24" Type="http://schemas.openxmlformats.org/officeDocument/2006/relationships/image" Target="media/image8.png"/><Relationship Id="rId68" Type="http://schemas.openxmlformats.org/officeDocument/2006/relationships/hyperlink" Target="https://www.acerta.be/fr/inspiration/manifestation-nationale-du-12-mai-2026" TargetMode="External"/><Relationship Id="rId23" Type="http://schemas.openxmlformats.org/officeDocument/2006/relationships/image" Target="media/image21.png"/><Relationship Id="rId67" Type="http://schemas.openxmlformats.org/officeDocument/2006/relationships/hyperlink" Target="https://linfo-csc.be/magazine/la-solidarite-notre-meilleure-recette-bonne-annee-2026/le-projet-de-loi-quintin-menace-t-il-la-liberte-dassociation/" TargetMode="External"/><Relationship Id="rId60" Type="http://schemas.openxmlformats.org/officeDocument/2006/relationships/hyperlink" Target="https://www.ptb.be/actualites/loi-quintin-comment-le-gouvernement-arizona-veut-casser-notre-droit-dassociation" TargetMode="External"/><Relationship Id="rId26" Type="http://schemas.openxmlformats.org/officeDocument/2006/relationships/image" Target="media/image1.png"/><Relationship Id="rId25" Type="http://schemas.openxmlformats.org/officeDocument/2006/relationships/image" Target="media/image15.png"/><Relationship Id="rId69" Type="http://schemas.openxmlformats.org/officeDocument/2006/relationships/hyperlink" Target="https://fgtb.be/actualite/29-avril-journee-dactions-maintenir-la-pression" TargetMode="External"/><Relationship Id="rId28" Type="http://schemas.openxmlformats.org/officeDocument/2006/relationships/image" Target="media/image16.png"/><Relationship Id="rId27" Type="http://schemas.openxmlformats.org/officeDocument/2006/relationships/image" Target="media/image11.png"/><Relationship Id="rId29" Type="http://schemas.openxmlformats.org/officeDocument/2006/relationships/image" Target="media/image2.png"/><Relationship Id="rId51" Type="http://schemas.openxmlformats.org/officeDocument/2006/relationships/hyperlink" Target="https://www.acerta.be/fr/inspiration/quen-est-il-de-lindexation-en-centimes" TargetMode="External"/><Relationship Id="rId50" Type="http://schemas.openxmlformats.org/officeDocument/2006/relationships/hyperlink" Target="https://emploi.belgique.be/fr/themes/remuneration/norme-salariale" TargetMode="External"/><Relationship Id="rId53" Type="http://schemas.openxmlformats.org/officeDocument/2006/relationships/hyperlink" Target="https://www.lacsc.be/vos-droits/travailler-dans-le-secteur-prive/salaire/index-salaire" TargetMode="External"/><Relationship Id="rId52" Type="http://schemas.openxmlformats.org/officeDocument/2006/relationships/hyperlink" Target="https://www.ucm.be/actualites/moderation-salariale-des-juin-2026-la-loi-est-votee" TargetMode="External"/><Relationship Id="rId11" Type="http://schemas.openxmlformats.org/officeDocument/2006/relationships/image" Target="media/image19.png"/><Relationship Id="rId55" Type="http://schemas.openxmlformats.org/officeDocument/2006/relationships/hyperlink" Target="https://www.revuepolitique.be/1-de-croissance-reelle-contre-37-necessaires-larizona-asphyxie-la-sante/" TargetMode="External"/><Relationship Id="rId10" Type="http://schemas.openxmlformats.org/officeDocument/2006/relationships/image" Target="media/image9.png"/><Relationship Id="rId54" Type="http://schemas.openxmlformats.org/officeDocument/2006/relationships/hyperlink" Target="https://www.groups.be/fr/hr-news/centenindex-de-loonmatigingsbijdrage-uitgelicht" TargetMode="External"/><Relationship Id="rId13" Type="http://schemas.openxmlformats.org/officeDocument/2006/relationships/image" Target="media/image7.png"/><Relationship Id="rId57" Type="http://schemas.openxmlformats.org/officeDocument/2006/relationships/hyperlink" Target="https://fr.wikipedia.org/wiki/Gouvernement_Dilli%C3%A8s" TargetMode="External"/><Relationship Id="rId12" Type="http://schemas.openxmlformats.org/officeDocument/2006/relationships/image" Target="media/image5.png"/><Relationship Id="rId56" Type="http://schemas.openxmlformats.org/officeDocument/2006/relationships/hyperlink" Target="https://governance.brussels/fr/domaines/institutional" TargetMode="External"/><Relationship Id="rId15" Type="http://schemas.openxmlformats.org/officeDocument/2006/relationships/image" Target="media/image12.png"/><Relationship Id="rId59" Type="http://schemas.openxmlformats.org/officeDocument/2006/relationships/hyperlink" Target="https://bx1.be/categories/news/le-projet-de-budget-2026-du-nouveau-gouvernement-bruxellois-presente-par-dirk-de-smedt-en-commission-des-finances/" TargetMode="External"/><Relationship Id="rId14" Type="http://schemas.openxmlformats.org/officeDocument/2006/relationships/image" Target="media/image3.png"/><Relationship Id="rId58" Type="http://schemas.openxmlformats.org/officeDocument/2006/relationships/hyperlink" Target="https://www.crisp.be/fr/catalogue/2838-les-gouvernements-de-la-region-de-bruxellescapitale-19892026.html" TargetMode="External"/><Relationship Id="rId17" Type="http://schemas.openxmlformats.org/officeDocument/2006/relationships/image" Target="media/image18.png"/><Relationship Id="rId16" Type="http://schemas.openxmlformats.org/officeDocument/2006/relationships/image" Target="media/image10.png"/><Relationship Id="rId19" Type="http://schemas.openxmlformats.org/officeDocument/2006/relationships/image" Target="media/image24.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