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L'Architecture d'un Système Économique Hors de Contrôle : Analyse Systémique des Dérives Globales et Émergence des Alternatives Citoyennes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L'économie mondiale contemporaine se trouve à un point d'inflexion historique, caractérisé par une complexité technologique sans précédent, une concentration inouïe des richesses et une pression insoutenable sur les écosystèmes terrestres. À travers les prismes croisés de la financiarisation, de la mondialisation et de l'automatisation algorithmique des marchés, l'architecture systémique du capitalisme du vingt-et-unième siècle semble s'être progressivement affranchie de toute supervision humaine, politique ou démocratique. Face à ce constat de perte de contrôle macroéconomique, une myriade d'initiatives locales et de modèles alternatifs émerge, cherchant à réancrer l'économie dans la biosphère et dans la délibération citoyenne. Ce rapport exhaustif propose une analyse approfondie de ces dynamiques. Il explore les mécanismes de la déconnexion financière et technologique, évalue l'impact socio-écologique du modèle extractiviste actuel, confronte les différents paradigmes théoriques d'interprétation, et détaille les solutions concrètes déployées par les communautés, avec une focale particulière sur les innovations sociales en Belgique et dans la région bruxelloise.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Métamorphose du Capitalisme Mondial et l'Émancipation de la Finance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L'évolution du capitalisme industriel vers un capitalisme dominé par la finance a fondamentalement altéré la nature de l'économie mondiale, modifiant la manière dont la valeur est créée, captée et distribuée. La financiarisation, processus par lequel les marchés, les institutions et les acteurs financiers acquièrent une influence prépondérante sur les politiques économiques et les résultats sociaux, a conduit à une déconnexion croissante entre l'économie réelle (la production tangible de biens et de services) et la sphère financière.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Mondialisation, Dérégulation et Court-Termisme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Depuis la fin du système de Bretton Woods dans les années 1970 et l'accélération de la mondialisation dans les années 1980, la dérégulation systématique des marchés financiers a favorisé l'hyper-mobilité des capitaux. Les barrières à la circulation de l'argent ont été démantelées, permettant aux flux de capitaux de traverser les frontières à la recherche des rendements les plus élevés et les plus rapides. Cette libéralisation a engendré la création d'une ingénierie financière et de produits dérivés d'une complexité vertigineuse, initialement conçus pour couvrir les risques (hedging) mais rapidement transformés en instruments de spéculation pure.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mouvement a instauré une culture pernicieuse du court-termisme au sein de la gouvernance d'entreprise. La doctrine de la maximisation de la valeur actionnariale (shareholder value maximization) a primé sur l'investissement productif à long terme. La spéculation est ainsi devenue un moteur endogène du système économique. Au lieu d'allouer rationnellement le capital pour financer l'innovation, la transition écologique ou les infrastructures publiques, les marchés financiers se sont transformés en mécanismes d'extraction de rentes. Les entreprises de l'économie réelle sont devenues de simples actifs financiers, soumis aux exigences de rentabilité trimestrielle dictées par des fonds d'investissement mondialisés.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Crise Financière comme Caractéristique Systémique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crises financières contemporaines illustrent de manière dramatique comment la titrisation excessive, l'effet de levier et le manque de supervision peuvent propager des risques systémiques à l'échelle mondiale. La crise des subprimes de 2008 n'était pas une simple anomalie ou un "cygne noir" exogène, mais le résultat prévisible d'un système où la finance avait perdu son ancrage dans la réalité économique. Les prêts hypothécaires à risque ont été amalgamés, titrisés, notés artificiellement par des agences de notation complaisantes, puis vendus à travers le monde, diluant la responsabilité et masquant le risque sous des couches de complexité mathématique.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Ces crises démontrent que le système financier contemporain est caractérisé par un "couplage fort" (tight coupling) et des interactions extrêmement complexes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Selon la théorie des "accidents normaux" (Normal Accident Theory) de Charles Perrow, dans un tel environnement, la moindre défaillance locale (par exemple, le défaut de paiement sur un segment spécifique du marché immobilier américain) se propage instantanément à l'ensemble du réseau, déclenchant des réactions en chaîne incontrôlables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Les mécanismes d'absorption des chocs font défaut, et la dérégulation a supprimé les coupe-feu institutionnels qui séparaient autrefois les activités bancaires de dépôt des activités de banque d'investissement. La stabilité de l'économie réelle est ainsi perpétuellement prise en otage par l'instabilité inhérente aux marchés spéculatifs.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L'Automatisation des Marchés : Algorithmes et Risque Systémique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la financiarisation a fourni les incitations, l'avènement du trading algorithmique et du trading à haute fréquence (High-Frequency Trading, HFT) représente l'aboutissement technique de cette perte de contrôle humain. L'infrastructure même de la découverte des prix a été cédée à des machines.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Domination du Trading à Haute Fréquence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Aujourd'hui, il est estimé que 60 % à 70 % des transactions boursières sont exécutées de manière algorithmique, à des vitesses qui se mesurent en microsecondes, dépassant largement les capacités cognitives et les temps de réaction humains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Les salles de marché bruyantes ont été remplacées par des centres de données silencieux où des algorithmes prennent des décisions d'achat et de vente fondées sur des modèles statistiques complexes, exploitant d'infimes écarts de prix entre différentes places boursières.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automatisation a transformé la nature de l'intermédiation financière. Traditionnellement, les "teneurs de marché" (market makers) avaient l'obligation de fournir de la liquidité, c'est-à-dire d'acheter quand tout le monde voulait vendre, et inversement, afin de stabiliser les prix. Aujourd'hui, les marchés à terme entièrement automatisés, comme le marché E-mini S&amp;P 500, ne disposent pas d'intermédiaires désignés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 liquidité est fournie par des algorithmes opportunistes qui cherchent à réaliser des profits infimes sur d'immenses volumes de transactions.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"Flash Crash" de 2010 et la Fragilité Technologique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"Flash Crash" du 6 mai 2010 demeure l'exemple paradigmatique et terrifiant de la vulnérabilité de ces marchés automatisés. En l'espace de seulement dix minutes, l'indice boursier Dow Jones a chuté de plus de 1 000 points, ce qui représentait la plus forte baisse intrajournalière de son histoire à l'époque, effaçant temporairement près de 1 000 milliards de dollars de capitalisation boursière avant de rebondir presque aussi rapidement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enquêtes conjointes de la SEC (Securities and Exchange Commission) et de la CFTC (Commodity Futures Trading Commission) ont révélé la mécanique de cet événement en cascade. Le déclencheur fut un important programme de vente initié par un fonds commun de placement via un algorithme d'exécution automatisée programmé pour vendre des contrats à terme E-mini S&amp;P 500 à un taux basé sur le volume de transactions, sans égard pour le prix ou l'heure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 pression vendeuse a été exacerbée par des pratiques frauduleuses de "spoofing" (manipulation de marché par l'introduction de faux ordres massifs immédiatement annulés pour créer une fausse impression de l'offre) orchestrées par un trader britannique indépendant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Cependant, la véritable catastrophe est survenue lorsque les prix ont commencé à chuter. Les algorithmes de HFT, programmés avec des limites de risque strictes, se sont comportés de manière inattendue. Face à une volatilité extrême, la théorie de la "capacité limitée de prise de risque" s'est vérifiée : au lieu d'absorber le choc et de fournir de la liquidité, ces intermédiaires algorithmiques se sont retirés simultanément du marché, ou ont commencé à vendre agressivement, créant un "vide de liquidité" (liquidity vacuum) absolu</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L'effondrement a souligné le fait que la liquidité algorithmique est structurellement éphémère et s'évapore précisément au moment où les marchés en ont le plus besoin.</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Propagation des Erreurs et la "Donnée Contestable"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autre incident majeur, l'effondrement de Knight Capital le 1er août 2012, démontre les risques liés à l'infrastructure technologique interne des firmes financières. Lors du déploiement d'un nouveau logiciel, le déclenchement accidentel d'un code informatique obsolète, resté inactif, a généré des millions d'ordres erronés sur le marché. En l'espace de 45 minutes, l'entreprise a accusé une perte de plus de 460 millions de dollars, précipitant sa faillite et son rachat ultérieur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Cet événement a mis en évidence qu'en l'absence de contrôles appropriés, la vitesse vertigineuse des systèmes de trading automatisés peut transformer une simple erreur informatique en un événement extrême aux conséquences dévastatrices pour l'ensemble du marché</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outre, la dépendance à l'égard de l'intelligence artificielle introduit le risque lié aux "données contestables" (disputable data) — telles que des cotations dupliquées, retardées ou obsolètes. Lorsqu'une donnée erronée pénètre dans ces systèmes à haute vitesse, elle peut générer de faux signaux d'achat ou de vente. Dans un environnement de couplage fort, ces erreurs déclenchent des boucles de rétroaction (feedback loops) où les algorithmes réagissent aux comportements des autres algorithmes, déstabilisant l'ensemble du marché en quelques secondes avant même qu'un opérateur humain n'ait le temps de comprendre la situation ou de "débrancher" les serveurs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Les régulateurs ont tenté de répondre à ces dérives en mettant en place des "coupe-circuit" coordonnés (circuit breakers) qui suspendent les transactions en cas de variations de prix extrêmes (par exemple, des arrêts de négociation si l'indice baisse de 10 %, 20 % ou 30 %)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mais ces rustines technologiques peinent à endiguer la nature fondamentalement instable d'une finance dictée par les machines.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L'Hyper-Concentration des Richesses : L'Anatomie d'une Fracture Socio-Économique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architecture financière, optimisée pour la vitesse, la rentabilité à court terme et l'accumulation du capital, a logiquement produit une concentration des richesses sans précédent dans l'histoire moderne, redéfinissant de fait la structure même des sociétés et menaçant la cohésion démocratique.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Constats Vertigineux des Rapports de 2026</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données publiées dans le World Inequality Report (WIR) 2026 et le Global Wealth Report 2026 de l'UBS mettent en lumière une accélération spectaculaire de la concentration des patrimoines. Globalement, la richesse personnelle mondiale a augmenté de 10,8 % en 2025 (contre 4,6 % en 2024), atteignant des sommets historiques, propulsée notamment par la hausse des marchés boursiers et de l'immobilier, avec une croissance particulièrement forte en Europe, au Moyen-Orient et aux Amériques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Cependant, cette création de richesse globale cache une répartition profondément asymétrique, marquant un passage d'une inégalité de "degré" à une inégalité de "structure"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Aujourd'hui, les 10 % les plus riches de la population mondiale (environ 560 millions d'adultes) possèdent 75 % de la richesse globale, tandis que la moitié la plus pauvre de l'humanité (soit environ 2,8 milliards d'adultes, l'équivalent de la population combinée de la Chine, de l'Inde, des États-Unis, de l'Indonésie, du Nigeria, du Brésil et de la Russie) ne contrôle que 2 % du patrimoine mondial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divergence est encore plus vertigineuse lorsque l'on observe le sommet extrême de la pyramide. Le top 1 % (environ 56 millions d'adultes) détient 37 % de la richesse mondiale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Plus marquant encore, le top 0,001 % — un groupe infime d'environ 56 000 à 60 000 personnes, l'équivalent de la capacité d'un stade de football — détient à lui seul trois fois plus de richesse que les 50 % les plus pauvres réunis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En l'espace de 30 ans, de 1995 à 2025, la part des richesses captée par cette ultra-élite est passée d'environ 4 % à plus de 6 %, illustrant une accélération silencieuse mais implacable de la concentration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Oxfam souligne par ailleurs que le patrimoine des milliardaires a augmenté trois fois plus vite au cours des cinq dernières années qu'auparavant, porté par l'assouplissement monétaire et la flambée des prix des actifs post-pandémie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Un groupe restreint d'un demi-million d'individus ultra-fortunés (Ultra-High Net Worth Individuals) gère désormais la somme colossale de 60 000 milliards de dollars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Groupe de population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Part de la Richesse Mondiale (2025)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Part des Revenus Mondiaux (2025)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Richesse Moyenne par individu (estimations)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 0,001 %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6 %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milliard USD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 1 %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1 million USD (seuil d'entrée)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 10 %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million USD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Classe moyenne (40 %)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Moitié la plus pauvre (50 %)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~6 500 USD</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 côté des revenus, bien que légèrement moins extrême que la richesse patrimoniale, le constat demeure alarmant. Les 10 % les plus riches perçoivent 53 % des revenus mondiaux, tandis que la moitié la plus pauvre n'en capte que 8 %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Un individu appartenant au top 10 % gagne en moyenne 159 300 dollars par an (environ 13 275 dollars par mois), contre moins de 500 dollars par mois pour un membre des 50 % les plus pauvres, soit un écart de 31 fois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Pour entrer dans le cercle très fermé du top 1 %, le seuil de revenu annuel requis dépasse 250 300 dollars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Dynamiques Structurelles et Disparités Géographiques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moteurs de cette divergence sont profonds. Le premier réside dans la mécanique de l'accumulation décrite par l'économiste Thomas Piketty, où le rendement du capital excède structurellement la croissance économique (r &gt; 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Les portefeuilles des ultra-riches sont majoritairement composés d'actifs financiers liquides, d'actions et de participations d'entreprises, qui ont bénéficié à plein des injections de liquidités des banques centrales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À l'inverse, le patrimoine des classes moyennes repose principalement sur la propriété résidentielle, moins dynamique et vulnérable aux cycles de crédit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De surcroît, l'affaiblissement progressif des systèmes fiscaux redistributifs, la prolifération de l'évasion fiscale et l'influence politique asymétrique de l'oligarchie verrouillent cette architecture inégalitaire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L'inégalité se décline également avec de fortes disparités régionales. L'Afrique du Sud reste le pays le plus inégalitaire au monde : les 10 % les plus riches y contrôlent 85 % de la richesse personnelle et 66 % des revenus, tandis que les 50 % les plus pauvres ont une richesse nette négative, signifiant que leurs dettes excèdent leurs maigres actifs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Ce profil hyper-concentré se retrouve dans plusieurs pays d'Amérique latine (Brésil, Mexique, Colombie) et en Russie, où les 10 % accaparent 70 % ou plus des richesses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À l'inverse, les pays européens, notamment nordiques (Suède, Norvège, Danemark), affichent des structures relativement plus équilibrées grâce à de solides États-providence, bien que les inégalités patrimoniales y demeurent substantielles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À l'échelle macro-globale, une observation paradoxale s'impose : bien que l'inégalité globale entre tous les citoyens du monde ait légèrement diminué au cours du 21ème siècle — un phénomène principalement tiré par la croissance rapide des classes moyennes en Chine et en Inde, qui ont réduit l'écart entre les pays du Nord et certains pays du Sud — l'inégalité </w:t>
      </w:r>
      <w:r w:rsidDel="00000000" w:rsidR="00000000" w:rsidRPr="00000000">
        <w:rPr>
          <w:rFonts w:ascii="Google Sans" w:cs="Google Sans" w:eastAsia="Google Sans" w:hAnsi="Google Sans"/>
          <w:i w:val="1"/>
          <w:iCs w:val="1"/>
          <w:color w:val="1f1f1f"/>
          <w:rtl w:val="0"/>
        </w:rPr>
        <w:t xml:space="preserve">à l'intérieur</w:t>
      </w:r>
      <w:r w:rsidDel="00000000" w:rsidR="00000000" w:rsidRPr="00000000">
        <w:rPr>
          <w:rFonts w:ascii="Google Sans" w:cs="Google Sans" w:eastAsia="Google Sans" w:hAnsi="Google Sans"/>
          <w:color w:val="1f1f1f"/>
          <w:rtl w:val="0"/>
        </w:rPr>
        <w:t xml:space="preserve"> des pays (in-country inequality) a explosé et est appelée à représenter plus de la moitié des inégalités mondiales d'ici les années 2030</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L'Insoutenabilité Écologique : Extractivisme et Illusion du Découplage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croissance exponentielle des patrimoines financiers et l'injonction à la maximisation des rendements se heurtent frontalement aux limites biophysiques de la Terre. L'économie financiarisée, parce qu'elle exige une croissance perpétuelle pour rémunérer les capitaux accumulés, alimente une dévastation sans précédent de la biosphère. L'accumulation par dépossession ne concerne plus seulement le travail humain, mais la matière même de la planète.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L'Extraction Frénétique et la Rupture des Limites Planétaires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données récentes révèlent l'ampleur stupéfiante du métabolisme de l'économie mondiale. Selon le Global Resources Outlook 2024 du Programme des Nations Unies pour l'environnement (PNUE) et les rapports Circularity Gap 2025/2026 de Circle Economy, l'extraction mondiale de ressources naturelles a atteint un niveau faramineux compris entre 104 et 106 milliards de tonnes par an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Ce volume a plus que triplé depuis 1970 et représente une moyenne de 13,2 tonnes extraites par personne et par an à l'échelle mondiale, soit un rythme vertigineux de près de 3 300 tonnes par seconde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Si aucune modification systémique n'intervient, le PNUE projette que l'extraction atteindra 160 à 190 milliards de tonnes d'ici 2060, une trajectoire proprement suicidaire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L'architecture de cette extraction est dominée par les minéraux non métalliques (sable, gravier, argile), indispensables à l'urbanisation et au bétonnage frénétique, qui représentent 46 % du total (48 milliards de tonnes)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Suivent la biomasse pour l'agriculture et la sylviculture (25 %), les combustibles fossiles (15 %) et les minerais métalliques (10 %)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Typologie des Ressources Extraites (Données PNUE 2024/2025)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Volume Annuel (Milliards de tonnes)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Pourcentage du Total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Minéraux non métalliques (construction)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Biomasse (agriculture, foresterie)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Combustibles fossiles (charbon, pétrole, gaz)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Minerais métalliques (fer, cuivre, terres rares)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Autres matériaux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L'impact de ce prélèvement massif est dévastateur. L'extraction et l'utilisation des matériaux sont responsables d'environ deux tiers des émissions mondiales de gaz à effet de serre et de plus de 90 % de la perte de biodiversité et du stress hydrique liés à l'usage des terres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Le rapport "Planetary Health Check 2025", publié par le Stockholm Resilience Centre, a confirmé que sept des neuf limites planétaires sont désormais franchies, l'acidification des océans ayant récemment basculé dans la zone d'alerte pour la première fois depuis le début de l'ère industrielle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L'IPBES évalue de son côté que l'activité économique dépendante de la nature génère plus de 50 000 milliards de dollars annuellement, mais que les coûts non comptabilisés de la destruction écologique (externalités négatives) s'élèvent entre 10 000 et 25 000 milliards de dollars par an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responsabilités dans cet effondrement sont profondément asymétriques. On observe une véritable fracture métabolique globale. Les pays à revenu élevé, qui abritent environ 22 % de la population mondiale, consomment 27 tonnes de matières par habitant et par an, contre seulement 2 tonnes dans les pays à faible revenu, soit un ratio de surconsommation de près de 13 pour 1</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L'empreinte écologique des pays du Nord s'étend bien au-delà de leurs frontières, rapatriant les bénéfices matériels tout en externalisant les pollutions et les conflits d'usage vers les pays du Sud. Le concept du "Jour du dépassement de la Terre" (Earth Overshoot Day) illustre de manière poignante ce déficit écologique : en 2025, dès le 24 juillet, l'humanité avait consommé l'ensemble des ressources que la planète est capable de régénérer en un an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Chimère du Découplage et l'Échec de l'Économie Circulaire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Face à ces limites biophysiques, le discours institutionnel dominant (OCDE, Commission Européenne) s'accroche au paradigme de la "croissance verte" et à l'hypothèse du "découplage". La théorie du découplage postule qu'il est possible, grâce à l'innovation technologique et à l'efficience, de maintenir la croissance du PIB tout en réduisant la consommation de ressources (découplage matériel) et les dommages environnementaux (découplage des impacts). Un découplage "relatif" signifie que les impacts augmentent moins vite que le PIB, tandis qu'un découplage "absolu" requiert que les impacts diminuent de manière significative pendant que le PIB continue de croître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Cependant, un examen rigoureux de la littérature empirique démontre que la croissance verte est une chimère statistique. Il n'existe à ce jour aucune preuve empirique d'un découplage absolu, permanent, mondial et suffisamment rapide pour respecter les accords de Paris et les objectifs de préservation de la biodiversité</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Bien que certains pays développés affichent un découplage absolu localisé de leurs émissions territoriales de CO2, ce succès apparent masque largement une externalisation de la production industrielle polluante vers les pays en développement. L'analyse basée sur l'empreinte matérielle (incluant les importations) révèle que le métabolisme des pays riches ne diminue pas de manière absolue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L'efficience technologique se heurte perpétuellement au "Paradoxe de Jevons", où l'amélioration de l'efficacité d'utilisation d'une ressource entraîne une baisse de son coût relatif, stimulant une augmentation de la demande globale qui finit par annuler les gains écologiques espérés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En outre, la transition environnementale est elle-même extrêmement intensive en capitaux et en matières premières : l'électrification des transports et le déploiement des énergies renouvelables exigent des quantités astronomiques de cuivre, de cobalt, de lithium et d'acier, créant de nouvelles pressions minières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Parallèlement, la promesse d'une économie circulaire stagne dramatiquement. Le rapport Circularity Gap 2025 souligne que le taux d'utilisation de matériaux secondaires (recyclés) dans l'économie mondiale est en chute libre, passant de 9,1 % en 2018 à seulement 6,9 % en 2025</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Cette baisse paradoxale s'explique par un effet de volume : la consommation globale de matériaux vierges a crû beaucoup plus vite que les capacités industrielles de récupération et de recyclage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Chaque année, l'économie mondiale perd environ 25 400 milliards d'euros en valeur économique évitable (le "Value Gap") à cause du gaspillage inhérent à son modèle linéaire (extraire, fabriquer, jeter), dont 10 000 milliards d'euros partent directement en déchets non valorisés à la fin du cycle de vie des produits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Comparaison et Contraste des Paradigmes Interprétatifs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Face à cette triple crise interconnectée — l'instabilité de la finance algorithmique, la fracture socio-économique et l'effondrement biophysique — les cadres d'interprétation divergent fondamentalement. Trois grandes perspectives structurent le débat intellectuel et politique.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L'Approche Orthodoxe : Efficience, Autorégulation et Croissance Verte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théorie économique néoclassique et orthodoxe appréhende le système actuel à travers le prisme de l'efficience des marchés et de la théorie de l'agent rationnel. Selon cette perspective, les mécanismes de marché, incluant la titrisation et le trading à haute fréquence, fournissent une liquidité indispensable, permettant une découverte optimale des prix et une allocation efficace des capitaux vers les secteurs les plus productifs. L'autorégulation est préférée à l'interventionnisme étatique, la régulation excessive étant perçue comme une "friction" entravant l'innovation et la création de richesse globale.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Face aux défis environnementaux, l'orthodoxie promeut le concept de "soutenabilité faible", postulant une substituabilité parfaite entre le capital naturel détruit et le capital manufacturé ou intellectuel créé. La solution réside exclusivement dans l'innovation technologique, le libre-échange, la tarification des externalités négatives (comme les marchés du carbone) et la croissance verte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Les orthodoxes affirment qu'une fois le "juste prix" fixé pour la pollution, les incitations financières suffiront à orienter l'ingénierie vers un découplage salvateur, sans qu'il soit nécessaire de remettre en question le paradigme de l'accumulation infinie ni les modes de consommation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Critique Hétérodoxe : Déconnexion, Rentes et Capitalisme de Monopole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économistes hétérodoxes (post-keynésiens, marxistes, institutionnalistes) contestent la prémisse même de l'efficience des marchés. Ils dénoncent une économie globalisée qui a muté vers un "capitalisme de monopole" dominé par une oligarchie financière capturant la valeur au détriment de l'économie réelle et des travailleurs. Pour les hétérodoxes, l'instabilité documentée lors du Flash Crash ou de la crise des subprimes n'est pas un accident, mais l'expression de l'instabilité inhérente au capitalisme financier spéculatif.</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concentration des richesses, confirmée par le WIR 2026, n'est pas perçue comme le résultat d'une méritocratie productive, mais comme le fruit d'une architecture légale, fiscale et de propriété intellectuelle spécifiquement conçue pour favoriser le capital sur le travail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Ils soulignent que la financiarisation a instauré une culture de l'extraction de rentes plutôt que de l'investissement productif. Les prescriptions hétérodoxes incluent un retour vigoureux de l'État stratège, une re-régulation stricte des flux de capitaux (notamment l'interdiction de certaines formes prédatrices de HFT, ou la séparation stricte des banques d'affaires et de dépôt), ainsi que des politiques de "pré-distribution" garantissant l'équité à la source, complétées par une fiscalité fortement progressive sur les revenus et les patrimoines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Perspective Écologique : Thermodynamique et Limites de la Croissance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L'économie écologique, dont les bases épistémologiques ont été posées par des pionniers comme Nicholas Georgescu-Roegen et développées par des économistes tels que Herman Daly et Tim Jackson, réfute la macroéconomie classique en la soumettant aux lois implacables de la biophysique et de la thermodynamique.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Georgescu-Roegen a démontré que le processus économique est, par nature, un processus entropique : il transforme inéluctablement des matières et de l'énergie de basse entropie (des ressources structurées et utiles) en haute entropie (des déchets, de la pollution et de la chaleur dissipée)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Puisque la Terre est un système matériellement fermé, le mythe de la croissance économique perpétuelle est une impossibilité mathématique et physique.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S'inspirant de ces travaux, Herman Daly a théorisé le modèle de "l'économie de l'état stationnaire" (steady-state economy), prônant une stabilisation du métabolisme physique de l'économie (le volume des extractions et des rejets) à un niveau compatible avec les capacités de régénération de la biosphère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Dans son ouvrage séminal </w:t>
      </w:r>
      <w:r w:rsidDel="00000000" w:rsidR="00000000" w:rsidRPr="00000000">
        <w:rPr>
          <w:rFonts w:ascii="Google Sans" w:cs="Google Sans" w:eastAsia="Google Sans" w:hAnsi="Google Sans"/>
          <w:i w:val="1"/>
          <w:iCs w:val="1"/>
          <w:color w:val="1f1f1f"/>
          <w:rtl w:val="0"/>
        </w:rPr>
        <w:t xml:space="preserve">Prospérité sans croissance</w:t>
      </w:r>
      <w:r w:rsidDel="00000000" w:rsidR="00000000" w:rsidRPr="00000000">
        <w:rPr>
          <w:rFonts w:ascii="Google Sans" w:cs="Google Sans" w:eastAsia="Google Sans" w:hAnsi="Google Sans"/>
          <w:color w:val="1f1f1f"/>
          <w:rtl w:val="0"/>
        </w:rPr>
        <w:t xml:space="preserve">, Tim Jackson démontre qu'au-delà d'un certain seuil (généralement atteint par les pays du Nord), la poursuite de la croissance du PIB ne se traduit plus par une augmentation du bien-être social ou de l'espérance de vie, mais au contraire par une détérioration du tissu social et un effondrement écologique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L'économie écologique appelle ainsi à l'avènement d'une société de la post-croissance (ou décroissance planifiée pour les pays surdéveloppés), organisant démocratiquement une réduction de l'empreinte matérielle globale tout en redistribuant les richesses pour garantir la satisfaction des besoins fondamentaux universels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Paradigme Économique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Analyse de la Financiarisation / Marchés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Analyse des Inégalités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Vision des Limites Environnementales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Solutions Préconisées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Orthodoxe (Néoclassique)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Efficience, allocation optimale, liquidité algorithmique bénéfique.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Résultat naturel des différences de productivité et d'innovation.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Soutenabilité faible (substituabilité du capital). Confiance au découplage.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Dérégulation, marchés carbone, innovation technologique, croissance verte.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Hétérodoxe (Keynésien / Marxiste)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Instabilité inhérente, extraction de rentes, financiarisation néfaste.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Conséquence de rapports de force politiques et de la capture de l'État par l'oligarchie.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Limites réelles mais subordonnées à la question de l'accaparement par les monopoles.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Régulation financière stricte, fiscalité très progressive, État-providence fort.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Économie Écologique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Mythe de la valeur abstraite déconnectée de la biophysique.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Conséquence du dogme de l'accumulation couplé à l'extractivisme.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Soutenabilité forte (lois de la thermodynamique/entropie). Découplage illusoire.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État stationnaire, post-croissance, limites absolues d'extraction, redistribution radicale.</w:t>
            </w:r>
          </w:p>
        </w:tc>
      </w:tr>
    </w:tbl>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Réencastrer l'Économie : Modèles Alternatifs et Réappropriation Citoyenne en Belgique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Face à un macro-système aliénant où la finance algorithmique et l'extractivisme mondial échappent au contrôle politique et démocratique, de multiples initiatives s'organisent à l'échelle locale. Elles visent, selon l'expression de Karl Polanyi, à "réencastrer" l'économie dans les relations sociales et les limites biophysiques, en la soustrayant aux lois pures du marché. La Belgique, et particulièrement la région bruxelloise, constitue un véritable laboratoire d'innovations pour ces alternatives visant à redonner le contrôle aux citoyens.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Coopératives et l'Économie Sociale et Solidaire : SMart et NewB</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L'Économie Sociale et Solidaire (ESS) repose sur la primauté de la finalité sociale sur le profit, une gouvernance démocratique (un membre, une voix), et la non-lucrativité ou la lucrativité limitée.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Dans le domaine du travail, la coopérative </w:t>
      </w:r>
      <w:r w:rsidDel="00000000" w:rsidR="00000000" w:rsidRPr="00000000">
        <w:rPr>
          <w:rFonts w:ascii="Google Sans" w:cs="Google Sans" w:eastAsia="Google Sans" w:hAnsi="Google Sans"/>
          <w:b w:val="1"/>
          <w:bCs w:val="1"/>
          <w:color w:val="1f1f1f"/>
          <w:rtl w:val="0"/>
        </w:rPr>
        <w:t xml:space="preserve">SMart</w:t>
      </w:r>
      <w:r w:rsidDel="00000000" w:rsidR="00000000" w:rsidRPr="00000000">
        <w:rPr>
          <w:rFonts w:ascii="Google Sans" w:cs="Google Sans" w:eastAsia="Google Sans" w:hAnsi="Google Sans"/>
          <w:color w:val="1f1f1f"/>
          <w:rtl w:val="0"/>
        </w:rPr>
        <w:t xml:space="preserve"> (Société Mutuelle pour Artistes) illustre brillamment cette démarche de réappropriation de la protection sociale face à la précarisation dictée par la mondialisation. Créée initialement pour les artistes, SMart s'est élargie pour accueillir une myriade de travailleurs autonomes, indépendants, pigistes et coursiers. En 2019, la coopérative employait plus de 20 404 personnes en Belgique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Le modèle est innovant : SMart transforme ces travailleurs isolés et précaires en salariés de la coopérative, mutualisant les risques. Elle leur octroie un cadre juridique protecteur, un accès à la sécurité sociale, une assurance contre les impayés, et des services comptables centralisés, contrecarrant ainsi l'ubérisation du travail par la puissance de l'action collective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Dans le secteur financier, la création de la coopérative </w:t>
      </w:r>
      <w:r w:rsidDel="00000000" w:rsidR="00000000" w:rsidRPr="00000000">
        <w:rPr>
          <w:rFonts w:ascii="Google Sans" w:cs="Google Sans" w:eastAsia="Google Sans" w:hAnsi="Google Sans"/>
          <w:b w:val="1"/>
          <w:bCs w:val="1"/>
          <w:color w:val="1f1f1f"/>
          <w:rtl w:val="0"/>
        </w:rPr>
        <w:t xml:space="preserve">NewB</w:t>
      </w:r>
      <w:r w:rsidDel="00000000" w:rsidR="00000000" w:rsidRPr="00000000">
        <w:rPr>
          <w:rFonts w:ascii="Google Sans" w:cs="Google Sans" w:eastAsia="Google Sans" w:hAnsi="Google Sans"/>
          <w:color w:val="1f1f1f"/>
          <w:rtl w:val="0"/>
        </w:rPr>
        <w:t xml:space="preserve"> par 24 organisations de la société civile (dont des syndicats et des ONG) au lendemain de la crise bancaire de 2008 a incarné le désir citoyen d'établir une banque éthique, transparente, non spéculative et orientée vers la transition écologique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Plus de 100 000 citoyens belges ont investi dans le projet, espérant briser le monopole des banques systémiques de la place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Bien que NewB ait fait face à des obstacles considérables liés aux exigences massives de capital imposées par la Banque Centrale Européenne (BCE) – entraînant la perte de sa licence bancaire indépendante en 2022 –, le projet a su pivoter. Depuis le 1er avril 2023, NewB agit en tant qu'agence bancaire et d'investissement exclusive pour </w:t>
      </w:r>
      <w:r w:rsidDel="00000000" w:rsidR="00000000" w:rsidRPr="00000000">
        <w:rPr>
          <w:rFonts w:ascii="Google Sans" w:cs="Google Sans" w:eastAsia="Google Sans" w:hAnsi="Google Sans"/>
          <w:i w:val="1"/>
          <w:iCs w:val="1"/>
          <w:color w:val="1f1f1f"/>
          <w:rtl w:val="0"/>
        </w:rPr>
        <w:t xml:space="preserve">vdk banque</w:t>
      </w:r>
      <w:r w:rsidDel="00000000" w:rsidR="00000000" w:rsidRPr="00000000">
        <w:rPr>
          <w:rFonts w:ascii="Google Sans" w:cs="Google Sans" w:eastAsia="Google Sans" w:hAnsi="Google Sans"/>
          <w:color w:val="1f1f1f"/>
          <w:rtl w:val="0"/>
        </w:rPr>
        <w:t xml:space="preserve">, une institution financière flamande partageant des valeurs durables similaires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Cette évolution prouve la complexité d'émerger face à une architecture réglementaire pensée pour de gigantesques conglomérats, mais témoigne aussi de la résilience du mouvement citoyen pour reverdir l'allocation des capitaux</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Communs : De la Terre au Numérique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financiarisation a transformé des biens essentiels en actifs spéculatifs. Le paradigme des "communs" vise à extraire des ressources spécifiques de la logique marchande pour les gérer collectivement en tant que biens d'usage.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Les communs fonciers : Le Community Land Trust Bruxelles (CLTB)</w:t>
      </w:r>
      <w:r w:rsidDel="00000000" w:rsidR="00000000" w:rsidRPr="00000000">
        <w:rPr>
          <w:rFonts w:ascii="Google Sans" w:cs="Google Sans" w:eastAsia="Google Sans" w:hAnsi="Google Sans"/>
          <w:color w:val="1f1f1f"/>
          <w:rtl w:val="0"/>
        </w:rPr>
        <w:t xml:space="preserve"> Le logement est devenu, particulièrement dans les capitales européennes, un puissant vecteur d'inégalités. En réponse, le modèle du Community Land Trust, importé des États-Unis, a été pionnier en Europe continentale grâce au </w:t>
      </w:r>
      <w:r w:rsidDel="00000000" w:rsidR="00000000" w:rsidRPr="00000000">
        <w:rPr>
          <w:rFonts w:ascii="Google Sans" w:cs="Google Sans" w:eastAsia="Google Sans" w:hAnsi="Google Sans"/>
          <w:b w:val="1"/>
          <w:bCs w:val="1"/>
          <w:color w:val="1f1f1f"/>
          <w:rtl w:val="0"/>
        </w:rPr>
        <w:t xml:space="preserve">Community Land Trust Bruxelles (CLTB)</w:t>
      </w:r>
      <w:r w:rsidDel="00000000" w:rsidR="00000000" w:rsidRPr="00000000">
        <w:rPr>
          <w:rFonts w:ascii="Google Sans" w:cs="Google Sans" w:eastAsia="Google Sans" w:hAnsi="Google Sans"/>
          <w:color w:val="1f1f1f"/>
          <w:rtl w:val="0"/>
        </w:rPr>
        <w:t xml:space="preserve">, officiellement constitué en 2012 après des années de mobilisation associative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Le CLTB résout l'équation de la spéculation immobilière grâce à une innovation juridique majeure : la dissociation perpétuelle entre la propriété du sol et celle du bâti</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Le foncier appartient de manière inaliénable au Trust (la communauté), tandis que les familles à faibles revenus (qui ne dépassent pas les plafonds du logement social) achètent uniquement la construction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Surtout, une charte anti-spéculative encadre la revente : lorsque la famille souhaite déménager, la plus-value immobilière est plafonnée. Le vendeur récupère sa mise initiale ajustée de l'inflation et d'une petite fraction de la plus-value, mais l'essentiel de la valorisation retourne à la communauté, garantissant que le logement reste financièrement abordable, à perpétuité, pour la génération suivante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Inaugurant ses premières maisons en 2015 au Quai de Mariemont, le CLTB a mis en place une gouvernance tripartite (résidents, société civile, pouvoirs publics régionaux), prouvant qu'il est possible de sanctuariser le sol urbain contre les marchés mondialisés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Les communs numériques et la réappropriation des données</w:t>
      </w:r>
      <w:r w:rsidDel="00000000" w:rsidR="00000000" w:rsidRPr="00000000">
        <w:rPr>
          <w:rFonts w:ascii="Google Sans" w:cs="Google Sans" w:eastAsia="Google Sans" w:hAnsi="Google Sans"/>
          <w:color w:val="1f1f1f"/>
          <w:rtl w:val="0"/>
        </w:rPr>
        <w:t xml:space="preserve"> Bien que moins territorialisés, les communs numériques relèvent de la même philosophie d'émancipation, cette fois-ci face aux monopoles technologiques de la Silicon Valley et à l'opacité du trading algorithmique. L'économie numérique actuelle repose sur l'extraction gratuite des données comportementales (une forme d'extractivisme numérique) par un oligopole de plateformes. Les communs numériques, à l'image de Wikipédia ou du système d'exploitation Linux, reposent sur l'open source, le partage des connaissances et des licences libres, empêchant l'appropriation privative du code. Plus récemment, le "coopérativisme de plateforme" (platform cooperativism) émerge comme une alternative structurelle : des plateformes de livraison (comme CoopCycle) ou d'hébergement (comme Fairbnb) appartiennent conjointement à leurs utilisateurs et travailleurs, garantissant des algorithmes transparents et éthiques. Cette réappropriation du code et de la donnée est la réponse sociétale directe à l'opacité mortifère des algorithmes de HFT : opposer des algorithmes ouverts et démocratiques à la "boîte noire" d'une finance hors sol.</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Souveraineté Monétaire Locale : L'Exemple de la Zinne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L'instrumentalisation la plus directe de la réappropriation économique réside sans doute dans la conception même de la monnaie. Lancée officiellement le 21 mars 2019 par un collectif citoyen bruxellois, la </w:t>
      </w:r>
      <w:r w:rsidDel="00000000" w:rsidR="00000000" w:rsidRPr="00000000">
        <w:rPr>
          <w:rFonts w:ascii="Google Sans" w:cs="Google Sans" w:eastAsia="Google Sans" w:hAnsi="Google Sans"/>
          <w:b w:val="1"/>
          <w:bCs w:val="1"/>
          <w:color w:val="1f1f1f"/>
          <w:rtl w:val="0"/>
        </w:rPr>
        <w:t xml:space="preserve">Zinne</w:t>
      </w:r>
      <w:r w:rsidDel="00000000" w:rsidR="00000000" w:rsidRPr="00000000">
        <w:rPr>
          <w:rFonts w:ascii="Google Sans" w:cs="Google Sans" w:eastAsia="Google Sans" w:hAnsi="Google Sans"/>
          <w:color w:val="1f1f1f"/>
          <w:rtl w:val="0"/>
        </w:rPr>
        <w:t xml:space="preserve"> est la monnaie locale et citoyenne de la Région de Bruxelles-Capitale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fonctionnement de la Zinne (où 1 Zinne = 1 Euro) vise à dévier le pouvoir d'achat du circuit financier global spéculatif vers l'économie réelle de proximité</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Lorsqu'un citoyen convertit ses euros en Zinnes (en format papier sécurisé ou via une application électronique), ces euros sont placés dans un fonds de garantie auprès de Triodos, une banque éthique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Cette réserve prolonge l'impact de la monnaie en finançant des projets durables et assure la stabilité absolue du système : les utilisateurs peuvent récupérer leurs euros à tout moment si l'association venait à disparaître, évitant ainsi le risque d'illiquidité propre aux banques commerciales classiques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Zinne a été pensée pour contrer structurellement l'accumulation. Elle ne peut être thésaurisée à des fins de spéculation boursière ; sa fonction unique est de faciliter l'échange marchand dans un espace géographique restreint, stimulant les circuits courts économiques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En 2021, la masse monétaire des différentes devises locales francophones en Belgique avait doublé pour atteindre 1,4 million d'unités, témoignant d'une dynamique d'appropriation croissante</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La Zinne circule au sein d'un réseau dynamique de près de 200 prestataires (commerçants indépendants, artisans, acteurs de la culture, du sport et de la santé)</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L'accès à ce réseau est filtré par une charte éthique drastique. Sont d'office exclues les entreprises cotées en bourse, celles ne respectant pas les droits sociaux, ou dont l'activité est jugée prédatrice pour l'environnement</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Pour être accepté, un commerçant doit démontrer son utilité locale via au moins deux critères d'inclusion (approvisionnement en circuit court, produits biologiques, lien social, finalité culturelle)</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Ce processus d'adhésion fait de la Zinne un outil d'éducation populaire et de gouvernance démocratique</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est instructif de mettre en contraste ce projet avec la </w:t>
      </w:r>
      <w:r w:rsidDel="00000000" w:rsidR="00000000" w:rsidRPr="00000000">
        <w:rPr>
          <w:rFonts w:ascii="Google Sans" w:cs="Google Sans" w:eastAsia="Google Sans" w:hAnsi="Google Sans"/>
          <w:b w:val="1"/>
          <w:bCs w:val="1"/>
          <w:color w:val="1f1f1f"/>
          <w:rtl w:val="0"/>
        </w:rPr>
        <w:t xml:space="preserve">Monnaie Numérique de Banque Centrale (MNBC)</w:t>
      </w:r>
      <w:r w:rsidDel="00000000" w:rsidR="00000000" w:rsidRPr="00000000">
        <w:rPr>
          <w:rFonts w:ascii="Google Sans" w:cs="Google Sans" w:eastAsia="Google Sans" w:hAnsi="Google Sans"/>
          <w:color w:val="1f1f1f"/>
          <w:rtl w:val="0"/>
        </w:rPr>
        <w:t xml:space="preserve">, et particulièrement le futur "Euro Numérique" porté par la BCE. Si l'Euro Numérique ambitionne de sauvegarder la souveraineté monétaire européenne face aux géants américains du paiement et aux cryptomonnaies privées (qui échappent aux banques centrales), il s'agit fondamentalement d'un projet "top-down", centralisateur, où la monnaie reste le véhicule d'une intégration macroéconomique indifférenciée de l'espace unique</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À l'inverse, la monnaie locale comme la Zinne est une démarche intrinsèquement "bottom-up". Elle ne vise pas la fluidité à grande échelle, mais la création d'une "friction" protectrice : garder la richesse sur un territoire donné pour en augmenter la résilience, tisser du lien social et offrir aux citoyens le pouvoir d'orienter physiquement leurs richesses vers une économie post-croissance respectueuse de la biosphère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 L'Économie Échappe-t-elle Effectivement à Tout Contrôle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synthèse des faits historiques, de l'évolution structurelle des marchés financiers et des impasses métaboliques de l'extraction des ressources permet de formuler une réponse nuancée mais univoque à la problématique soulevée : l'architecture macro-économique mondiale s'est effectivement affranchie des mécanismes de contrôle démocratique, humain et écologique traditionnels.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D'un point de vue technologique et financier, la prolifération du trading algorithmique à haute fréquence a délégué l'efficience des marchés à des processus informatiques fonctionnant à des vitesses imperceptibles. Comme l'ont prouvé le Flash Crash de 2010 et la débâcle de Knight Capital, les régulateurs se retrouvent réduits à concevoir des garde-fous toujours plus réactifs face à un système organiquement instable, propulsé par des boucles de rétroaction cybernétiques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L'économie financière s'est transformée en une entité autonome optimisant la valeur actionnariale à court terme, ce qui s'est traduit par une captation ahurissante de la richesse par un groupuscule représentant 0,001 % de la population mondiale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Ce déséquilibre institutionnalisé valide les thèses hétérodoxes démontrant la prééminence des rentes et le dévoiement des principes de méritocratie économique.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 le plan de l'économie physique, le postulat orthodoxe d'une autorégulation par les prix et la croyance aveugle en un "découplage absolu" de la croissance et des dégâts environnementaux relèvent du déni scientifique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L'extraction annuelle dépassant les 100 milliards de tonnes de matières premières, écrasant les limites planétaires, démontre que la machine économique tourne à plein régime vers l'entropie maximale théorisée par l'économie écologique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Le "tapis roulant de la production" capitaliste est sourd aux signaux de détresse de la biosphère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Cependant, conclure à une fatalité absolue serait occulter la puissance des dynamiques de contre-mouvement observables à l'échelle méso et micro-économique. Si le contrôle politique s'effondre au niveau macro-structurel, capturé par les monopoles et l'oligarchie, il se recompose et s'invente à l'échelle locale. Les communautés s'organisent pour désamorcer l'extractivisme de la donnée, de la terre et de la monnaie.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trajectoire de la coopérative SMart dans la protection du travail</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l'ingénierie juridique du Community Land Trust Bruxelles pour soustraire le foncier urbain à la spéculation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l'expérience numérique des communs virtuels, ou encore le développement d'une monnaie citoyenne comme la Zinne à Bruxelles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constituent des démonstrations empiriques majeures. Elles prouvent qu'une alternative systémique est réalisable : une économie réencastrée, circulaire, où la propriété d'usage supplante la propriété lucrative, et où la coopération remplace la compétition algorithmique.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définitive, l'économie mondiale est bel et bien hors de contrôle. Néanmoins, l'avenir du modèle civilisationnel ne dépendra pas de la capacité des régulateurs à réparer un paradigme extractiviste obsolète, mais de la capacité des sociétés civiles à faire changer d'échelle (scaling up) ces multiples innovations locales, afin qu'elles convergent pour structurer l'architecture politique et économique de l'ère de la post-croissance.</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Systemic failures and organizational risk management in algorithmic, </w:t>
      </w:r>
      <w:hyperlink r:id="rId6">
        <w:r w:rsidDel="00000000" w:rsidR="00000000" w:rsidRPr="00000000">
          <w:rPr>
            <w:rFonts w:ascii="Google Sans" w:cs="Google Sans" w:eastAsia="Google Sans" w:hAnsi="Google Sans"/>
            <w:color w:val="0000ee"/>
            <w:sz w:val="24"/>
            <w:szCs w:val="24"/>
            <w:u w:val="single"/>
            <w:rtl w:val="0"/>
          </w:rPr>
          <w:t xml:space="preserve">https://pmc.ncbi.nlm.nih.gov/articles/PMC8978471/</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AIFS0046 Written evidence submitted by Maximilian Goehmann, </w:t>
      </w:r>
      <w:hyperlink r:id="rId7">
        <w:r w:rsidDel="00000000" w:rsidR="00000000" w:rsidRPr="00000000">
          <w:rPr>
            <w:rFonts w:ascii="Google Sans" w:cs="Google Sans" w:eastAsia="Google Sans" w:hAnsi="Google Sans"/>
            <w:color w:val="0000ee"/>
            <w:sz w:val="24"/>
            <w:szCs w:val="24"/>
            <w:u w:val="single"/>
            <w:rtl w:val="0"/>
          </w:rPr>
          <w:t xml:space="preserve">https://committees.parliament.uk/writtenevidence/140229/pdf/</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'Flash Crash': The first market crash in the era of algorithms and, </w:t>
      </w:r>
      <w:hyperlink r:id="rId8">
        <w:r w:rsidDel="00000000" w:rsidR="00000000" w:rsidRPr="00000000">
          <w:rPr>
            <w:rFonts w:ascii="Google Sans" w:cs="Google Sans" w:eastAsia="Google Sans" w:hAnsi="Google Sans"/>
            <w:color w:val="0000ee"/>
            <w:sz w:val="24"/>
            <w:szCs w:val="24"/>
            <w:u w:val="single"/>
            <w:rtl w:val="0"/>
          </w:rPr>
          <w:t xml:space="preserve">https://blogs.lse.ac.uk/businessreview/2017/06/26/flash-crash-the-first-market-crash-in-the-era-of-algorithms-and-automated-trading/</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Flash Crashes Explained - IG, </w:t>
      </w:r>
      <w:hyperlink r:id="rId9">
        <w:r w:rsidDel="00000000" w:rsidR="00000000" w:rsidRPr="00000000">
          <w:rPr>
            <w:rFonts w:ascii="Google Sans" w:cs="Google Sans" w:eastAsia="Google Sans" w:hAnsi="Google Sans"/>
            <w:color w:val="0000ee"/>
            <w:sz w:val="24"/>
            <w:szCs w:val="24"/>
            <w:u w:val="single"/>
            <w:rtl w:val="0"/>
          </w:rPr>
          <w:t xml:space="preserve">https://www.ig.com/en-ch/trading-strategies/flash-crashes-explained-190503</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Algorithmic trading, the Flash Crash, and coordinated circuit breakers,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https://www.researchgate.net/publication/263319518_Algorithmic_trading_the_Flash_Crash_and_coordinated_circuit_breakers</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Wealth Report 2026: Global wealth rose over 10% in 2025, </w:t>
      </w:r>
      <w:hyperlink r:id="rId11">
        <w:r w:rsidDel="00000000" w:rsidR="00000000" w:rsidRPr="00000000">
          <w:rPr>
            <w:rFonts w:ascii="Google Sans" w:cs="Google Sans" w:eastAsia="Google Sans" w:hAnsi="Google Sans"/>
            <w:color w:val="0000ee"/>
            <w:sz w:val="24"/>
            <w:szCs w:val="24"/>
            <w:u w:val="single"/>
            <w:rtl w:val="0"/>
          </w:rPr>
          <w:t xml:space="preserve">https://www.ubs.com/global/en/media/display-page-ndp/en-20260630-gwr-2026.html</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Acceleration of Global Wealth Concentration — Top 0.001, </w:t>
      </w:r>
      <w:hyperlink r:id="rId12">
        <w:r w:rsidDel="00000000" w:rsidR="00000000" w:rsidRPr="00000000">
          <w:rPr>
            <w:rFonts w:ascii="Google Sans" w:cs="Google Sans" w:eastAsia="Google Sans" w:hAnsi="Google Sans"/>
            <w:color w:val="0000ee"/>
            <w:sz w:val="24"/>
            <w:szCs w:val="24"/>
            <w:u w:val="single"/>
            <w:rtl w:val="0"/>
          </w:rPr>
          <w:t xml:space="preserve">https://isvd.or.jp/en/columns/2026-03-01-world-inequality-report-wealth-gap</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in the world are wealth and income most unequal? - Al Jazeera, </w:t>
      </w:r>
      <w:hyperlink r:id="rId13">
        <w:r w:rsidDel="00000000" w:rsidR="00000000" w:rsidRPr="00000000">
          <w:rPr>
            <w:rFonts w:ascii="Google Sans" w:cs="Google Sans" w:eastAsia="Google Sans" w:hAnsi="Google Sans"/>
            <w:color w:val="0000ee"/>
            <w:sz w:val="24"/>
            <w:szCs w:val="24"/>
            <w:u w:val="single"/>
            <w:rtl w:val="0"/>
          </w:rPr>
          <w:t xml:space="preserve">https://www.aljazeera.com/news/2025/12/10/where-in-the-world-are-wealth-and-income-most-unequal</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Just 0.001% hold three times the wealth of poorest half of humanity, </w:t>
      </w:r>
      <w:hyperlink r:id="rId14">
        <w:r w:rsidDel="00000000" w:rsidR="00000000" w:rsidRPr="00000000">
          <w:rPr>
            <w:rFonts w:ascii="Google Sans" w:cs="Google Sans" w:eastAsia="Google Sans" w:hAnsi="Google Sans"/>
            <w:color w:val="0000ee"/>
            <w:sz w:val="24"/>
            <w:szCs w:val="24"/>
            <w:u w:val="single"/>
            <w:rtl w:val="0"/>
          </w:rPr>
          <w:t xml:space="preserve">https://www.theguardian.com/inequality/2025/dec/10/just-0001-hold-three-times-the-wealth-of-poorest-half-of-humanity-report-finds</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Executive Summary - World Inequality Report 2026, </w:t>
      </w:r>
      <w:hyperlink r:id="rId15">
        <w:r w:rsidDel="00000000" w:rsidR="00000000" w:rsidRPr="00000000">
          <w:rPr>
            <w:rFonts w:ascii="Google Sans" w:cs="Google Sans" w:eastAsia="Google Sans" w:hAnsi="Google Sans"/>
            <w:color w:val="0000ee"/>
            <w:sz w:val="24"/>
            <w:szCs w:val="24"/>
            <w:u w:val="single"/>
            <w:rtl w:val="0"/>
          </w:rPr>
          <w:t xml:space="preserve">https://wir2026.wid.world/insight/executive-summary/</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Economic Inequality, </w:t>
      </w:r>
      <w:hyperlink r:id="rId16">
        <w:r w:rsidDel="00000000" w:rsidR="00000000" w:rsidRPr="00000000">
          <w:rPr>
            <w:rFonts w:ascii="Google Sans" w:cs="Google Sans" w:eastAsia="Google Sans" w:hAnsi="Google Sans"/>
            <w:color w:val="0000ee"/>
            <w:sz w:val="24"/>
            <w:szCs w:val="24"/>
            <w:u w:val="single"/>
            <w:rtl w:val="0"/>
          </w:rPr>
          <w:t xml:space="preserve">https://wir2026.wid.world/insight/global-economic-inequity/</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present and future of global inequality - Brookings Institution, </w:t>
      </w:r>
      <w:hyperlink r:id="rId17">
        <w:r w:rsidDel="00000000" w:rsidR="00000000" w:rsidRPr="00000000">
          <w:rPr>
            <w:rFonts w:ascii="Google Sans" w:cs="Google Sans" w:eastAsia="Google Sans" w:hAnsi="Google Sans"/>
            <w:color w:val="0000ee"/>
            <w:sz w:val="24"/>
            <w:szCs w:val="24"/>
            <w:u w:val="single"/>
            <w:rtl w:val="0"/>
          </w:rPr>
          <w:t xml:space="preserve">https://www.brookings.edu/articles/the-present-and-future-of-global-inequality/</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Tonnes of Resources Extracted from Earth - Live Counter | StatsPanda, </w:t>
      </w:r>
      <w:hyperlink r:id="rId18">
        <w:r w:rsidDel="00000000" w:rsidR="00000000" w:rsidRPr="00000000">
          <w:rPr>
            <w:rFonts w:ascii="Google Sans" w:cs="Google Sans" w:eastAsia="Google Sans" w:hAnsi="Google Sans"/>
            <w:color w:val="0000ee"/>
            <w:sz w:val="24"/>
            <w:szCs w:val="24"/>
            <w:u w:val="single"/>
            <w:rtl w:val="0"/>
          </w:rPr>
          <w:t xml:space="preserve">https://www.statspanda.com/live-counters/tonnes-of-resources-extracted-from-earth</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CSR: The Rise of Regenerative Business Models in the, </w:t>
      </w:r>
      <w:hyperlink r:id="rId19">
        <w:r w:rsidDel="00000000" w:rsidR="00000000" w:rsidRPr="00000000">
          <w:rPr>
            <w:rFonts w:ascii="Google Sans" w:cs="Google Sans" w:eastAsia="Google Sans" w:hAnsi="Google Sans"/>
            <w:color w:val="0000ee"/>
            <w:sz w:val="24"/>
            <w:szCs w:val="24"/>
            <w:u w:val="single"/>
            <w:rtl w:val="0"/>
          </w:rPr>
          <w:t xml:space="preserve">https://sumas.ch/blog/beyond-csr-regenerative-business-models-planetary-boundaries/</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Circularity Gap Report 2026, visualised, </w:t>
      </w:r>
      <w:hyperlink r:id="rId20">
        <w:r w:rsidDel="00000000" w:rsidR="00000000" w:rsidRPr="00000000">
          <w:rPr>
            <w:rFonts w:ascii="Google Sans" w:cs="Google Sans" w:eastAsia="Google Sans" w:hAnsi="Google Sans"/>
            <w:color w:val="0000ee"/>
            <w:sz w:val="24"/>
            <w:szCs w:val="24"/>
            <w:u w:val="single"/>
            <w:rtl w:val="0"/>
          </w:rPr>
          <w:t xml:space="preserve">https://circularintelligence.io/resources/insights/circularity-gap-2026</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Capitalism's Environmental Impact: Understanding the Treadmill of, </w:t>
      </w:r>
      <w:hyperlink r:id="rId21">
        <w:r w:rsidDel="00000000" w:rsidR="00000000" w:rsidRPr="00000000">
          <w:rPr>
            <w:rFonts w:ascii="Google Sans" w:cs="Google Sans" w:eastAsia="Google Sans" w:hAnsi="Google Sans"/>
            <w:color w:val="0000ee"/>
            <w:sz w:val="24"/>
            <w:szCs w:val="24"/>
            <w:u w:val="single"/>
            <w:rtl w:val="0"/>
          </w:rPr>
          <w:t xml:space="preserve">https://evs.institute/environment-and-society/capitalism-environmental-impact-treadmill-production/</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BIODIVERSITY AND CLIMATE CHANGE - IPBES, </w:t>
      </w:r>
      <w:hyperlink r:id="rId22">
        <w:r w:rsidDel="00000000" w:rsidR="00000000" w:rsidRPr="00000000">
          <w:rPr>
            <w:rFonts w:ascii="Google Sans" w:cs="Google Sans" w:eastAsia="Google Sans" w:hAnsi="Google Sans"/>
            <w:color w:val="0000ee"/>
            <w:sz w:val="24"/>
            <w:szCs w:val="24"/>
            <w:u w:val="single"/>
            <w:rtl w:val="0"/>
          </w:rPr>
          <w:t xml:space="preserve">https://files.ipbes.net/ipbes-web-prod-public-files/2021-06/20210609_scientific_outcome.pdf</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Unsustainable Consumption Patterns: How Lifestyle Choices Impact, </w:t>
      </w:r>
      <w:hyperlink r:id="rId23">
        <w:r w:rsidDel="00000000" w:rsidR="00000000" w:rsidRPr="00000000">
          <w:rPr>
            <w:rFonts w:ascii="Google Sans" w:cs="Google Sans" w:eastAsia="Google Sans" w:hAnsi="Google Sans"/>
            <w:color w:val="0000ee"/>
            <w:sz w:val="24"/>
            <w:szCs w:val="24"/>
            <w:u w:val="single"/>
            <w:rtl w:val="0"/>
          </w:rPr>
          <w:t xml:space="preserve">https://sustainability.shiksha/challenges-to-sustainable-development/unsustainable-consumption-lifestyle-environmental-impact/</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Decoupling for ecological sustainability: A categorisation and review,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https://www.researchgate.net/publication/342641313_Decoupling_for_ecological_sustainability_A_categorisation_and_review_of_research_literature</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green growth versus degrowth - Open Journal System, </w:t>
      </w:r>
      <w:hyperlink r:id="rId25">
        <w:r w:rsidDel="00000000" w:rsidR="00000000" w:rsidRPr="00000000">
          <w:rPr>
            <w:rFonts w:ascii="Google Sans" w:cs="Google Sans" w:eastAsia="Google Sans" w:hAnsi="Google Sans"/>
            <w:color w:val="0000ee"/>
            <w:sz w:val="24"/>
            <w:szCs w:val="24"/>
            <w:u w:val="single"/>
            <w:rtl w:val="0"/>
          </w:rPr>
          <w:t xml:space="preserve">https://ojs.victoria.ac.nz/pq/article/download/7578/6733/10654</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Decoupling debunked - European Environmental Bureau, </w:t>
      </w:r>
      <w:hyperlink r:id="rId26">
        <w:r w:rsidDel="00000000" w:rsidR="00000000" w:rsidRPr="00000000">
          <w:rPr>
            <w:rFonts w:ascii="Google Sans" w:cs="Google Sans" w:eastAsia="Google Sans" w:hAnsi="Google Sans"/>
            <w:color w:val="0000ee"/>
            <w:sz w:val="24"/>
            <w:szCs w:val="24"/>
            <w:u w:val="single"/>
            <w:rtl w:val="0"/>
          </w:rPr>
          <w:t xml:space="preserve">https://eeb.org/wp-content/uploads/2019/07/Decoupling-Debunked.pdf</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Degrowth debunked or decoupling debunked? - SustainableCZ, </w:t>
      </w:r>
      <w:hyperlink r:id="rId27">
        <w:r w:rsidDel="00000000" w:rsidR="00000000" w:rsidRPr="00000000">
          <w:rPr>
            <w:rFonts w:ascii="Google Sans" w:cs="Google Sans" w:eastAsia="Google Sans" w:hAnsi="Google Sans"/>
            <w:color w:val="0000ee"/>
            <w:sz w:val="24"/>
            <w:szCs w:val="24"/>
            <w:u w:val="single"/>
            <w:rtl w:val="0"/>
          </w:rPr>
          <w:t xml:space="preserve">https://sustainablecz.org/2023/04/28/degrowth-debunked-or-decoupling-debunked/</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Generalized Jevons Paradox and the Future of Energy, </w:t>
      </w:r>
      <w:hyperlink r:id="rId28">
        <w:r w:rsidDel="00000000" w:rsidR="00000000" w:rsidRPr="00000000">
          <w:rPr>
            <w:rFonts w:ascii="Google Sans" w:cs="Google Sans" w:eastAsia="Google Sans" w:hAnsi="Google Sans"/>
            <w:color w:val="0000ee"/>
            <w:sz w:val="24"/>
            <w:szCs w:val="24"/>
            <w:u w:val="single"/>
            <w:rtl w:val="0"/>
          </w:rPr>
          <w:t xml:space="preserve">https://www.imf.org/-/media/files/publications/wp/2026/english/wpiea2026157-source-pdf.pdf</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transition's next challenge: beyond clean energy - Candriam, </w:t>
      </w:r>
      <w:hyperlink r:id="rId29">
        <w:r w:rsidDel="00000000" w:rsidR="00000000" w:rsidRPr="00000000">
          <w:rPr>
            <w:rFonts w:ascii="Google Sans" w:cs="Google Sans" w:eastAsia="Google Sans" w:hAnsi="Google Sans"/>
            <w:color w:val="0000ee"/>
            <w:sz w:val="24"/>
            <w:szCs w:val="24"/>
            <w:u w:val="single"/>
            <w:rtl w:val="0"/>
          </w:rPr>
          <w:t xml:space="preserve">https://www.candriam.com/en-us/professional/insight-overview/topics/equities/the-transitions-next-challenge-beyond-clean-energy/</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 Circular Economy growing now? - New Market Pitch, </w:t>
      </w:r>
      <w:hyperlink r:id="rId30">
        <w:r w:rsidDel="00000000" w:rsidR="00000000" w:rsidRPr="00000000">
          <w:rPr>
            <w:rFonts w:ascii="Google Sans" w:cs="Google Sans" w:eastAsia="Google Sans" w:hAnsi="Google Sans"/>
            <w:color w:val="0000ee"/>
            <w:sz w:val="24"/>
            <w:szCs w:val="24"/>
            <w:u w:val="single"/>
            <w:rtl w:val="0"/>
          </w:rPr>
          <w:t xml:space="preserve">https://newmarketpitch.com/blogs/news/circular-economy-is-growing</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horizon-cl5-2023-d1-01-06 - Funding &amp; tenders - Europa.eu, </w:t>
      </w:r>
      <w:hyperlink r:id="rId31">
        <w:r w:rsidDel="00000000" w:rsidR="00000000" w:rsidRPr="00000000">
          <w:rPr>
            <w:rFonts w:ascii="Google Sans" w:cs="Google Sans" w:eastAsia="Google Sans" w:hAnsi="Google Sans"/>
            <w:color w:val="0000ee"/>
            <w:sz w:val="24"/>
            <w:szCs w:val="24"/>
            <w:u w:val="single"/>
            <w:rtl w:val="0"/>
          </w:rPr>
          <w:t xml:space="preserve">https://ec.europa.eu/info/funding-tenders/opportunities/portal/screen/opportunities/topic-details/horizon-cl5-2023-d1-01-06</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Économie écologique : un nouveau paradigme ... - Gresea, </w:t>
      </w:r>
      <w:hyperlink r:id="rId32">
        <w:r w:rsidDel="00000000" w:rsidR="00000000" w:rsidRPr="00000000">
          <w:rPr>
            <w:rFonts w:ascii="Google Sans" w:cs="Google Sans" w:eastAsia="Google Sans" w:hAnsi="Google Sans"/>
            <w:color w:val="0000ee"/>
            <w:sz w:val="24"/>
            <w:szCs w:val="24"/>
            <w:u w:val="single"/>
            <w:rtl w:val="0"/>
          </w:rPr>
          <w:t xml:space="preserve">https://gresea.be/Economie-ecologique-un-nouveau-paradigme-economique</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 Jackson, Post-croissance. Vivre après le capitalisme, </w:t>
      </w:r>
      <w:hyperlink r:id="rId33">
        <w:r w:rsidDel="00000000" w:rsidR="00000000" w:rsidRPr="00000000">
          <w:rPr>
            <w:rFonts w:ascii="Google Sans" w:cs="Google Sans" w:eastAsia="Google Sans" w:hAnsi="Google Sans"/>
            <w:color w:val="0000ee"/>
            <w:sz w:val="24"/>
            <w:szCs w:val="24"/>
            <w:u w:val="single"/>
            <w:rtl w:val="0"/>
          </w:rPr>
          <w:t xml:space="preserve">https://journals.openedition.org/nrt/19964</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Economie verte : de la théorie économique aux conclusions politiques, </w:t>
      </w:r>
      <w:hyperlink r:id="rId34">
        <w:r w:rsidDel="00000000" w:rsidR="00000000" w:rsidRPr="00000000">
          <w:rPr>
            <w:rFonts w:ascii="Google Sans" w:cs="Google Sans" w:eastAsia="Google Sans" w:hAnsi="Google Sans"/>
            <w:color w:val="0000ee"/>
            <w:sz w:val="24"/>
            <w:szCs w:val="24"/>
            <w:u w:val="single"/>
            <w:rtl w:val="0"/>
          </w:rPr>
          <w:t xml:space="preserve">https://tnova.fr/ecologie/climat/economie-verte-de-la-theorie-economique-aux-conclusions-politiques/</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[FICHE] Le concept de bioéconomie de Georgescu-Roegen, </w:t>
      </w:r>
      <w:hyperlink r:id="rId35">
        <w:r w:rsidDel="00000000" w:rsidR="00000000" w:rsidRPr="00000000">
          <w:rPr>
            <w:rFonts w:ascii="Google Sans" w:cs="Google Sans" w:eastAsia="Google Sans" w:hAnsi="Google Sans"/>
            <w:color w:val="0000ee"/>
            <w:sz w:val="24"/>
            <w:szCs w:val="24"/>
            <w:u w:val="single"/>
            <w:rtl w:val="0"/>
          </w:rPr>
          <w:t xml:space="preserve">https://www.laboiteamots.fr/concept-de-bioeconomie-de-georgescu-roegen/</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Après la croissance, la revanche de la valeur d'usage - Contretemps, </w:t>
      </w:r>
      <w:hyperlink r:id="rId36">
        <w:r w:rsidDel="00000000" w:rsidR="00000000" w:rsidRPr="00000000">
          <w:rPr>
            <w:rFonts w:ascii="Google Sans" w:cs="Google Sans" w:eastAsia="Google Sans" w:hAnsi="Google Sans"/>
            <w:color w:val="0000ee"/>
            <w:sz w:val="24"/>
            <w:szCs w:val="24"/>
            <w:u w:val="single"/>
            <w:rtl w:val="0"/>
          </w:rPr>
          <w:t xml:space="preserve">https://www.contretemps.eu/apres-la-croissance-la-revanche-de-la-valeur-dusage/</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Croissance non économique VICTOR-1, </w:t>
      </w:r>
      <w:hyperlink r:id="rId37">
        <w:r w:rsidDel="00000000" w:rsidR="00000000" w:rsidRPr="00000000">
          <w:rPr>
            <w:rFonts w:ascii="Google Sans" w:cs="Google Sans" w:eastAsia="Google Sans" w:hAnsi="Google Sans"/>
            <w:color w:val="0000ee"/>
            <w:sz w:val="24"/>
            <w:szCs w:val="24"/>
            <w:u w:val="single"/>
            <w:rtl w:val="0"/>
          </w:rPr>
          <w:t xml:space="preserve">https://www.veblen-institute.org/IMG/pdf/croissance_non_economique_victor-1.pdf</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 limites en économie - La Revue Durable, </w:t>
      </w:r>
      <w:hyperlink r:id="rId38">
        <w:r w:rsidDel="00000000" w:rsidR="00000000" w:rsidRPr="00000000">
          <w:rPr>
            <w:rFonts w:ascii="Google Sans" w:cs="Google Sans" w:eastAsia="Google Sans" w:hAnsi="Google Sans"/>
            <w:color w:val="0000ee"/>
            <w:sz w:val="24"/>
            <w:szCs w:val="24"/>
            <w:u w:val="single"/>
            <w:rtl w:val="0"/>
          </w:rPr>
          <w:t xml:space="preserve">https://artisansdelatransition.org/api/file/1186</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01. Économie Écologique : principes de base - Etopia, </w:t>
      </w:r>
      <w:hyperlink r:id="rId39">
        <w:r w:rsidDel="00000000" w:rsidR="00000000" w:rsidRPr="00000000">
          <w:rPr>
            <w:rFonts w:ascii="Google Sans" w:cs="Google Sans" w:eastAsia="Google Sans" w:hAnsi="Google Sans"/>
            <w:color w:val="0000ee"/>
            <w:sz w:val="24"/>
            <w:szCs w:val="24"/>
            <w:u w:val="single"/>
            <w:rtl w:val="0"/>
          </w:rPr>
          <w:t xml:space="preserve">https://etopia.be/blog/2010/12/27/01-economie-ecologique-principes-de-base/</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Les économies de l'après-croissance : objet ou non-objet,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https://www.researchgate.net/publication/275522385_Les_economies_de_l'apres-croissance_objet_ou_non-objet_pour_la_geographie_economique</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SmartCoop SCRL à finalité sociale Rapport spécial sur la réalisation, </w:t>
      </w:r>
      <w:hyperlink r:id="rId41">
        <w:r w:rsidDel="00000000" w:rsidR="00000000" w:rsidRPr="00000000">
          <w:rPr>
            <w:rFonts w:ascii="Google Sans" w:cs="Google Sans" w:eastAsia="Google Sans" w:hAnsi="Google Sans"/>
            <w:color w:val="0000ee"/>
            <w:sz w:val="24"/>
            <w:szCs w:val="24"/>
            <w:u w:val="single"/>
            <w:rtl w:val="0"/>
          </w:rPr>
          <w:t xml:space="preserve">https://smartbe.be/wp-content/uploads/2020/06/BE_SmartCoop_AGE-20_Rapport_special_realisation_but_social.pdf</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NewB : ambitions et revers d'une banque coopérative ... - Cairn, </w:t>
      </w:r>
      <w:hyperlink r:id="rId42">
        <w:r w:rsidDel="00000000" w:rsidR="00000000" w:rsidRPr="00000000">
          <w:rPr>
            <w:rFonts w:ascii="Google Sans" w:cs="Google Sans" w:eastAsia="Google Sans" w:hAnsi="Google Sans"/>
            <w:color w:val="0000ee"/>
            <w:sz w:val="24"/>
            <w:szCs w:val="24"/>
            <w:u w:val="single"/>
            <w:rtl w:val="0"/>
          </w:rPr>
          <w:t xml:space="preserve">https://shs.cairn.info/article/CRIS_2676_0005/pdf?lang=fr</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réponses des coopératives face aux défaillances de l'économie, </w:t>
      </w:r>
      <w:hyperlink r:id="rId43">
        <w:r w:rsidDel="00000000" w:rsidR="00000000" w:rsidRPr="00000000">
          <w:rPr>
            <w:rFonts w:ascii="Google Sans" w:cs="Google Sans" w:eastAsia="Google Sans" w:hAnsi="Google Sans"/>
            <w:color w:val="0000ee"/>
            <w:sz w:val="24"/>
            <w:szCs w:val="24"/>
            <w:u w:val="single"/>
            <w:rtl w:val="0"/>
          </w:rPr>
          <w:t xml:space="preserve">https://thesis.dial.uclouvain.be/bitstreams/340b9dd4-eb91-451c-8ade-41986dcacfae/download</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Covid-19: Smart réitère son appel aux pouvoirs publics, </w:t>
      </w:r>
      <w:hyperlink r:id="rId44">
        <w:r w:rsidDel="00000000" w:rsidR="00000000" w:rsidRPr="00000000">
          <w:rPr>
            <w:rFonts w:ascii="Google Sans" w:cs="Google Sans" w:eastAsia="Google Sans" w:hAnsi="Google Sans"/>
            <w:color w:val="0000ee"/>
            <w:sz w:val="24"/>
            <w:szCs w:val="24"/>
            <w:u w:val="single"/>
            <w:rtl w:val="0"/>
          </w:rPr>
          <w:t xml:space="preserve">https://smartbe.be/fr/news/covid-19-reitere-son-appel-aux-pouvoirs-publics/</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Plaidoyer pour un volontarisme coopératif dans la transition, </w:t>
      </w:r>
      <w:hyperlink r:id="rId45">
        <w:r w:rsidDel="00000000" w:rsidR="00000000" w:rsidRPr="00000000">
          <w:rPr>
            <w:rFonts w:ascii="Google Sans" w:cs="Google Sans" w:eastAsia="Google Sans" w:hAnsi="Google Sans"/>
            <w:color w:val="0000ee"/>
            <w:sz w:val="24"/>
            <w:szCs w:val="24"/>
            <w:u w:val="single"/>
            <w:rtl w:val="0"/>
          </w:rPr>
          <w:t xml:space="preserve">https://kronik.smart.coop/plaidoyer-pour-un-volontarisme-cooperatif-dans-la-transition/</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Notre histoire - NewB, </w:t>
      </w:r>
      <w:hyperlink r:id="rId46">
        <w:r w:rsidDel="00000000" w:rsidR="00000000" w:rsidRPr="00000000">
          <w:rPr>
            <w:rFonts w:ascii="Google Sans" w:cs="Google Sans" w:eastAsia="Google Sans" w:hAnsi="Google Sans"/>
            <w:color w:val="0000ee"/>
            <w:sz w:val="24"/>
            <w:szCs w:val="24"/>
            <w:u w:val="single"/>
            <w:rtl w:val="0"/>
          </w:rPr>
          <w:t xml:space="preserve">https://www.newb.coop/fr/a-propos-de-newb/notre-histoire</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NewB - Wikipédia, </w:t>
      </w:r>
      <w:hyperlink r:id="rId47">
        <w:r w:rsidDel="00000000" w:rsidR="00000000" w:rsidRPr="00000000">
          <w:rPr>
            <w:rFonts w:ascii="Google Sans" w:cs="Google Sans" w:eastAsia="Google Sans" w:hAnsi="Google Sans"/>
            <w:color w:val="0000ee"/>
            <w:sz w:val="24"/>
            <w:szCs w:val="24"/>
            <w:u w:val="single"/>
            <w:rtl w:val="0"/>
          </w:rPr>
          <w:t xml:space="preserve">https://fr.wikipedia.org/wiki/NewB</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Banque Catalogue en ligne - Le portail documentaire de l'Henallux, </w:t>
      </w:r>
      <w:hyperlink r:id="rId48">
        <w:r w:rsidDel="00000000" w:rsidR="00000000" w:rsidRPr="00000000">
          <w:rPr>
            <w:rFonts w:ascii="Google Sans" w:cs="Google Sans" w:eastAsia="Google Sans" w:hAnsi="Google Sans"/>
            <w:color w:val="0000ee"/>
            <w:sz w:val="24"/>
            <w:szCs w:val="24"/>
            <w:u w:val="single"/>
            <w:rtl w:val="0"/>
          </w:rPr>
          <w:t xml:space="preserve">https://bib.henallux.be/index.php?lvl=categ_see&amp;id=429824&amp;page=1&amp;nbr_lignes=398&amp;l_typdoc=a%2Cm&amp;nb_per_page_custom=200</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Patrick Claerhout, Author at Trends-Tendances - Page 2 of 3, </w:t>
      </w:r>
      <w:hyperlink r:id="rId49">
        <w:r w:rsidDel="00000000" w:rsidR="00000000" w:rsidRPr="00000000">
          <w:rPr>
            <w:rFonts w:ascii="Google Sans" w:cs="Google Sans" w:eastAsia="Google Sans" w:hAnsi="Google Sans"/>
            <w:color w:val="0000ee"/>
            <w:sz w:val="24"/>
            <w:szCs w:val="24"/>
            <w:u w:val="single"/>
            <w:rtl w:val="0"/>
          </w:rPr>
          <w:t xml:space="preserve">https://trends.levif.be/a/patrick-claerhout/page/2/</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Inventer une autre manière de se loger | Crédal, </w:t>
      </w:r>
      <w:hyperlink r:id="rId50">
        <w:r w:rsidDel="00000000" w:rsidR="00000000" w:rsidRPr="00000000">
          <w:rPr>
            <w:rFonts w:ascii="Google Sans" w:cs="Google Sans" w:eastAsia="Google Sans" w:hAnsi="Google Sans"/>
            <w:color w:val="0000ee"/>
            <w:sz w:val="24"/>
            <w:szCs w:val="24"/>
            <w:u w:val="single"/>
            <w:rtl w:val="0"/>
          </w:rPr>
          <w:t xml:space="preserve">https://www.credal.be/actualite/article/inventer-une-autre-maniere-de-se-loger</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Land Trust Bruxelles, </w:t>
      </w:r>
      <w:hyperlink r:id="rId51">
        <w:r w:rsidDel="00000000" w:rsidR="00000000" w:rsidRPr="00000000">
          <w:rPr>
            <w:rFonts w:ascii="Google Sans" w:cs="Google Sans" w:eastAsia="Google Sans" w:hAnsi="Google Sans"/>
            <w:color w:val="0000ee"/>
            <w:sz w:val="24"/>
            <w:szCs w:val="24"/>
            <w:u w:val="single"/>
            <w:rtl w:val="0"/>
          </w:rPr>
          <w:t xml:space="preserve">https://www.cltweb.org/fr/bibliotheque-de-ressources/etudes-de-cas-clt/community-land-trust-bruxelles/</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Community Land Trust;;aux États-Unis, au Kenya;;et en Belgique, </w:t>
      </w:r>
      <w:hyperlink r:id="rId52">
        <w:r w:rsidDel="00000000" w:rsidR="00000000" w:rsidRPr="00000000">
          <w:rPr>
            <w:rFonts w:ascii="Google Sans" w:cs="Google Sans" w:eastAsia="Google Sans" w:hAnsi="Google Sans"/>
            <w:color w:val="0000ee"/>
            <w:sz w:val="24"/>
            <w:szCs w:val="24"/>
            <w:u w:val="single"/>
            <w:rtl w:val="0"/>
          </w:rPr>
          <w:t xml:space="preserve">https://www.riurba.review/article/06-modeles/community/</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Logements à prix réduits | Région de Bruxelles-Capitale, </w:t>
      </w:r>
      <w:hyperlink r:id="rId53">
        <w:r w:rsidDel="00000000" w:rsidR="00000000" w:rsidRPr="00000000">
          <w:rPr>
            <w:rFonts w:ascii="Google Sans" w:cs="Google Sans" w:eastAsia="Google Sans" w:hAnsi="Google Sans"/>
            <w:color w:val="0000ee"/>
            <w:sz w:val="24"/>
            <w:szCs w:val="24"/>
            <w:u w:val="single"/>
            <w:rtl w:val="0"/>
          </w:rPr>
          <w:t xml:space="preserve">https://be.brussels/fr/logement/achat-vente-propriete/achat-vente/aides-lachat/logements-prix-reduits</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Land Trust Bruxelles - FSA ULiège, </w:t>
      </w:r>
      <w:hyperlink r:id="rId54">
        <w:r w:rsidDel="00000000" w:rsidR="00000000" w:rsidRPr="00000000">
          <w:rPr>
            <w:rFonts w:ascii="Google Sans" w:cs="Google Sans" w:eastAsia="Google Sans" w:hAnsi="Google Sans"/>
            <w:color w:val="0000ee"/>
            <w:sz w:val="24"/>
            <w:szCs w:val="24"/>
            <w:u w:val="single"/>
            <w:rtl w:val="0"/>
          </w:rPr>
          <w:t xml:space="preserve">https://www.fsa.uliege.be/cms/c_4463012/fr/community-land-trust-bruxelles</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Monnaie Zinne, </w:t>
      </w:r>
      <w:hyperlink r:id="rId55">
        <w:r w:rsidDel="00000000" w:rsidR="00000000" w:rsidRPr="00000000">
          <w:rPr>
            <w:rFonts w:ascii="Google Sans" w:cs="Google Sans" w:eastAsia="Google Sans" w:hAnsi="Google Sans"/>
            <w:color w:val="0000ee"/>
            <w:sz w:val="24"/>
            <w:szCs w:val="24"/>
            <w:u w:val="single"/>
            <w:rtl w:val="0"/>
          </w:rPr>
          <w:t xml:space="preserve">https://www.zinne.brussels/a-propos/la-monnaie-zinne/</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Brusseleir 137 - Ville de Bruxelles, </w:t>
      </w:r>
      <w:hyperlink r:id="rId56">
        <w:r w:rsidDel="00000000" w:rsidR="00000000" w:rsidRPr="00000000">
          <w:rPr>
            <w:rFonts w:ascii="Google Sans" w:cs="Google Sans" w:eastAsia="Google Sans" w:hAnsi="Google Sans"/>
            <w:color w:val="0000ee"/>
            <w:sz w:val="24"/>
            <w:szCs w:val="24"/>
            <w:u w:val="single"/>
            <w:rtl w:val="0"/>
          </w:rPr>
          <w:t xml:space="preserve">https://www.bruxelles.be/sites/default/files/bxl/Brusseleir_167_accFR.pdf</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monnaie locale : une voie vers une économie alternative et durable, </w:t>
      </w:r>
      <w:hyperlink r:id="rId57">
        <w:r w:rsidDel="00000000" w:rsidR="00000000" w:rsidRPr="00000000">
          <w:rPr>
            <w:rFonts w:ascii="Google Sans" w:cs="Google Sans" w:eastAsia="Google Sans" w:hAnsi="Google Sans"/>
            <w:color w:val="0000ee"/>
            <w:sz w:val="24"/>
            <w:szCs w:val="24"/>
            <w:u w:val="single"/>
            <w:rtl w:val="0"/>
          </w:rPr>
          <w:t xml:space="preserve">http://info.hub.brussels/blog/la-monnaie-locale-une-voie-vers-une-economie-alternative-et-durable</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Zinne, nouvelle monnaie locale à Bruxelles - BRAL.Brussels, </w:t>
      </w:r>
      <w:hyperlink r:id="rId58">
        <w:r w:rsidDel="00000000" w:rsidR="00000000" w:rsidRPr="00000000">
          <w:rPr>
            <w:rFonts w:ascii="Google Sans" w:cs="Google Sans" w:eastAsia="Google Sans" w:hAnsi="Google Sans"/>
            <w:color w:val="0000ee"/>
            <w:sz w:val="24"/>
            <w:szCs w:val="24"/>
            <w:u w:val="single"/>
            <w:rtl w:val="0"/>
          </w:rPr>
          <w:t xml:space="preserve">https://bral.brussels/fr/artikel/la-zinne-nouvelle-monnaie-locale-bruxelles</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Nous avons rejoint le réseau de la Zinne : la monnaie locale et, </w:t>
      </w:r>
      <w:hyperlink r:id="rId59">
        <w:r w:rsidDel="00000000" w:rsidR="00000000" w:rsidRPr="00000000">
          <w:rPr>
            <w:rFonts w:ascii="Google Sans" w:cs="Google Sans" w:eastAsia="Google Sans" w:hAnsi="Google Sans"/>
            <w:color w:val="0000ee"/>
            <w:sz w:val="24"/>
            <w:szCs w:val="24"/>
            <w:u w:val="single"/>
            <w:rtl w:val="0"/>
          </w:rPr>
          <w:t xml:space="preserve">https://www.cultureetdemocratie.be/articles/zinne/</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 Soyons Super local, </w:t>
      </w:r>
      <w:hyperlink r:id="rId60">
        <w:r w:rsidDel="00000000" w:rsidR="00000000" w:rsidRPr="00000000">
          <w:rPr>
            <w:rFonts w:ascii="Google Sans" w:cs="Google Sans" w:eastAsia="Google Sans" w:hAnsi="Google Sans"/>
            <w:color w:val="0000ee"/>
            <w:sz w:val="24"/>
            <w:szCs w:val="24"/>
            <w:u w:val="single"/>
            <w:rtl w:val="0"/>
          </w:rPr>
          <w:t xml:space="preserve">https://superlocal.be/services/</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carte - Zinne, </w:t>
      </w:r>
      <w:hyperlink r:id="rId61">
        <w:r w:rsidDel="00000000" w:rsidR="00000000" w:rsidRPr="00000000">
          <w:rPr>
            <w:rFonts w:ascii="Google Sans" w:cs="Google Sans" w:eastAsia="Google Sans" w:hAnsi="Google Sans"/>
            <w:color w:val="0000ee"/>
            <w:sz w:val="24"/>
            <w:szCs w:val="24"/>
            <w:u w:val="single"/>
            <w:rtl w:val="0"/>
          </w:rPr>
          <w:t xml:space="preserve">https://www.zinne.brussels/le-reseau/la-carte/</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 Formulaire adhésion (2024.01.24).docx - Zinne, </w:t>
      </w:r>
      <w:hyperlink r:id="rId62">
        <w:r w:rsidDel="00000000" w:rsidR="00000000" w:rsidRPr="00000000">
          <w:rPr>
            <w:rFonts w:ascii="Google Sans" w:cs="Google Sans" w:eastAsia="Google Sans" w:hAnsi="Google Sans"/>
            <w:color w:val="0000ee"/>
            <w:sz w:val="24"/>
            <w:szCs w:val="24"/>
            <w:u w:val="single"/>
            <w:rtl w:val="0"/>
          </w:rPr>
          <w:t xml:space="preserve">https://www.zinne.brussels/wp-content/uploads/2024/11/FR-Formulaire-adhesion-2024.07.26.pdf</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L'Asbl Zinne, un projet citoyen avant tout, </w:t>
      </w:r>
      <w:hyperlink r:id="rId63">
        <w:r w:rsidDel="00000000" w:rsidR="00000000" w:rsidRPr="00000000">
          <w:rPr>
            <w:rFonts w:ascii="Google Sans" w:cs="Google Sans" w:eastAsia="Google Sans" w:hAnsi="Google Sans"/>
            <w:color w:val="0000ee"/>
            <w:sz w:val="24"/>
            <w:szCs w:val="24"/>
            <w:u w:val="single"/>
            <w:rtl w:val="0"/>
          </w:rPr>
          <w:t xml:space="preserve">https://www.zinne.brussels/a-propos/lasbl-zinne/</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digital Euro - Martens Centre, </w:t>
      </w:r>
      <w:hyperlink r:id="rId64">
        <w:r w:rsidDel="00000000" w:rsidR="00000000" w:rsidRPr="00000000">
          <w:rPr>
            <w:rFonts w:ascii="Google Sans" w:cs="Google Sans" w:eastAsia="Google Sans" w:hAnsi="Google Sans"/>
            <w:color w:val="0000ee"/>
            <w:sz w:val="24"/>
            <w:szCs w:val="24"/>
            <w:u w:val="single"/>
            <w:rtl w:val="0"/>
          </w:rPr>
          <w:t xml:space="preserve">https://www.martenscentre.eu/wp-content/uploads/2025/01/Martens-Centre-Policy-Brief.pdf</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digital euro: maintaining the autonomy of the monetary system, </w:t>
      </w:r>
      <w:hyperlink r:id="rId65">
        <w:r w:rsidDel="00000000" w:rsidR="00000000" w:rsidRPr="00000000">
          <w:rPr>
            <w:rFonts w:ascii="Google Sans" w:cs="Google Sans" w:eastAsia="Google Sans" w:hAnsi="Google Sans"/>
            <w:color w:val="0000ee"/>
            <w:sz w:val="24"/>
            <w:szCs w:val="24"/>
            <w:u w:val="single"/>
            <w:rtl w:val="0"/>
          </w:rPr>
          <w:t xml:space="preserve">https://www.suerf.org/publications/suerf-policy-notes-and-briefs/the-digital-euro-maintaining-the-autonomy-of-the-monetary-system/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275522385_Les_economies_de_l'apres-croissance_objet_ou_non-objet_pour_la_geographie_economique" TargetMode="External"/><Relationship Id="rId42" Type="http://schemas.openxmlformats.org/officeDocument/2006/relationships/hyperlink" Target="https://shs.cairn.info/article/CRIS_2676_0005/pdf?lang=fr" TargetMode="External"/><Relationship Id="rId41" Type="http://schemas.openxmlformats.org/officeDocument/2006/relationships/hyperlink" Target="https://smartbe.be/wp-content/uploads/2020/06/BE_SmartCoop_AGE-20_Rapport_special_realisation_but_social.pdf" TargetMode="External"/><Relationship Id="rId44" Type="http://schemas.openxmlformats.org/officeDocument/2006/relationships/hyperlink" Target="https://smartbe.be/fr/news/covid-19-reitere-son-appel-aux-pouvoirs-publics/" TargetMode="External"/><Relationship Id="rId43" Type="http://schemas.openxmlformats.org/officeDocument/2006/relationships/hyperlink" Target="https://thesis.dial.uclouvain.be/bitstreams/340b9dd4-eb91-451c-8ade-41986dcacfae/download" TargetMode="External"/><Relationship Id="rId46" Type="http://schemas.openxmlformats.org/officeDocument/2006/relationships/hyperlink" Target="https://www.newb.coop/fr/a-propos-de-newb/notre-histoire" TargetMode="External"/><Relationship Id="rId45" Type="http://schemas.openxmlformats.org/officeDocument/2006/relationships/hyperlink" Target="https://kronik.smart.coop/plaidoyer-pour-un-volontarisme-cooperatif-dans-la-transi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g.com/en-ch/trading-strategies/flash-crashes-explained-190503" TargetMode="External"/><Relationship Id="rId48" Type="http://schemas.openxmlformats.org/officeDocument/2006/relationships/hyperlink" Target="https://bib.henallux.be/index.php?lvl=categ_see&amp;id=429824&amp;page=1&amp;nbr_lignes=398&amp;l_typdoc=a,m&amp;nb_per_page_custom=200" TargetMode="External"/><Relationship Id="rId47" Type="http://schemas.openxmlformats.org/officeDocument/2006/relationships/hyperlink" Target="https://fr.wikipedia.org/wiki/NewB" TargetMode="External"/><Relationship Id="rId49" Type="http://schemas.openxmlformats.org/officeDocument/2006/relationships/hyperlink" Target="https://trends.levif.be/a/patrick-claerhout/page/2/" TargetMode="External"/><Relationship Id="rId5" Type="http://schemas.openxmlformats.org/officeDocument/2006/relationships/styles" Target="styles.xml"/><Relationship Id="rId6" Type="http://schemas.openxmlformats.org/officeDocument/2006/relationships/hyperlink" Target="https://pmc.ncbi.nlm.nih.gov/articles/PMC8978471/" TargetMode="External"/><Relationship Id="rId7" Type="http://schemas.openxmlformats.org/officeDocument/2006/relationships/hyperlink" Target="https://committees.parliament.uk/writtenevidence/140229/pdf/" TargetMode="External"/><Relationship Id="rId8" Type="http://schemas.openxmlformats.org/officeDocument/2006/relationships/hyperlink" Target="https://blogs.lse.ac.uk/businessreview/2017/06/26/flash-crash-the-first-market-crash-in-the-era-of-algorithms-and-automated-trading/" TargetMode="External"/><Relationship Id="rId31" Type="http://schemas.openxmlformats.org/officeDocument/2006/relationships/hyperlink" Target="https://ec.europa.eu/info/funding-tenders/opportunities/portal/screen/opportunities/topic-details/horizon-cl5-2023-d1-01-06" TargetMode="External"/><Relationship Id="rId30" Type="http://schemas.openxmlformats.org/officeDocument/2006/relationships/hyperlink" Target="https://newmarketpitch.com/blogs/news/circular-economy-is-growing" TargetMode="External"/><Relationship Id="rId33" Type="http://schemas.openxmlformats.org/officeDocument/2006/relationships/hyperlink" Target="https://journals.openedition.org/nrt/19964" TargetMode="External"/><Relationship Id="rId32" Type="http://schemas.openxmlformats.org/officeDocument/2006/relationships/hyperlink" Target="https://gresea.be/Economie-ecologique-un-nouveau-paradigme-economique" TargetMode="External"/><Relationship Id="rId35" Type="http://schemas.openxmlformats.org/officeDocument/2006/relationships/hyperlink" Target="https://www.laboiteamots.fr/concept-de-bioeconomie-de-georgescu-roegen/" TargetMode="External"/><Relationship Id="rId34" Type="http://schemas.openxmlformats.org/officeDocument/2006/relationships/hyperlink" Target="https://tnova.fr/ecologie/climat/economie-verte-de-la-theorie-economique-aux-conclusions-politiques/" TargetMode="External"/><Relationship Id="rId37" Type="http://schemas.openxmlformats.org/officeDocument/2006/relationships/hyperlink" Target="https://www.veblen-institute.org/IMG/pdf/croissance_non_economique_victor-1.pdf" TargetMode="External"/><Relationship Id="rId36" Type="http://schemas.openxmlformats.org/officeDocument/2006/relationships/hyperlink" Target="https://www.contretemps.eu/apres-la-croissance-la-revanche-de-la-valeur-dusage/" TargetMode="External"/><Relationship Id="rId39" Type="http://schemas.openxmlformats.org/officeDocument/2006/relationships/hyperlink" Target="https://etopia.be/blog/2010/12/27/01-economie-ecologique-principes-de-base/" TargetMode="External"/><Relationship Id="rId38" Type="http://schemas.openxmlformats.org/officeDocument/2006/relationships/hyperlink" Target="https://artisansdelatransition.org/api/file/1186" TargetMode="External"/><Relationship Id="rId62" Type="http://schemas.openxmlformats.org/officeDocument/2006/relationships/hyperlink" Target="https://www.zinne.brussels/wp-content/uploads/2024/11/FR-Formulaire-adhesion-2024.07.26.pdf" TargetMode="External"/><Relationship Id="rId61" Type="http://schemas.openxmlformats.org/officeDocument/2006/relationships/hyperlink" Target="https://www.zinne.brussels/le-reseau/la-carte/" TargetMode="External"/><Relationship Id="rId20" Type="http://schemas.openxmlformats.org/officeDocument/2006/relationships/hyperlink" Target="https://circularintelligence.io/resources/insights/circularity-gap-2026" TargetMode="External"/><Relationship Id="rId64" Type="http://schemas.openxmlformats.org/officeDocument/2006/relationships/hyperlink" Target="https://www.martenscentre.eu/wp-content/uploads/2025/01/Martens-Centre-Policy-Brief.pdf" TargetMode="External"/><Relationship Id="rId63" Type="http://schemas.openxmlformats.org/officeDocument/2006/relationships/hyperlink" Target="https://www.zinne.brussels/a-propos/lasbl-zinne/" TargetMode="External"/><Relationship Id="rId22" Type="http://schemas.openxmlformats.org/officeDocument/2006/relationships/hyperlink" Target="https://files.ipbes.net/ipbes-web-prod-public-files/2021-06/20210609_scientific_outcome.pdf" TargetMode="External"/><Relationship Id="rId21" Type="http://schemas.openxmlformats.org/officeDocument/2006/relationships/hyperlink" Target="https://evs.institute/environment-and-society/capitalism-environmental-impact-treadmill-production/" TargetMode="External"/><Relationship Id="rId65" Type="http://schemas.openxmlformats.org/officeDocument/2006/relationships/hyperlink" Target="https://www.suerf.org/publications/suerf-policy-notes-and-briefs/the-digital-euro-maintaining-the-autonomy-of-the-monetary-system/" TargetMode="External"/><Relationship Id="rId24" Type="http://schemas.openxmlformats.org/officeDocument/2006/relationships/hyperlink" Target="https://www.researchgate.net/publication/342641313_Decoupling_for_ecological_sustainability_A_categorisation_and_review_of_research_literature" TargetMode="External"/><Relationship Id="rId23" Type="http://schemas.openxmlformats.org/officeDocument/2006/relationships/hyperlink" Target="https://sustainability.shiksha/challenges-to-sustainable-development/unsustainable-consumption-lifestyle-environmental-impact/" TargetMode="External"/><Relationship Id="rId60" Type="http://schemas.openxmlformats.org/officeDocument/2006/relationships/hyperlink" Target="https://superlocal.be/services/" TargetMode="External"/><Relationship Id="rId26" Type="http://schemas.openxmlformats.org/officeDocument/2006/relationships/hyperlink" Target="https://eeb.org/wp-content/uploads/2019/07/Decoupling-Debunked.pdf" TargetMode="External"/><Relationship Id="rId25" Type="http://schemas.openxmlformats.org/officeDocument/2006/relationships/hyperlink" Target="https://ojs.victoria.ac.nz/pq/article/download/7578/6733/10654" TargetMode="External"/><Relationship Id="rId28" Type="http://schemas.openxmlformats.org/officeDocument/2006/relationships/hyperlink" Target="https://www.imf.org/-/media/files/publications/wp/2026/english/wpiea2026157-source-pdf.pdf" TargetMode="External"/><Relationship Id="rId27" Type="http://schemas.openxmlformats.org/officeDocument/2006/relationships/hyperlink" Target="https://sustainablecz.org/2023/04/28/degrowth-debunked-or-decoupling-debunked/" TargetMode="External"/><Relationship Id="rId29" Type="http://schemas.openxmlformats.org/officeDocument/2006/relationships/hyperlink" Target="https://www.candriam.com/en-us/professional/insight-overview/topics/equities/the-transitions-next-challenge-beyond-clean-energy/" TargetMode="External"/><Relationship Id="rId51" Type="http://schemas.openxmlformats.org/officeDocument/2006/relationships/hyperlink" Target="https://www.cltweb.org/fr/bibliotheque-de-ressources/etudes-de-cas-clt/community-land-trust-bruxelles/" TargetMode="External"/><Relationship Id="rId50" Type="http://schemas.openxmlformats.org/officeDocument/2006/relationships/hyperlink" Target="https://www.credal.be/actualite/article/inventer-une-autre-maniere-de-se-loger" TargetMode="External"/><Relationship Id="rId53" Type="http://schemas.openxmlformats.org/officeDocument/2006/relationships/hyperlink" Target="https://be.brussels/fr/logement/achat-vente-propriete/achat-vente/aides-lachat/logements-prix-reduits" TargetMode="External"/><Relationship Id="rId52" Type="http://schemas.openxmlformats.org/officeDocument/2006/relationships/hyperlink" Target="https://www.riurba.review/article/06-modeles/community/" TargetMode="External"/><Relationship Id="rId11" Type="http://schemas.openxmlformats.org/officeDocument/2006/relationships/hyperlink" Target="https://www.ubs.com/global/en/media/display-page-ndp/en-20260630-gwr-2026.html" TargetMode="External"/><Relationship Id="rId55" Type="http://schemas.openxmlformats.org/officeDocument/2006/relationships/hyperlink" Target="https://www.zinne.brussels/a-propos/la-monnaie-zinne/" TargetMode="External"/><Relationship Id="rId10" Type="http://schemas.openxmlformats.org/officeDocument/2006/relationships/hyperlink" Target="https://www.researchgate.net/publication/263319518_Algorithmic_trading_the_Flash_Crash_and_coordinated_circuit_breakers" TargetMode="External"/><Relationship Id="rId54" Type="http://schemas.openxmlformats.org/officeDocument/2006/relationships/hyperlink" Target="https://www.fsa.uliege.be/cms/c_4463012/fr/community-land-trust-bruxelles" TargetMode="External"/><Relationship Id="rId13" Type="http://schemas.openxmlformats.org/officeDocument/2006/relationships/hyperlink" Target="https://www.aljazeera.com/news/2025/12/10/where-in-the-world-are-wealth-and-income-most-unequal" TargetMode="External"/><Relationship Id="rId57" Type="http://schemas.openxmlformats.org/officeDocument/2006/relationships/hyperlink" Target="http://info.hub.brussels/blog/la-monnaie-locale-une-voie-vers-une-economie-alternative-et-durable" TargetMode="External"/><Relationship Id="rId12" Type="http://schemas.openxmlformats.org/officeDocument/2006/relationships/hyperlink" Target="https://isvd.or.jp/en/columns/2026-03-01-world-inequality-report-wealth-gap" TargetMode="External"/><Relationship Id="rId56" Type="http://schemas.openxmlformats.org/officeDocument/2006/relationships/hyperlink" Target="https://www.bruxelles.be/sites/default/files/bxl/Brusseleir_167_accFR.pdf" TargetMode="External"/><Relationship Id="rId15" Type="http://schemas.openxmlformats.org/officeDocument/2006/relationships/hyperlink" Target="https://wir2026.wid.world/insight/executive-summary/" TargetMode="External"/><Relationship Id="rId59" Type="http://schemas.openxmlformats.org/officeDocument/2006/relationships/hyperlink" Target="https://www.cultureetdemocratie.be/articles/zinne/" TargetMode="External"/><Relationship Id="rId14" Type="http://schemas.openxmlformats.org/officeDocument/2006/relationships/hyperlink" Target="https://www.theguardian.com/inequality/2025/dec/10/just-0001-hold-three-times-the-wealth-of-poorest-half-of-humanity-report-finds" TargetMode="External"/><Relationship Id="rId58" Type="http://schemas.openxmlformats.org/officeDocument/2006/relationships/hyperlink" Target="https://bral.brussels/fr/artikel/la-zinne-nouvelle-monnaie-locale-bruxelles" TargetMode="External"/><Relationship Id="rId17" Type="http://schemas.openxmlformats.org/officeDocument/2006/relationships/hyperlink" Target="https://www.brookings.edu/articles/the-present-and-future-of-global-inequality/" TargetMode="External"/><Relationship Id="rId16" Type="http://schemas.openxmlformats.org/officeDocument/2006/relationships/hyperlink" Target="https://wir2026.wid.world/insight/global-economic-inequity/" TargetMode="External"/><Relationship Id="rId19" Type="http://schemas.openxmlformats.org/officeDocument/2006/relationships/hyperlink" Target="https://sumas.ch/blog/beyond-csr-regenerative-business-models-planetary-boundaries/" TargetMode="External"/><Relationship Id="rId18" Type="http://schemas.openxmlformats.org/officeDocument/2006/relationships/hyperlink" Target="https://www.statspanda.com/live-counters/tonnes-of-resources-extracted-from-eart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